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line="360" w:lineRule="auto"/>
        <w:jc w:val="center"/>
        <w:textAlignment w:val="auto"/>
        <w:outlineLvl w:val="9"/>
        <w:rPr>
          <w:rFonts w:ascii="宋体" w:hAnsi="宋体"/>
          <w:b/>
          <w:kern w:val="2"/>
          <w:sz w:val="48"/>
          <w:szCs w:val="48"/>
        </w:rPr>
      </w:pPr>
      <w:bookmarkStart w:id="0" w:name="_Toc176509506"/>
      <w:bookmarkStart w:id="1" w:name="_Toc176516242"/>
      <w:r>
        <w:rPr>
          <w:rFonts w:hint="eastAsia" w:ascii="宋体" w:hAnsi="宋体"/>
          <w:b/>
          <w:kern w:val="2"/>
          <w:sz w:val="48"/>
          <w:szCs w:val="48"/>
        </w:rPr>
        <w:t>厦工（三明）重型机器有限公司</w:t>
      </w:r>
    </w:p>
    <w:p>
      <w:pPr>
        <w:widowControl w:val="0"/>
        <w:overflowPunct/>
        <w:autoSpaceDE/>
        <w:autoSpaceDN/>
        <w:adjustRightInd/>
        <w:spacing w:line="360" w:lineRule="auto"/>
        <w:jc w:val="center"/>
        <w:textAlignment w:val="auto"/>
        <w:outlineLvl w:val="9"/>
        <w:rPr>
          <w:rFonts w:ascii="宋体" w:hAnsi="宋体"/>
          <w:b/>
          <w:bCs/>
          <w:kern w:val="2"/>
          <w:sz w:val="48"/>
          <w:szCs w:val="48"/>
        </w:rPr>
      </w:pPr>
      <w:r>
        <w:rPr>
          <w:rFonts w:hint="eastAsia" w:ascii="宋体" w:hAnsi="宋体"/>
          <w:b/>
          <w:bCs/>
          <w:kern w:val="2"/>
          <w:sz w:val="48"/>
          <w:szCs w:val="48"/>
        </w:rPr>
        <w:t>技 改 设 备 采 购</w:t>
      </w: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r>
        <w:rPr>
          <w:rFonts w:hint="eastAsia" w:ascii="黑体" w:eastAsia="黑体"/>
          <w:bCs/>
          <w:w w:val="90"/>
          <w:kern w:val="2"/>
          <w:sz w:val="84"/>
          <w:szCs w:val="84"/>
        </w:rPr>
        <w:t>招</w:t>
      </w: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r>
        <w:rPr>
          <w:rFonts w:hint="eastAsia" w:ascii="黑体" w:eastAsia="黑体"/>
          <w:bCs/>
          <w:w w:val="90"/>
          <w:kern w:val="2"/>
          <w:sz w:val="84"/>
          <w:szCs w:val="84"/>
        </w:rPr>
        <w:t>标</w:t>
      </w: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r>
        <w:rPr>
          <w:rFonts w:hint="eastAsia" w:ascii="黑体" w:eastAsia="黑体"/>
          <w:bCs/>
          <w:w w:val="90"/>
          <w:kern w:val="2"/>
          <w:sz w:val="84"/>
          <w:szCs w:val="84"/>
        </w:rPr>
        <w:t>文</w:t>
      </w: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r>
        <w:rPr>
          <w:rFonts w:hint="eastAsia" w:ascii="黑体" w:eastAsia="黑体"/>
          <w:bCs/>
          <w:w w:val="90"/>
          <w:kern w:val="2"/>
          <w:sz w:val="84"/>
          <w:szCs w:val="84"/>
        </w:rPr>
        <w:t>件</w:t>
      </w:r>
    </w:p>
    <w:p>
      <w:pPr>
        <w:widowControl w:val="0"/>
        <w:overflowPunct/>
        <w:autoSpaceDE/>
        <w:autoSpaceDN/>
        <w:adjustRightInd/>
        <w:spacing w:line="360" w:lineRule="auto"/>
        <w:jc w:val="center"/>
        <w:textAlignment w:val="auto"/>
        <w:outlineLvl w:val="9"/>
        <w:rPr>
          <w:rFonts w:ascii="黑体" w:eastAsia="黑体"/>
          <w:bCs/>
          <w:w w:val="90"/>
          <w:kern w:val="2"/>
          <w:sz w:val="32"/>
          <w:szCs w:val="32"/>
        </w:rPr>
      </w:pPr>
    </w:p>
    <w:p>
      <w:pPr>
        <w:overflowPunct/>
        <w:autoSpaceDE/>
        <w:autoSpaceDN/>
        <w:adjustRightInd/>
        <w:spacing w:before="100" w:beforeAutospacing="1" w:after="100" w:afterAutospacing="1"/>
        <w:ind w:firstLine="1084" w:firstLineChars="300"/>
        <w:textAlignment w:val="auto"/>
        <w:outlineLvl w:val="9"/>
        <w:rPr>
          <w:rFonts w:hint="default" w:ascii="宋体" w:hAnsi="宋体" w:eastAsia="宋体"/>
          <w:b/>
          <w:bCs/>
          <w:color w:val="FF0000"/>
          <w:sz w:val="36"/>
          <w:szCs w:val="36"/>
          <w:u w:val="single"/>
          <w:lang w:val="en-US" w:eastAsia="zh-CN"/>
        </w:rPr>
      </w:pPr>
      <w:bookmarkStart w:id="2" w:name="_Toc30469"/>
      <w:r>
        <w:rPr>
          <w:rFonts w:hint="eastAsia" w:ascii="宋体" w:hAnsi="宋体"/>
          <w:b/>
          <w:bCs/>
          <w:sz w:val="36"/>
          <w:szCs w:val="36"/>
        </w:rPr>
        <w:t>项目编号：</w:t>
      </w:r>
      <w:r>
        <w:rPr>
          <w:rFonts w:hint="eastAsia" w:ascii="宋体" w:hAnsi="宋体"/>
          <w:b/>
          <w:bCs/>
          <w:sz w:val="36"/>
          <w:szCs w:val="36"/>
          <w:lang w:val="en-US" w:eastAsia="zh-CN"/>
        </w:rPr>
        <w:t>XGSZ-JG-</w:t>
      </w:r>
      <w:r>
        <w:rPr>
          <w:rFonts w:hint="eastAsia" w:ascii="黑体" w:eastAsia="黑体"/>
          <w:b/>
          <w:bCs/>
          <w:color w:val="auto"/>
          <w:w w:val="90"/>
          <w:sz w:val="32"/>
          <w:szCs w:val="32"/>
        </w:rPr>
        <w:t>20250709-01-ZJ</w:t>
      </w:r>
      <w:bookmarkEnd w:id="2"/>
    </w:p>
    <w:p>
      <w:pPr>
        <w:overflowPunct/>
        <w:autoSpaceDE/>
        <w:autoSpaceDN/>
        <w:adjustRightInd/>
        <w:spacing w:before="100" w:beforeAutospacing="1" w:after="100" w:afterAutospacing="1"/>
        <w:textAlignment w:val="auto"/>
        <w:outlineLvl w:val="9"/>
        <w:rPr>
          <w:rFonts w:hint="default" w:ascii="宋体" w:hAnsi="宋体" w:eastAsia="宋体"/>
          <w:b/>
          <w:bCs/>
          <w:sz w:val="36"/>
          <w:szCs w:val="36"/>
          <w:lang w:val="en-US" w:eastAsia="zh-CN"/>
        </w:rPr>
      </w:pPr>
      <w:r>
        <w:rPr>
          <w:rFonts w:hint="eastAsia" w:ascii="宋体" w:hAnsi="宋体"/>
          <w:b/>
          <w:bCs/>
          <w:sz w:val="36"/>
          <w:szCs w:val="36"/>
        </w:rPr>
        <w:t xml:space="preserve">      </w:t>
      </w:r>
      <w:bookmarkStart w:id="3" w:name="_Toc8481"/>
      <w:r>
        <w:rPr>
          <w:rFonts w:hint="eastAsia" w:ascii="宋体" w:hAnsi="宋体"/>
          <w:b/>
          <w:bCs/>
          <w:sz w:val="36"/>
          <w:szCs w:val="36"/>
        </w:rPr>
        <w:t>项目名称：</w:t>
      </w:r>
      <w:bookmarkEnd w:id="3"/>
      <w:r>
        <w:rPr>
          <w:rFonts w:hint="eastAsia" w:ascii="宋体" w:hAnsi="宋体"/>
          <w:b/>
          <w:bCs/>
          <w:sz w:val="36"/>
          <w:szCs w:val="36"/>
          <w:lang w:val="en-US" w:eastAsia="zh-CN"/>
        </w:rPr>
        <w:t>数控双柱立式车床</w:t>
      </w:r>
    </w:p>
    <w:p>
      <w:pPr>
        <w:overflowPunct/>
        <w:autoSpaceDE/>
        <w:autoSpaceDN/>
        <w:adjustRightInd/>
        <w:spacing w:before="100" w:beforeAutospacing="1" w:after="100" w:afterAutospacing="1"/>
        <w:jc w:val="center"/>
        <w:textAlignment w:val="auto"/>
        <w:outlineLvl w:val="9"/>
        <w:rPr>
          <w:rFonts w:hint="default" w:ascii="宋体" w:hAnsi="宋体"/>
          <w:b/>
          <w:bCs/>
          <w:sz w:val="36"/>
          <w:szCs w:val="36"/>
          <w:lang w:val="en-US" w:eastAsia="zh-CN"/>
        </w:rPr>
      </w:pPr>
      <w:bookmarkStart w:id="4" w:name="_Toc25448"/>
      <w:r>
        <w:rPr>
          <w:rFonts w:hint="eastAsia" w:ascii="宋体" w:hAnsi="宋体"/>
          <w:b/>
          <w:bCs/>
          <w:sz w:val="36"/>
          <w:szCs w:val="36"/>
          <w:lang w:val="en-US" w:eastAsia="zh-CN"/>
        </w:rPr>
        <w:t>2025年7月</w:t>
      </w:r>
      <w:bookmarkEnd w:id="4"/>
    </w:p>
    <w:bookmarkEnd w:id="0"/>
    <w:bookmarkEnd w:id="1"/>
    <w:p>
      <w:pPr>
        <w:pStyle w:val="25"/>
        <w:jc w:val="both"/>
        <w:outlineLvl w:val="9"/>
        <w:rPr>
          <w:rFonts w:hint="eastAsia" w:ascii="黑体" w:hAnsi="黑体" w:eastAsia="黑体"/>
          <w:sz w:val="52"/>
          <w:szCs w:val="52"/>
        </w:rPr>
      </w:pPr>
    </w:p>
    <w:sdt>
      <w:sdtPr>
        <w:rPr>
          <w:lang w:val="zh-CN"/>
        </w:rPr>
        <w:id w:val="-1809468319"/>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8959"/>
            </w:tabs>
          </w:pPr>
          <w:r>
            <w:fldChar w:fldCharType="begin"/>
          </w:r>
          <w:r>
            <w:instrText xml:space="preserve"> TOC \o "1-3" \h \z \u </w:instrText>
          </w:r>
          <w:r>
            <w:rPr>
              <w:rFonts w:hint="eastAsia"/>
            </w:rPr>
            <w:fldChar w:fldCharType="separate"/>
          </w:r>
          <w:r>
            <w:rPr>
              <w:bCs/>
              <w:lang w:val="zh-CN"/>
            </w:rPr>
            <w:fldChar w:fldCharType="begin"/>
          </w:r>
          <w:r>
            <w:rPr>
              <w:bCs/>
              <w:lang w:val="zh-CN"/>
            </w:rPr>
            <w:instrText xml:space="preserve"> HYPERLINK \l _Toc19197 </w:instrText>
          </w:r>
          <w:r>
            <w:rPr>
              <w:bCs/>
              <w:lang w:val="zh-CN"/>
            </w:rPr>
            <w:fldChar w:fldCharType="separate"/>
          </w:r>
          <w:r>
            <w:rPr>
              <w:rFonts w:hint="eastAsia" w:ascii="宋体" w:hAnsi="宋体" w:eastAsia="宋体" w:cs="宋体"/>
              <w:bCs/>
              <w:szCs w:val="36"/>
            </w:rPr>
            <w:t>第一章  投标邀请</w:t>
          </w:r>
          <w:r>
            <w:tab/>
          </w:r>
          <w:r>
            <w:fldChar w:fldCharType="begin"/>
          </w:r>
          <w:r>
            <w:instrText xml:space="preserve"> PAGEREF _Toc19197 \h </w:instrText>
          </w:r>
          <w:r>
            <w:fldChar w:fldCharType="separate"/>
          </w:r>
          <w:r>
            <w:t>4</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_Toc22591 </w:instrText>
          </w:r>
          <w:r>
            <w:rPr>
              <w:bCs/>
              <w:lang w:val="zh-CN"/>
            </w:rPr>
            <w:fldChar w:fldCharType="separate"/>
          </w:r>
          <w:r>
            <w:rPr>
              <w:rFonts w:hint="eastAsia" w:ascii="宋体" w:hAnsi="宋体"/>
              <w:szCs w:val="28"/>
            </w:rPr>
            <w:t>附：招标项目一览表</w:t>
          </w:r>
          <w:r>
            <w:tab/>
          </w:r>
          <w:r>
            <w:fldChar w:fldCharType="begin"/>
          </w:r>
          <w:r>
            <w:instrText xml:space="preserve"> PAGEREF _Toc22591 \h </w:instrText>
          </w:r>
          <w:r>
            <w:fldChar w:fldCharType="separate"/>
          </w:r>
          <w:r>
            <w:t>5</w:t>
          </w:r>
          <w:r>
            <w:fldChar w:fldCharType="end"/>
          </w:r>
          <w:r>
            <w:rPr>
              <w:bCs/>
              <w:lang w:val="zh-CN"/>
            </w:rPr>
            <w:fldChar w:fldCharType="end"/>
          </w:r>
        </w:p>
        <w:p>
          <w:pPr>
            <w:pStyle w:val="21"/>
            <w:tabs>
              <w:tab w:val="right" w:leader="dot" w:pos="8959"/>
            </w:tabs>
          </w:pPr>
          <w:r>
            <w:rPr>
              <w:bCs/>
              <w:lang w:val="zh-CN"/>
            </w:rPr>
            <w:fldChar w:fldCharType="begin"/>
          </w:r>
          <w:r>
            <w:rPr>
              <w:bCs/>
              <w:lang w:val="zh-CN"/>
            </w:rPr>
            <w:instrText xml:space="preserve"> HYPERLINK \l _Toc17639 </w:instrText>
          </w:r>
          <w:r>
            <w:rPr>
              <w:bCs/>
              <w:lang w:val="zh-CN"/>
            </w:rPr>
            <w:fldChar w:fldCharType="separate"/>
          </w:r>
          <w:r>
            <w:rPr>
              <w:rFonts w:hint="eastAsia" w:hAnsi="宋体"/>
              <w:bCs/>
              <w:szCs w:val="36"/>
            </w:rPr>
            <w:t>第二章  投标人须知</w:t>
          </w:r>
          <w:r>
            <w:tab/>
          </w:r>
          <w:r>
            <w:fldChar w:fldCharType="begin"/>
          </w:r>
          <w:r>
            <w:instrText xml:space="preserve"> PAGEREF _Toc17639 \h </w:instrText>
          </w:r>
          <w:r>
            <w:fldChar w:fldCharType="separate"/>
          </w:r>
          <w:r>
            <w:t>6</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_Toc17108 </w:instrText>
          </w:r>
          <w:r>
            <w:rPr>
              <w:bCs/>
              <w:lang w:val="zh-CN"/>
            </w:rPr>
            <w:fldChar w:fldCharType="separate"/>
          </w:r>
          <w:r>
            <w:rPr>
              <w:rFonts w:hint="eastAsia" w:ascii="宋体" w:hAnsi="宋体"/>
              <w:szCs w:val="28"/>
            </w:rPr>
            <w:t>投标人须知前附表</w:t>
          </w:r>
          <w:r>
            <w:tab/>
          </w:r>
          <w:r>
            <w:fldChar w:fldCharType="begin"/>
          </w:r>
          <w:r>
            <w:instrText xml:space="preserve"> PAGEREF _Toc17108 \h </w:instrText>
          </w:r>
          <w:r>
            <w:fldChar w:fldCharType="separate"/>
          </w:r>
          <w:r>
            <w:t>6</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_Toc14799 </w:instrText>
          </w:r>
          <w:r>
            <w:rPr>
              <w:bCs/>
              <w:lang w:val="zh-CN"/>
            </w:rPr>
            <w:fldChar w:fldCharType="separate"/>
          </w:r>
          <w:r>
            <w:rPr>
              <w:rFonts w:hint="eastAsia" w:ascii="宋体" w:hAnsi="宋体"/>
              <w:szCs w:val="28"/>
            </w:rPr>
            <w:t>第一节  说  明</w:t>
          </w:r>
          <w:r>
            <w:tab/>
          </w:r>
          <w:r>
            <w:fldChar w:fldCharType="begin"/>
          </w:r>
          <w:r>
            <w:instrText xml:space="preserve"> PAGEREF _Toc14799 \h </w:instrText>
          </w:r>
          <w:r>
            <w:fldChar w:fldCharType="separate"/>
          </w:r>
          <w:r>
            <w:t>9</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_Toc3400 </w:instrText>
          </w:r>
          <w:r>
            <w:rPr>
              <w:bCs/>
              <w:lang w:val="zh-CN"/>
            </w:rPr>
            <w:fldChar w:fldCharType="separate"/>
          </w:r>
          <w:r>
            <w:rPr>
              <w:rFonts w:hint="eastAsia" w:ascii="宋体" w:hAnsi="宋体" w:eastAsia="宋体" w:cs="宋体"/>
              <w:szCs w:val="24"/>
            </w:rPr>
            <w:t xml:space="preserve">1、 </w:t>
          </w:r>
          <w:r>
            <w:rPr>
              <w:rFonts w:hint="eastAsia" w:ascii="宋体" w:hAnsi="宋体" w:cs="宋体"/>
              <w:szCs w:val="24"/>
            </w:rPr>
            <w:t>适用范围</w:t>
          </w:r>
          <w:r>
            <w:tab/>
          </w:r>
          <w:r>
            <w:fldChar w:fldCharType="begin"/>
          </w:r>
          <w:r>
            <w:instrText xml:space="preserve"> PAGEREF _Toc3400 \h </w:instrText>
          </w:r>
          <w:r>
            <w:fldChar w:fldCharType="separate"/>
          </w:r>
          <w:r>
            <w:t>9</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_Toc2455 </w:instrText>
          </w:r>
          <w:r>
            <w:rPr>
              <w:bCs/>
              <w:lang w:val="zh-CN"/>
            </w:rPr>
            <w:fldChar w:fldCharType="separate"/>
          </w:r>
          <w:r>
            <w:rPr>
              <w:rFonts w:hint="eastAsia" w:ascii="宋体" w:hAnsi="宋体" w:eastAsia="宋体" w:cs="宋体"/>
              <w:szCs w:val="24"/>
            </w:rPr>
            <w:t xml:space="preserve">2、 </w:t>
          </w:r>
          <w:r>
            <w:rPr>
              <w:rFonts w:hint="eastAsia" w:ascii="宋体" w:hAnsi="宋体" w:cs="宋体"/>
              <w:szCs w:val="24"/>
            </w:rPr>
            <w:t>定义</w:t>
          </w:r>
          <w:r>
            <w:tab/>
          </w:r>
          <w:r>
            <w:fldChar w:fldCharType="begin"/>
          </w:r>
          <w:r>
            <w:instrText xml:space="preserve"> PAGEREF _Toc2455 \h </w:instrText>
          </w:r>
          <w:r>
            <w:fldChar w:fldCharType="separate"/>
          </w:r>
          <w:r>
            <w:t>9</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_Toc4266 </w:instrText>
          </w:r>
          <w:r>
            <w:rPr>
              <w:bCs/>
              <w:lang w:val="zh-CN"/>
            </w:rPr>
            <w:fldChar w:fldCharType="separate"/>
          </w:r>
          <w:r>
            <w:rPr>
              <w:rFonts w:hint="eastAsia" w:ascii="宋体" w:hAnsi="宋体" w:eastAsia="宋体" w:cs="宋体"/>
              <w:szCs w:val="24"/>
            </w:rPr>
            <w:t xml:space="preserve">3、 </w:t>
          </w:r>
          <w:r>
            <w:rPr>
              <w:rFonts w:hint="eastAsia" w:ascii="宋体" w:hAnsi="宋体" w:cs="宋体"/>
              <w:szCs w:val="24"/>
            </w:rPr>
            <w:t>合格的投标人</w:t>
          </w:r>
          <w:r>
            <w:tab/>
          </w:r>
          <w:r>
            <w:fldChar w:fldCharType="begin"/>
          </w:r>
          <w:r>
            <w:instrText xml:space="preserve"> PAGEREF _Toc4266 \h </w:instrText>
          </w:r>
          <w:r>
            <w:fldChar w:fldCharType="separate"/>
          </w:r>
          <w:r>
            <w:t>9</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_Toc9950 </w:instrText>
          </w:r>
          <w:r>
            <w:rPr>
              <w:bCs/>
              <w:lang w:val="zh-CN"/>
            </w:rPr>
            <w:fldChar w:fldCharType="separate"/>
          </w:r>
          <w:r>
            <w:rPr>
              <w:rFonts w:hint="eastAsia" w:ascii="宋体" w:hAnsi="宋体" w:eastAsia="宋体" w:cs="宋体"/>
              <w:szCs w:val="24"/>
            </w:rPr>
            <w:t xml:space="preserve">4、 </w:t>
          </w:r>
          <w:r>
            <w:rPr>
              <w:rFonts w:hint="eastAsia" w:ascii="宋体" w:hAnsi="宋体" w:cs="宋体"/>
              <w:szCs w:val="24"/>
            </w:rPr>
            <w:t>投标费用</w:t>
          </w:r>
          <w:r>
            <w:tab/>
          </w:r>
          <w:r>
            <w:fldChar w:fldCharType="begin"/>
          </w:r>
          <w:r>
            <w:instrText xml:space="preserve"> PAGEREF _Toc9950 \h </w:instrText>
          </w:r>
          <w:r>
            <w:fldChar w:fldCharType="separate"/>
          </w:r>
          <w:r>
            <w:t>11</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_Toc17323 </w:instrText>
          </w:r>
          <w:r>
            <w:rPr>
              <w:bCs/>
              <w:lang w:val="zh-CN"/>
            </w:rPr>
            <w:fldChar w:fldCharType="separate"/>
          </w:r>
          <w:r>
            <w:rPr>
              <w:rFonts w:hint="eastAsia" w:ascii="宋体" w:hAnsi="宋体"/>
              <w:szCs w:val="28"/>
            </w:rPr>
            <w:t>第二节  招标文件</w:t>
          </w:r>
          <w:r>
            <w:tab/>
          </w:r>
          <w:r>
            <w:fldChar w:fldCharType="begin"/>
          </w:r>
          <w:r>
            <w:instrText xml:space="preserve"> PAGEREF _Toc17323 \h </w:instrText>
          </w:r>
          <w:r>
            <w:fldChar w:fldCharType="separate"/>
          </w:r>
          <w:r>
            <w:t>11</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_Toc27127 </w:instrText>
          </w:r>
          <w:r>
            <w:rPr>
              <w:bCs/>
              <w:lang w:val="zh-CN"/>
            </w:rPr>
            <w:fldChar w:fldCharType="separate"/>
          </w:r>
          <w:r>
            <w:rPr>
              <w:rFonts w:hint="eastAsia" w:ascii="宋体" w:hAnsi="宋体" w:eastAsia="宋体" w:cs="宋体"/>
              <w:szCs w:val="24"/>
            </w:rPr>
            <w:t xml:space="preserve">5、 </w:t>
          </w:r>
          <w:r>
            <w:rPr>
              <w:rFonts w:hint="eastAsia" w:ascii="宋体" w:hAnsi="宋体" w:cs="宋体"/>
              <w:szCs w:val="24"/>
            </w:rPr>
            <w:t>招标文件的组成</w:t>
          </w:r>
          <w:r>
            <w:tab/>
          </w:r>
          <w:r>
            <w:fldChar w:fldCharType="begin"/>
          </w:r>
          <w:r>
            <w:instrText xml:space="preserve"> PAGEREF _Toc27127 \h </w:instrText>
          </w:r>
          <w:r>
            <w:fldChar w:fldCharType="separate"/>
          </w:r>
          <w:r>
            <w:t>11</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_Toc28716 </w:instrText>
          </w:r>
          <w:r>
            <w:rPr>
              <w:bCs/>
              <w:lang w:val="zh-CN"/>
            </w:rPr>
            <w:fldChar w:fldCharType="separate"/>
          </w:r>
          <w:r>
            <w:rPr>
              <w:rFonts w:hint="eastAsia" w:ascii="宋体" w:hAnsi="宋体" w:eastAsia="宋体" w:cs="宋体"/>
              <w:szCs w:val="24"/>
            </w:rPr>
            <w:t xml:space="preserve">6、 </w:t>
          </w:r>
          <w:r>
            <w:rPr>
              <w:rFonts w:hint="eastAsia" w:ascii="宋体" w:hAnsi="宋体" w:cs="宋体"/>
              <w:szCs w:val="24"/>
            </w:rPr>
            <w:t>招标文件的澄清</w:t>
          </w:r>
          <w:r>
            <w:tab/>
          </w:r>
          <w:r>
            <w:fldChar w:fldCharType="begin"/>
          </w:r>
          <w:r>
            <w:instrText xml:space="preserve"> PAGEREF _Toc28716 \h </w:instrText>
          </w:r>
          <w:r>
            <w:fldChar w:fldCharType="separate"/>
          </w:r>
          <w:r>
            <w:t>12</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_Toc25776 </w:instrText>
          </w:r>
          <w:r>
            <w:rPr>
              <w:bCs/>
              <w:lang w:val="zh-CN"/>
            </w:rPr>
            <w:fldChar w:fldCharType="separate"/>
          </w:r>
          <w:r>
            <w:rPr>
              <w:rFonts w:hint="eastAsia" w:ascii="宋体" w:hAnsi="宋体" w:eastAsia="宋体" w:cs="宋体"/>
              <w:szCs w:val="24"/>
            </w:rPr>
            <w:t xml:space="preserve">7、 </w:t>
          </w:r>
          <w:r>
            <w:rPr>
              <w:rFonts w:hint="eastAsia" w:ascii="宋体" w:hAnsi="宋体" w:cs="宋体"/>
              <w:szCs w:val="24"/>
            </w:rPr>
            <w:t>招标文件的修改</w:t>
          </w:r>
          <w:r>
            <w:tab/>
          </w:r>
          <w:r>
            <w:fldChar w:fldCharType="begin"/>
          </w:r>
          <w:r>
            <w:instrText xml:space="preserve"> PAGEREF _Toc25776 \h </w:instrText>
          </w:r>
          <w:r>
            <w:fldChar w:fldCharType="separate"/>
          </w:r>
          <w:r>
            <w:t>12</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_Toc23148 </w:instrText>
          </w:r>
          <w:r>
            <w:rPr>
              <w:bCs/>
              <w:lang w:val="zh-CN"/>
            </w:rPr>
            <w:fldChar w:fldCharType="separate"/>
          </w:r>
          <w:r>
            <w:rPr>
              <w:rFonts w:hint="eastAsia" w:ascii="宋体" w:hAnsi="宋体"/>
              <w:szCs w:val="28"/>
            </w:rPr>
            <w:t>第三节  投标文件的编写</w:t>
          </w:r>
          <w:r>
            <w:tab/>
          </w:r>
          <w:r>
            <w:fldChar w:fldCharType="begin"/>
          </w:r>
          <w:r>
            <w:instrText xml:space="preserve"> PAGEREF _Toc23148 \h </w:instrText>
          </w:r>
          <w:r>
            <w:fldChar w:fldCharType="separate"/>
          </w:r>
          <w:r>
            <w:t>12</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_Toc1359 </w:instrText>
          </w:r>
          <w:r>
            <w:rPr>
              <w:bCs/>
              <w:lang w:val="zh-CN"/>
            </w:rPr>
            <w:fldChar w:fldCharType="separate"/>
          </w:r>
          <w:r>
            <w:rPr>
              <w:rFonts w:hint="eastAsia" w:ascii="宋体" w:hAnsi="宋体" w:eastAsia="宋体" w:cs="宋体"/>
              <w:szCs w:val="24"/>
            </w:rPr>
            <w:t xml:space="preserve">8、 </w:t>
          </w:r>
          <w:r>
            <w:rPr>
              <w:rFonts w:hint="eastAsia" w:ascii="宋体" w:hAnsi="宋体" w:cs="宋体"/>
              <w:szCs w:val="24"/>
            </w:rPr>
            <w:t>投标要求</w:t>
          </w:r>
          <w:r>
            <w:tab/>
          </w:r>
          <w:r>
            <w:fldChar w:fldCharType="begin"/>
          </w:r>
          <w:r>
            <w:instrText xml:space="preserve"> PAGEREF _Toc1359 \h </w:instrText>
          </w:r>
          <w:r>
            <w:fldChar w:fldCharType="separate"/>
          </w:r>
          <w:r>
            <w:t>12</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_Toc3732 </w:instrText>
          </w:r>
          <w:r>
            <w:rPr>
              <w:bCs/>
              <w:lang w:val="zh-CN"/>
            </w:rPr>
            <w:fldChar w:fldCharType="separate"/>
          </w:r>
          <w:r>
            <w:rPr>
              <w:rFonts w:hint="eastAsia" w:ascii="宋体" w:hAnsi="宋体" w:eastAsia="宋体" w:cs="宋体"/>
              <w:szCs w:val="24"/>
            </w:rPr>
            <w:t xml:space="preserve">9、 </w:t>
          </w:r>
          <w:r>
            <w:rPr>
              <w:rFonts w:hint="eastAsia" w:ascii="宋体" w:hAnsi="宋体" w:cs="宋体"/>
              <w:szCs w:val="24"/>
            </w:rPr>
            <w:t>投标文件语言</w:t>
          </w:r>
          <w:r>
            <w:tab/>
          </w:r>
          <w:r>
            <w:fldChar w:fldCharType="begin"/>
          </w:r>
          <w:r>
            <w:instrText xml:space="preserve"> PAGEREF _Toc3732 \h </w:instrText>
          </w:r>
          <w:r>
            <w:fldChar w:fldCharType="separate"/>
          </w:r>
          <w:r>
            <w:t>13</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_Toc28592 </w:instrText>
          </w:r>
          <w:r>
            <w:rPr>
              <w:bCs/>
              <w:lang w:val="zh-CN"/>
            </w:rPr>
            <w:fldChar w:fldCharType="separate"/>
          </w:r>
          <w:r>
            <w:rPr>
              <w:rFonts w:hint="eastAsia" w:ascii="宋体" w:hAnsi="宋体" w:eastAsia="宋体" w:cs="宋体"/>
              <w:szCs w:val="24"/>
            </w:rPr>
            <w:t xml:space="preserve">10、 </w:t>
          </w:r>
          <w:r>
            <w:rPr>
              <w:rFonts w:hint="eastAsia" w:ascii="宋体" w:hAnsi="宋体" w:cs="宋体"/>
              <w:szCs w:val="24"/>
            </w:rPr>
            <w:t>投标文件的组成</w:t>
          </w:r>
          <w:r>
            <w:tab/>
          </w:r>
          <w:r>
            <w:fldChar w:fldCharType="begin"/>
          </w:r>
          <w:r>
            <w:instrText xml:space="preserve"> PAGEREF _Toc28592 \h </w:instrText>
          </w:r>
          <w:r>
            <w:fldChar w:fldCharType="separate"/>
          </w:r>
          <w:r>
            <w:t>13</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_Toc5759 </w:instrText>
          </w:r>
          <w:r>
            <w:rPr>
              <w:bCs/>
              <w:lang w:val="zh-CN"/>
            </w:rPr>
            <w:fldChar w:fldCharType="separate"/>
          </w:r>
          <w:r>
            <w:rPr>
              <w:rFonts w:hint="eastAsia" w:ascii="宋体" w:hAnsi="宋体" w:eastAsia="宋体" w:cs="宋体"/>
              <w:szCs w:val="24"/>
            </w:rPr>
            <w:t xml:space="preserve">11、 </w:t>
          </w:r>
          <w:r>
            <w:rPr>
              <w:rFonts w:hint="eastAsia" w:ascii="宋体" w:hAnsi="宋体" w:cs="宋体"/>
              <w:szCs w:val="24"/>
            </w:rPr>
            <w:t>投标有效期</w:t>
          </w:r>
          <w:r>
            <w:tab/>
          </w:r>
          <w:r>
            <w:fldChar w:fldCharType="begin"/>
          </w:r>
          <w:r>
            <w:instrText xml:space="preserve"> PAGEREF _Toc5759 \h </w:instrText>
          </w:r>
          <w:r>
            <w:fldChar w:fldCharType="separate"/>
          </w:r>
          <w:r>
            <w:t>13</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_Toc15185 </w:instrText>
          </w:r>
          <w:r>
            <w:rPr>
              <w:bCs/>
              <w:lang w:val="zh-CN"/>
            </w:rPr>
            <w:fldChar w:fldCharType="separate"/>
          </w:r>
          <w:r>
            <w:rPr>
              <w:rFonts w:hint="eastAsia" w:ascii="宋体" w:hAnsi="宋体" w:eastAsia="宋体" w:cs="宋体"/>
              <w:szCs w:val="24"/>
            </w:rPr>
            <w:t xml:space="preserve">12、 </w:t>
          </w:r>
          <w:r>
            <w:rPr>
              <w:rFonts w:hint="eastAsia" w:ascii="宋体" w:hAnsi="宋体" w:cs="宋体"/>
              <w:szCs w:val="24"/>
            </w:rPr>
            <w:t>投标保证金</w:t>
          </w:r>
          <w:r>
            <w:tab/>
          </w:r>
          <w:r>
            <w:fldChar w:fldCharType="begin"/>
          </w:r>
          <w:r>
            <w:instrText xml:space="preserve"> PAGEREF _Toc15185 \h </w:instrText>
          </w:r>
          <w:r>
            <w:fldChar w:fldCharType="separate"/>
          </w:r>
          <w:r>
            <w:t>14</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_Toc27021 </w:instrText>
          </w:r>
          <w:r>
            <w:rPr>
              <w:bCs/>
              <w:lang w:val="zh-CN"/>
            </w:rPr>
            <w:fldChar w:fldCharType="separate"/>
          </w:r>
          <w:r>
            <w:rPr>
              <w:rFonts w:hint="eastAsia" w:ascii="宋体" w:hAnsi="宋体" w:eastAsia="宋体" w:cs="宋体"/>
              <w:szCs w:val="24"/>
            </w:rPr>
            <w:t xml:space="preserve">13、 </w:t>
          </w:r>
          <w:r>
            <w:rPr>
              <w:rFonts w:hint="eastAsia" w:ascii="宋体" w:hAnsi="宋体" w:cs="宋体"/>
              <w:szCs w:val="24"/>
            </w:rPr>
            <w:t>投标文件的格式</w:t>
          </w:r>
          <w:r>
            <w:tab/>
          </w:r>
          <w:r>
            <w:fldChar w:fldCharType="begin"/>
          </w:r>
          <w:r>
            <w:instrText xml:space="preserve"> PAGEREF _Toc27021 \h </w:instrText>
          </w:r>
          <w:r>
            <w:fldChar w:fldCharType="separate"/>
          </w:r>
          <w:r>
            <w:t>14</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_Toc3954 </w:instrText>
          </w:r>
          <w:r>
            <w:rPr>
              <w:bCs/>
              <w:lang w:val="zh-CN"/>
            </w:rPr>
            <w:fldChar w:fldCharType="separate"/>
          </w:r>
          <w:r>
            <w:rPr>
              <w:rFonts w:hint="eastAsia" w:ascii="宋体" w:hAnsi="宋体"/>
              <w:szCs w:val="28"/>
            </w:rPr>
            <w:t>第四节  投标文件的提交</w:t>
          </w:r>
          <w:r>
            <w:tab/>
          </w:r>
          <w:r>
            <w:fldChar w:fldCharType="begin"/>
          </w:r>
          <w:r>
            <w:instrText xml:space="preserve"> PAGEREF _Toc3954 \h </w:instrText>
          </w:r>
          <w:r>
            <w:fldChar w:fldCharType="separate"/>
          </w:r>
          <w:r>
            <w:t>15</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_Toc11351 </w:instrText>
          </w:r>
          <w:r>
            <w:rPr>
              <w:bCs/>
              <w:lang w:val="zh-CN"/>
            </w:rPr>
            <w:fldChar w:fldCharType="separate"/>
          </w:r>
          <w:r>
            <w:rPr>
              <w:rFonts w:hint="eastAsia" w:ascii="宋体" w:hAnsi="宋体" w:eastAsia="宋体" w:cs="宋体"/>
              <w:szCs w:val="24"/>
            </w:rPr>
            <w:t xml:space="preserve">14、 </w:t>
          </w:r>
          <w:r>
            <w:rPr>
              <w:rFonts w:hint="eastAsia" w:ascii="宋体" w:hAnsi="宋体" w:cs="宋体"/>
              <w:szCs w:val="24"/>
            </w:rPr>
            <w:t>投标文件的密封、标记和递交</w:t>
          </w:r>
          <w:r>
            <w:tab/>
          </w:r>
          <w:r>
            <w:fldChar w:fldCharType="begin"/>
          </w:r>
          <w:r>
            <w:instrText xml:space="preserve"> PAGEREF _Toc11351 \h </w:instrText>
          </w:r>
          <w:r>
            <w:fldChar w:fldCharType="separate"/>
          </w:r>
          <w:r>
            <w:t>15</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_Toc4365 </w:instrText>
          </w:r>
          <w:r>
            <w:rPr>
              <w:bCs/>
              <w:lang w:val="zh-CN"/>
            </w:rPr>
            <w:fldChar w:fldCharType="separate"/>
          </w:r>
          <w:r>
            <w:rPr>
              <w:rFonts w:hint="eastAsia" w:ascii="宋体" w:hAnsi="宋体"/>
              <w:szCs w:val="28"/>
            </w:rPr>
            <w:t>第五节  开标和评标</w:t>
          </w:r>
          <w:r>
            <w:tab/>
          </w:r>
          <w:r>
            <w:fldChar w:fldCharType="begin"/>
          </w:r>
          <w:r>
            <w:instrText xml:space="preserve"> PAGEREF _Toc4365 \h </w:instrText>
          </w:r>
          <w:r>
            <w:fldChar w:fldCharType="separate"/>
          </w:r>
          <w:r>
            <w:t>15</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_Toc14968 </w:instrText>
          </w:r>
          <w:r>
            <w:rPr>
              <w:bCs/>
              <w:lang w:val="zh-CN"/>
            </w:rPr>
            <w:fldChar w:fldCharType="separate"/>
          </w:r>
          <w:r>
            <w:rPr>
              <w:rFonts w:hint="eastAsia" w:ascii="宋体" w:hAnsi="宋体" w:eastAsia="宋体" w:cs="宋体"/>
              <w:szCs w:val="24"/>
            </w:rPr>
            <w:t xml:space="preserve">15、 </w:t>
          </w:r>
          <w:r>
            <w:rPr>
              <w:rFonts w:hint="eastAsia" w:ascii="宋体" w:hAnsi="宋体" w:cs="宋体"/>
              <w:szCs w:val="24"/>
            </w:rPr>
            <w:t>开标、评标时间</w:t>
          </w:r>
          <w:r>
            <w:tab/>
          </w:r>
          <w:r>
            <w:fldChar w:fldCharType="begin"/>
          </w:r>
          <w:r>
            <w:instrText xml:space="preserve"> PAGEREF _Toc14968 \h </w:instrText>
          </w:r>
          <w:r>
            <w:fldChar w:fldCharType="separate"/>
          </w:r>
          <w:r>
            <w:t>15</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_Toc7809 </w:instrText>
          </w:r>
          <w:r>
            <w:rPr>
              <w:bCs/>
              <w:lang w:val="zh-CN"/>
            </w:rPr>
            <w:fldChar w:fldCharType="separate"/>
          </w:r>
          <w:r>
            <w:rPr>
              <w:rFonts w:hint="eastAsia" w:ascii="宋体" w:hAnsi="宋体" w:eastAsia="宋体" w:cs="宋体"/>
              <w:szCs w:val="24"/>
            </w:rPr>
            <w:t xml:space="preserve">16、 </w:t>
          </w:r>
          <w:r>
            <w:rPr>
              <w:rFonts w:hint="eastAsia" w:ascii="宋体" w:hAnsi="宋体" w:cs="宋体"/>
              <w:szCs w:val="24"/>
            </w:rPr>
            <w:t>评标</w:t>
          </w:r>
          <w:r>
            <w:tab/>
          </w:r>
          <w:r>
            <w:fldChar w:fldCharType="begin"/>
          </w:r>
          <w:r>
            <w:instrText xml:space="preserve"> PAGEREF _Toc7809 \h </w:instrText>
          </w:r>
          <w:r>
            <w:fldChar w:fldCharType="separate"/>
          </w:r>
          <w:r>
            <w:t>16</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_Toc23738 </w:instrText>
          </w:r>
          <w:r>
            <w:rPr>
              <w:bCs/>
              <w:lang w:val="zh-CN"/>
            </w:rPr>
            <w:fldChar w:fldCharType="separate"/>
          </w:r>
          <w:r>
            <w:rPr>
              <w:rFonts w:hint="eastAsia" w:ascii="宋体" w:hAnsi="宋体"/>
              <w:szCs w:val="28"/>
            </w:rPr>
            <w:t>第六节  定标与签订合同</w:t>
          </w:r>
          <w:r>
            <w:tab/>
          </w:r>
          <w:r>
            <w:fldChar w:fldCharType="begin"/>
          </w:r>
          <w:r>
            <w:instrText xml:space="preserve"> PAGEREF _Toc23738 \h </w:instrText>
          </w:r>
          <w:r>
            <w:fldChar w:fldCharType="separate"/>
          </w:r>
          <w:r>
            <w:t>16</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_Toc386 </w:instrText>
          </w:r>
          <w:r>
            <w:rPr>
              <w:bCs/>
              <w:lang w:val="zh-CN"/>
            </w:rPr>
            <w:fldChar w:fldCharType="separate"/>
          </w:r>
          <w:r>
            <w:rPr>
              <w:rFonts w:hint="eastAsia" w:ascii="宋体" w:hAnsi="宋体" w:eastAsia="宋体" w:cs="宋体"/>
              <w:szCs w:val="24"/>
            </w:rPr>
            <w:t xml:space="preserve">17、 </w:t>
          </w:r>
          <w:r>
            <w:rPr>
              <w:rFonts w:hint="eastAsia" w:ascii="宋体" w:hAnsi="宋体" w:cs="宋体"/>
              <w:szCs w:val="24"/>
            </w:rPr>
            <w:t>定标准则</w:t>
          </w:r>
          <w:r>
            <w:tab/>
          </w:r>
          <w:r>
            <w:fldChar w:fldCharType="begin"/>
          </w:r>
          <w:r>
            <w:instrText xml:space="preserve"> PAGEREF _Toc386 \h </w:instrText>
          </w:r>
          <w:r>
            <w:fldChar w:fldCharType="separate"/>
          </w:r>
          <w:r>
            <w:t>16</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_Toc22917 </w:instrText>
          </w:r>
          <w:r>
            <w:rPr>
              <w:bCs/>
              <w:lang w:val="zh-CN"/>
            </w:rPr>
            <w:fldChar w:fldCharType="separate"/>
          </w:r>
          <w:r>
            <w:rPr>
              <w:rFonts w:hint="eastAsia" w:ascii="宋体" w:hAnsi="宋体" w:eastAsia="宋体" w:cs="宋体"/>
              <w:szCs w:val="24"/>
            </w:rPr>
            <w:t xml:space="preserve">18、 </w:t>
          </w:r>
          <w:r>
            <w:rPr>
              <w:rFonts w:hint="eastAsia" w:ascii="宋体" w:hAnsi="宋体" w:cs="宋体"/>
              <w:szCs w:val="24"/>
            </w:rPr>
            <w:t>接受和拒绝任何或所有投标的权利</w:t>
          </w:r>
          <w:r>
            <w:tab/>
          </w:r>
          <w:r>
            <w:fldChar w:fldCharType="begin"/>
          </w:r>
          <w:r>
            <w:instrText xml:space="preserve"> PAGEREF _Toc22917 \h </w:instrText>
          </w:r>
          <w:r>
            <w:fldChar w:fldCharType="separate"/>
          </w:r>
          <w:r>
            <w:t>16</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_Toc4183 </w:instrText>
          </w:r>
          <w:r>
            <w:rPr>
              <w:bCs/>
              <w:lang w:val="zh-CN"/>
            </w:rPr>
            <w:fldChar w:fldCharType="separate"/>
          </w:r>
          <w:r>
            <w:rPr>
              <w:rFonts w:hint="eastAsia" w:ascii="宋体" w:hAnsi="宋体" w:eastAsia="宋体" w:cs="宋体"/>
              <w:szCs w:val="24"/>
            </w:rPr>
            <w:t xml:space="preserve">19、 </w:t>
          </w:r>
          <w:r>
            <w:rPr>
              <w:rFonts w:hint="eastAsia" w:ascii="宋体" w:hAnsi="宋体" w:cs="宋体"/>
              <w:szCs w:val="24"/>
            </w:rPr>
            <w:t>中标通知</w:t>
          </w:r>
          <w:r>
            <w:tab/>
          </w:r>
          <w:r>
            <w:fldChar w:fldCharType="begin"/>
          </w:r>
          <w:r>
            <w:instrText xml:space="preserve"> PAGEREF _Toc4183 \h </w:instrText>
          </w:r>
          <w:r>
            <w:fldChar w:fldCharType="separate"/>
          </w:r>
          <w:r>
            <w:t>16</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_Toc14715 </w:instrText>
          </w:r>
          <w:r>
            <w:rPr>
              <w:bCs/>
              <w:lang w:val="zh-CN"/>
            </w:rPr>
            <w:fldChar w:fldCharType="separate"/>
          </w:r>
          <w:r>
            <w:rPr>
              <w:rFonts w:hint="eastAsia" w:ascii="宋体" w:hAnsi="宋体" w:eastAsia="宋体" w:cs="宋体"/>
              <w:szCs w:val="24"/>
            </w:rPr>
            <w:t xml:space="preserve">20、 </w:t>
          </w:r>
          <w:r>
            <w:rPr>
              <w:rFonts w:hint="eastAsia" w:ascii="宋体" w:hAnsi="宋体" w:cs="宋体"/>
              <w:szCs w:val="24"/>
            </w:rPr>
            <w:t>签订合同</w:t>
          </w:r>
          <w:r>
            <w:tab/>
          </w:r>
          <w:r>
            <w:fldChar w:fldCharType="begin"/>
          </w:r>
          <w:r>
            <w:instrText xml:space="preserve"> PAGEREF _Toc14715 \h </w:instrText>
          </w:r>
          <w:r>
            <w:fldChar w:fldCharType="separate"/>
          </w:r>
          <w:r>
            <w:t>17</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_Toc30387 </w:instrText>
          </w:r>
          <w:r>
            <w:rPr>
              <w:bCs/>
              <w:lang w:val="zh-CN"/>
            </w:rPr>
            <w:fldChar w:fldCharType="separate"/>
          </w:r>
          <w:r>
            <w:rPr>
              <w:rFonts w:hint="eastAsia" w:ascii="宋体" w:hAnsi="宋体"/>
              <w:szCs w:val="28"/>
            </w:rPr>
            <w:t>第七节  询问与异议</w:t>
          </w:r>
          <w:r>
            <w:tab/>
          </w:r>
          <w:r>
            <w:fldChar w:fldCharType="begin"/>
          </w:r>
          <w:r>
            <w:instrText xml:space="preserve"> PAGEREF _Toc30387 \h </w:instrText>
          </w:r>
          <w:r>
            <w:fldChar w:fldCharType="separate"/>
          </w:r>
          <w:r>
            <w:t>17</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_Toc28881 </w:instrText>
          </w:r>
          <w:r>
            <w:rPr>
              <w:bCs/>
              <w:lang w:val="zh-CN"/>
            </w:rPr>
            <w:fldChar w:fldCharType="separate"/>
          </w:r>
          <w:r>
            <w:rPr>
              <w:rFonts w:hint="eastAsia" w:ascii="宋体" w:hAnsi="宋体" w:eastAsia="宋体" w:cs="宋体"/>
              <w:szCs w:val="24"/>
            </w:rPr>
            <w:t xml:space="preserve">21、 </w:t>
          </w:r>
          <w:r>
            <w:rPr>
              <w:rFonts w:hint="eastAsia" w:ascii="宋体" w:hAnsi="宋体" w:cs="宋体"/>
              <w:szCs w:val="24"/>
            </w:rPr>
            <w:t>询问</w:t>
          </w:r>
          <w:r>
            <w:tab/>
          </w:r>
          <w:r>
            <w:fldChar w:fldCharType="begin"/>
          </w:r>
          <w:r>
            <w:instrText xml:space="preserve"> PAGEREF _Toc28881 \h </w:instrText>
          </w:r>
          <w:r>
            <w:fldChar w:fldCharType="separate"/>
          </w:r>
          <w:r>
            <w:t>17</w:t>
          </w:r>
          <w:r>
            <w:fldChar w:fldCharType="end"/>
          </w:r>
          <w:r>
            <w:rPr>
              <w:bCs/>
              <w:lang w:val="zh-CN"/>
            </w:rPr>
            <w:fldChar w:fldCharType="end"/>
          </w:r>
        </w:p>
        <w:p>
          <w:pPr>
            <w:pStyle w:val="14"/>
            <w:tabs>
              <w:tab w:val="right" w:leader="dot" w:pos="8959"/>
            </w:tabs>
          </w:pPr>
          <w:r>
            <w:rPr>
              <w:bCs/>
              <w:lang w:val="zh-CN"/>
            </w:rPr>
            <w:fldChar w:fldCharType="begin"/>
          </w:r>
          <w:r>
            <w:rPr>
              <w:bCs/>
              <w:lang w:val="zh-CN"/>
            </w:rPr>
            <w:instrText xml:space="preserve"> HYPERLINK \l _Toc6677 </w:instrText>
          </w:r>
          <w:r>
            <w:rPr>
              <w:bCs/>
              <w:lang w:val="zh-CN"/>
            </w:rPr>
            <w:fldChar w:fldCharType="separate"/>
          </w:r>
          <w:r>
            <w:rPr>
              <w:rFonts w:hint="eastAsia" w:ascii="宋体" w:hAnsi="宋体" w:eastAsia="宋体" w:cs="宋体"/>
              <w:szCs w:val="24"/>
            </w:rPr>
            <w:t xml:space="preserve">22、 </w:t>
          </w:r>
          <w:r>
            <w:rPr>
              <w:rFonts w:hint="eastAsia" w:ascii="宋体" w:hAnsi="宋体" w:cs="宋体"/>
              <w:szCs w:val="24"/>
            </w:rPr>
            <w:t>异议</w:t>
          </w:r>
          <w:r>
            <w:tab/>
          </w:r>
          <w:r>
            <w:fldChar w:fldCharType="begin"/>
          </w:r>
          <w:r>
            <w:instrText xml:space="preserve"> PAGEREF _Toc6677 \h </w:instrText>
          </w:r>
          <w:r>
            <w:fldChar w:fldCharType="separate"/>
          </w:r>
          <w:r>
            <w:t>17</w:t>
          </w:r>
          <w:r>
            <w:fldChar w:fldCharType="end"/>
          </w:r>
          <w:r>
            <w:rPr>
              <w:bCs/>
              <w:lang w:val="zh-CN"/>
            </w:rPr>
            <w:fldChar w:fldCharType="end"/>
          </w:r>
        </w:p>
        <w:p>
          <w:pPr>
            <w:pStyle w:val="21"/>
            <w:tabs>
              <w:tab w:val="right" w:leader="dot" w:pos="8959"/>
            </w:tabs>
          </w:pPr>
          <w:r>
            <w:rPr>
              <w:bCs/>
              <w:lang w:val="zh-CN"/>
            </w:rPr>
            <w:fldChar w:fldCharType="begin"/>
          </w:r>
          <w:r>
            <w:rPr>
              <w:bCs/>
              <w:lang w:val="zh-CN"/>
            </w:rPr>
            <w:instrText xml:space="preserve"> HYPERLINK \l _Toc4258 </w:instrText>
          </w:r>
          <w:r>
            <w:rPr>
              <w:bCs/>
              <w:lang w:val="zh-CN"/>
            </w:rPr>
            <w:fldChar w:fldCharType="separate"/>
          </w:r>
          <w:r>
            <w:rPr>
              <w:rFonts w:hint="eastAsia" w:hAnsi="宋体"/>
              <w:bCs/>
              <w:szCs w:val="36"/>
            </w:rPr>
            <w:t>第三章  评标办法</w:t>
          </w:r>
          <w:r>
            <w:tab/>
          </w:r>
          <w:r>
            <w:fldChar w:fldCharType="begin"/>
          </w:r>
          <w:r>
            <w:instrText xml:space="preserve"> PAGEREF _Toc4258 \h </w:instrText>
          </w:r>
          <w:r>
            <w:fldChar w:fldCharType="separate"/>
          </w:r>
          <w:r>
            <w:t>19</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_Toc27230 </w:instrText>
          </w:r>
          <w:r>
            <w:rPr>
              <w:bCs/>
              <w:lang w:val="zh-CN"/>
            </w:rPr>
            <w:fldChar w:fldCharType="separate"/>
          </w:r>
          <w:r>
            <w:rPr>
              <w:rFonts w:hint="eastAsia" w:ascii="宋体" w:hAnsi="宋体"/>
              <w:szCs w:val="24"/>
            </w:rPr>
            <w:t>1、总则</w:t>
          </w:r>
          <w:r>
            <w:tab/>
          </w:r>
          <w:r>
            <w:fldChar w:fldCharType="begin"/>
          </w:r>
          <w:r>
            <w:instrText xml:space="preserve"> PAGEREF _Toc27230 \h </w:instrText>
          </w:r>
          <w:r>
            <w:fldChar w:fldCharType="separate"/>
          </w:r>
          <w:r>
            <w:t>19</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_Toc10166 </w:instrText>
          </w:r>
          <w:r>
            <w:rPr>
              <w:bCs/>
              <w:lang w:val="zh-CN"/>
            </w:rPr>
            <w:fldChar w:fldCharType="separate"/>
          </w:r>
          <w:r>
            <w:rPr>
              <w:rFonts w:hint="eastAsia" w:ascii="宋体" w:hAnsi="宋体"/>
              <w:szCs w:val="24"/>
            </w:rPr>
            <w:t>2、评标委员会的组建</w:t>
          </w:r>
          <w:r>
            <w:tab/>
          </w:r>
          <w:r>
            <w:fldChar w:fldCharType="begin"/>
          </w:r>
          <w:r>
            <w:instrText xml:space="preserve"> PAGEREF _Toc10166 \h </w:instrText>
          </w:r>
          <w:r>
            <w:fldChar w:fldCharType="separate"/>
          </w:r>
          <w:r>
            <w:t>19</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_Toc18422 </w:instrText>
          </w:r>
          <w:r>
            <w:rPr>
              <w:bCs/>
              <w:lang w:val="zh-CN"/>
            </w:rPr>
            <w:fldChar w:fldCharType="separate"/>
          </w:r>
          <w:r>
            <w:rPr>
              <w:rFonts w:hint="eastAsia" w:ascii="宋体" w:hAnsi="宋体"/>
              <w:szCs w:val="24"/>
            </w:rPr>
            <w:t>3、评标原则和评标纪律</w:t>
          </w:r>
          <w:r>
            <w:tab/>
          </w:r>
          <w:r>
            <w:fldChar w:fldCharType="begin"/>
          </w:r>
          <w:r>
            <w:instrText xml:space="preserve"> PAGEREF _Toc18422 \h </w:instrText>
          </w:r>
          <w:r>
            <w:fldChar w:fldCharType="separate"/>
          </w:r>
          <w:r>
            <w:t>19</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_Toc30348 </w:instrText>
          </w:r>
          <w:r>
            <w:rPr>
              <w:bCs/>
              <w:lang w:val="zh-CN"/>
            </w:rPr>
            <w:fldChar w:fldCharType="separate"/>
          </w:r>
          <w:r>
            <w:rPr>
              <w:rFonts w:hint="eastAsia" w:ascii="宋体" w:hAnsi="宋体"/>
              <w:szCs w:val="24"/>
            </w:rPr>
            <w:t>4、评标程序、评标办法和标准</w:t>
          </w:r>
          <w:r>
            <w:tab/>
          </w:r>
          <w:r>
            <w:fldChar w:fldCharType="begin"/>
          </w:r>
          <w:r>
            <w:instrText xml:space="preserve"> PAGEREF _Toc30348 \h </w:instrText>
          </w:r>
          <w:r>
            <w:fldChar w:fldCharType="separate"/>
          </w:r>
          <w:r>
            <w:t>20</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_Toc13365 </w:instrText>
          </w:r>
          <w:r>
            <w:rPr>
              <w:bCs/>
              <w:lang w:val="zh-CN"/>
            </w:rPr>
            <w:fldChar w:fldCharType="separate"/>
          </w:r>
          <w:r>
            <w:rPr>
              <w:rFonts w:hint="eastAsia" w:ascii="宋体" w:hAnsi="宋体"/>
              <w:szCs w:val="24"/>
            </w:rPr>
            <w:t>5、评标方法</w:t>
          </w:r>
          <w:r>
            <w:tab/>
          </w:r>
          <w:r>
            <w:fldChar w:fldCharType="begin"/>
          </w:r>
          <w:r>
            <w:instrText xml:space="preserve"> PAGEREF _Toc13365 \h </w:instrText>
          </w:r>
          <w:r>
            <w:fldChar w:fldCharType="separate"/>
          </w:r>
          <w:r>
            <w:t>22</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_Toc30892 </w:instrText>
          </w:r>
          <w:r>
            <w:rPr>
              <w:bCs/>
              <w:lang w:val="zh-CN"/>
            </w:rPr>
            <w:fldChar w:fldCharType="separate"/>
          </w:r>
          <w:r>
            <w:rPr>
              <w:rFonts w:hint="eastAsia" w:ascii="宋体" w:hAnsi="宋体"/>
              <w:szCs w:val="24"/>
            </w:rPr>
            <w:t>6、推荐中标候选人名单。</w:t>
          </w:r>
          <w:r>
            <w:tab/>
          </w:r>
          <w:r>
            <w:fldChar w:fldCharType="begin"/>
          </w:r>
          <w:r>
            <w:instrText xml:space="preserve"> PAGEREF _Toc30892 \h </w:instrText>
          </w:r>
          <w:r>
            <w:fldChar w:fldCharType="separate"/>
          </w:r>
          <w:r>
            <w:t>22</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_Toc26086 </w:instrText>
          </w:r>
          <w:r>
            <w:rPr>
              <w:bCs/>
              <w:lang w:val="zh-CN"/>
            </w:rPr>
            <w:fldChar w:fldCharType="separate"/>
          </w:r>
          <w:r>
            <w:rPr>
              <w:rFonts w:hint="eastAsia" w:ascii="宋体" w:hAnsi="宋体"/>
              <w:szCs w:val="24"/>
            </w:rPr>
            <w:t>7、定标原则</w:t>
          </w:r>
          <w:r>
            <w:tab/>
          </w:r>
          <w:r>
            <w:fldChar w:fldCharType="begin"/>
          </w:r>
          <w:r>
            <w:instrText xml:space="preserve"> PAGEREF _Toc26086 \h </w:instrText>
          </w:r>
          <w:r>
            <w:fldChar w:fldCharType="separate"/>
          </w:r>
          <w:r>
            <w:t>22</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_Toc5511 </w:instrText>
          </w:r>
          <w:r>
            <w:rPr>
              <w:bCs/>
              <w:lang w:val="zh-CN"/>
            </w:rPr>
            <w:fldChar w:fldCharType="separate"/>
          </w:r>
          <w:r>
            <w:rPr>
              <w:rFonts w:hint="eastAsia" w:cs="宋体"/>
              <w:bCs/>
              <w:szCs w:val="28"/>
            </w:rPr>
            <w:t>附表1：资格审查表</w:t>
          </w:r>
          <w:r>
            <w:tab/>
          </w:r>
          <w:r>
            <w:fldChar w:fldCharType="begin"/>
          </w:r>
          <w:r>
            <w:instrText xml:space="preserve"> PAGEREF _Toc5511 \h </w:instrText>
          </w:r>
          <w:r>
            <w:fldChar w:fldCharType="separate"/>
          </w:r>
          <w:r>
            <w:t>24</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_Toc27430 </w:instrText>
          </w:r>
          <w:r>
            <w:rPr>
              <w:bCs/>
              <w:lang w:val="zh-CN"/>
            </w:rPr>
            <w:fldChar w:fldCharType="separate"/>
          </w:r>
          <w:r>
            <w:rPr>
              <w:rFonts w:hint="eastAsia" w:cs="宋体"/>
              <w:bCs/>
              <w:szCs w:val="28"/>
            </w:rPr>
            <w:t>附表2：符合性条款审查表</w:t>
          </w:r>
          <w:r>
            <w:tab/>
          </w:r>
          <w:r>
            <w:fldChar w:fldCharType="begin"/>
          </w:r>
          <w:r>
            <w:instrText xml:space="preserve"> PAGEREF _Toc27430 \h </w:instrText>
          </w:r>
          <w:r>
            <w:fldChar w:fldCharType="separate"/>
          </w:r>
          <w:r>
            <w:t>25</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_Toc7543 </w:instrText>
          </w:r>
          <w:r>
            <w:rPr>
              <w:bCs/>
              <w:lang w:val="zh-CN"/>
            </w:rPr>
            <w:fldChar w:fldCharType="separate"/>
          </w:r>
          <w:r>
            <w:rPr>
              <w:rFonts w:hint="eastAsia" w:cs="宋体"/>
              <w:bCs/>
              <w:szCs w:val="28"/>
            </w:rPr>
            <w:t>附表3：技术商务因素及价格因素评分表</w:t>
          </w:r>
          <w:r>
            <w:tab/>
          </w:r>
          <w:r>
            <w:fldChar w:fldCharType="begin"/>
          </w:r>
          <w:r>
            <w:instrText xml:space="preserve"> PAGEREF _Toc7543 \h </w:instrText>
          </w:r>
          <w:r>
            <w:fldChar w:fldCharType="separate"/>
          </w:r>
          <w:r>
            <w:t>26</w:t>
          </w:r>
          <w:r>
            <w:fldChar w:fldCharType="end"/>
          </w:r>
          <w:r>
            <w:rPr>
              <w:bCs/>
              <w:lang w:val="zh-CN"/>
            </w:rPr>
            <w:fldChar w:fldCharType="end"/>
          </w:r>
        </w:p>
        <w:p>
          <w:pPr>
            <w:pStyle w:val="21"/>
            <w:tabs>
              <w:tab w:val="right" w:leader="dot" w:pos="8959"/>
            </w:tabs>
          </w:pPr>
          <w:r>
            <w:rPr>
              <w:bCs/>
              <w:lang w:val="zh-CN"/>
            </w:rPr>
            <w:fldChar w:fldCharType="begin"/>
          </w:r>
          <w:r>
            <w:rPr>
              <w:bCs/>
              <w:lang w:val="zh-CN"/>
            </w:rPr>
            <w:instrText xml:space="preserve"> HYPERLINK \l _Toc2791 </w:instrText>
          </w:r>
          <w:r>
            <w:rPr>
              <w:bCs/>
              <w:lang w:val="zh-CN"/>
            </w:rPr>
            <w:fldChar w:fldCharType="separate"/>
          </w:r>
          <w:r>
            <w:rPr>
              <w:rFonts w:hint="eastAsia"/>
              <w:bCs/>
              <w:szCs w:val="36"/>
            </w:rPr>
            <w:t>第四章  招标内容及要求</w:t>
          </w:r>
          <w:r>
            <w:tab/>
          </w:r>
          <w:r>
            <w:fldChar w:fldCharType="begin"/>
          </w:r>
          <w:r>
            <w:instrText xml:space="preserve"> PAGEREF _Toc2791 \h </w:instrText>
          </w:r>
          <w:r>
            <w:fldChar w:fldCharType="separate"/>
          </w:r>
          <w:r>
            <w:t>28</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_Toc7068 </w:instrText>
          </w:r>
          <w:r>
            <w:rPr>
              <w:bCs/>
              <w:lang w:val="zh-CN"/>
            </w:rPr>
            <w:fldChar w:fldCharType="separate"/>
          </w:r>
          <w:r>
            <w:rPr>
              <w:rFonts w:hint="eastAsia"/>
              <w:bCs/>
              <w:szCs w:val="28"/>
            </w:rPr>
            <w:t>概述</w:t>
          </w:r>
          <w:r>
            <w:tab/>
          </w:r>
          <w:r>
            <w:fldChar w:fldCharType="begin"/>
          </w:r>
          <w:r>
            <w:instrText xml:space="preserve"> PAGEREF _Toc7068 \h </w:instrText>
          </w:r>
          <w:r>
            <w:fldChar w:fldCharType="separate"/>
          </w:r>
          <w:r>
            <w:t>28</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_Toc27615 </w:instrText>
          </w:r>
          <w:r>
            <w:rPr>
              <w:bCs/>
              <w:lang w:val="zh-CN"/>
            </w:rPr>
            <w:fldChar w:fldCharType="separate"/>
          </w:r>
          <w:r>
            <w:rPr>
              <w:rFonts w:hint="eastAsia" w:cs="宋体"/>
              <w:bCs/>
              <w:szCs w:val="24"/>
            </w:rPr>
            <w:t>一、 技术规格及要求</w:t>
          </w:r>
          <w:r>
            <w:tab/>
          </w:r>
          <w:r>
            <w:fldChar w:fldCharType="begin"/>
          </w:r>
          <w:r>
            <w:instrText xml:space="preserve"> PAGEREF _Toc27615 \h </w:instrText>
          </w:r>
          <w:r>
            <w:fldChar w:fldCharType="separate"/>
          </w:r>
          <w:r>
            <w:t>29</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_Toc2975 </w:instrText>
          </w:r>
          <w:r>
            <w:rPr>
              <w:bCs/>
              <w:lang w:val="zh-CN"/>
            </w:rPr>
            <w:fldChar w:fldCharType="separate"/>
          </w:r>
          <w:r>
            <w:rPr>
              <w:rFonts w:hint="eastAsia" w:cs="宋体"/>
              <w:bCs/>
              <w:szCs w:val="24"/>
            </w:rPr>
            <w:t>二、 设备验收标准及方式</w:t>
          </w:r>
          <w:r>
            <w:tab/>
          </w:r>
          <w:r>
            <w:fldChar w:fldCharType="begin"/>
          </w:r>
          <w:r>
            <w:instrText xml:space="preserve"> PAGEREF _Toc2975 \h </w:instrText>
          </w:r>
          <w:r>
            <w:fldChar w:fldCharType="separate"/>
          </w:r>
          <w:r>
            <w:t>40</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_Toc29619 </w:instrText>
          </w:r>
          <w:r>
            <w:rPr>
              <w:bCs/>
              <w:lang w:val="zh-CN"/>
            </w:rPr>
            <w:fldChar w:fldCharType="separate"/>
          </w:r>
          <w:r>
            <w:rPr>
              <w:rFonts w:hint="eastAsia" w:cs="宋体"/>
              <w:bCs/>
              <w:szCs w:val="24"/>
            </w:rPr>
            <w:t>三、 技术培训</w:t>
          </w:r>
          <w:r>
            <w:tab/>
          </w:r>
          <w:r>
            <w:fldChar w:fldCharType="begin"/>
          </w:r>
          <w:r>
            <w:instrText xml:space="preserve"> PAGEREF _Toc29619 \h </w:instrText>
          </w:r>
          <w:r>
            <w:fldChar w:fldCharType="separate"/>
          </w:r>
          <w:r>
            <w:t>42</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_Toc15020 </w:instrText>
          </w:r>
          <w:r>
            <w:rPr>
              <w:bCs/>
              <w:lang w:val="zh-CN"/>
            </w:rPr>
            <w:fldChar w:fldCharType="separate"/>
          </w:r>
          <w:r>
            <w:rPr>
              <w:rFonts w:hint="eastAsia" w:cs="宋体"/>
              <w:bCs/>
              <w:szCs w:val="24"/>
            </w:rPr>
            <w:t>四、交货及售后服务</w:t>
          </w:r>
          <w:r>
            <w:tab/>
          </w:r>
          <w:r>
            <w:fldChar w:fldCharType="begin"/>
          </w:r>
          <w:r>
            <w:instrText xml:space="preserve"> PAGEREF _Toc15020 \h </w:instrText>
          </w:r>
          <w:r>
            <w:fldChar w:fldCharType="separate"/>
          </w:r>
          <w:r>
            <w:t>43</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_Toc10386 </w:instrText>
          </w:r>
          <w:r>
            <w:rPr>
              <w:bCs/>
              <w:lang w:val="zh-CN"/>
            </w:rPr>
            <w:fldChar w:fldCharType="separate"/>
          </w:r>
          <w:r>
            <w:rPr>
              <w:rFonts w:hint="eastAsia" w:cs="宋体"/>
              <w:bCs/>
              <w:szCs w:val="24"/>
            </w:rPr>
            <w:t>五、★付款方式</w:t>
          </w:r>
          <w:r>
            <w:tab/>
          </w:r>
          <w:r>
            <w:fldChar w:fldCharType="begin"/>
          </w:r>
          <w:r>
            <w:instrText xml:space="preserve"> PAGEREF _Toc10386 \h </w:instrText>
          </w:r>
          <w:r>
            <w:fldChar w:fldCharType="separate"/>
          </w:r>
          <w:r>
            <w:t>43</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_Toc5409 </w:instrText>
          </w:r>
          <w:r>
            <w:rPr>
              <w:bCs/>
              <w:lang w:val="zh-CN"/>
            </w:rPr>
            <w:fldChar w:fldCharType="separate"/>
          </w:r>
          <w:r>
            <w:rPr>
              <w:rFonts w:hint="eastAsia" w:cs="宋体"/>
              <w:bCs/>
              <w:szCs w:val="24"/>
            </w:rPr>
            <w:t>六、报价要求</w:t>
          </w:r>
          <w:r>
            <w:tab/>
          </w:r>
          <w:r>
            <w:fldChar w:fldCharType="begin"/>
          </w:r>
          <w:r>
            <w:instrText xml:space="preserve"> PAGEREF _Toc5409 \h </w:instrText>
          </w:r>
          <w:r>
            <w:fldChar w:fldCharType="separate"/>
          </w:r>
          <w:r>
            <w:t>43</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_Toc28835 </w:instrText>
          </w:r>
          <w:r>
            <w:rPr>
              <w:bCs/>
              <w:lang w:val="zh-CN"/>
            </w:rPr>
            <w:fldChar w:fldCharType="separate"/>
          </w:r>
          <w:r>
            <w:rPr>
              <w:rFonts w:hint="eastAsia" w:cs="宋体"/>
              <w:bCs/>
              <w:szCs w:val="24"/>
            </w:rPr>
            <w:t>七、违约责任</w:t>
          </w:r>
          <w:r>
            <w:tab/>
          </w:r>
          <w:r>
            <w:fldChar w:fldCharType="begin"/>
          </w:r>
          <w:r>
            <w:instrText xml:space="preserve"> PAGEREF _Toc28835 \h </w:instrText>
          </w:r>
          <w:r>
            <w:fldChar w:fldCharType="separate"/>
          </w:r>
          <w:r>
            <w:t>44</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_Toc28351 </w:instrText>
          </w:r>
          <w:r>
            <w:rPr>
              <w:bCs/>
              <w:lang w:val="zh-CN"/>
            </w:rPr>
            <w:fldChar w:fldCharType="separate"/>
          </w:r>
          <w:r>
            <w:rPr>
              <w:rFonts w:hint="eastAsia" w:cs="宋体"/>
              <w:bCs/>
              <w:szCs w:val="24"/>
            </w:rPr>
            <w:t>八、知识产权</w:t>
          </w:r>
          <w:r>
            <w:tab/>
          </w:r>
          <w:r>
            <w:fldChar w:fldCharType="begin"/>
          </w:r>
          <w:r>
            <w:instrText xml:space="preserve"> PAGEREF _Toc28351 \h </w:instrText>
          </w:r>
          <w:r>
            <w:fldChar w:fldCharType="separate"/>
          </w:r>
          <w:r>
            <w:t>44</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_Toc9717 </w:instrText>
          </w:r>
          <w:r>
            <w:rPr>
              <w:bCs/>
              <w:lang w:val="zh-CN"/>
            </w:rPr>
            <w:fldChar w:fldCharType="separate"/>
          </w:r>
          <w:r>
            <w:rPr>
              <w:rFonts w:hint="eastAsia" w:cs="宋体"/>
              <w:bCs/>
              <w:szCs w:val="24"/>
            </w:rPr>
            <w:t>九、合同签订</w:t>
          </w:r>
          <w:r>
            <w:tab/>
          </w:r>
          <w:r>
            <w:fldChar w:fldCharType="begin"/>
          </w:r>
          <w:r>
            <w:instrText xml:space="preserve"> PAGEREF _Toc9717 \h </w:instrText>
          </w:r>
          <w:r>
            <w:fldChar w:fldCharType="separate"/>
          </w:r>
          <w:r>
            <w:t>44</w:t>
          </w:r>
          <w:r>
            <w:fldChar w:fldCharType="end"/>
          </w:r>
          <w:r>
            <w:rPr>
              <w:bCs/>
              <w:lang w:val="zh-CN"/>
            </w:rPr>
            <w:fldChar w:fldCharType="end"/>
          </w:r>
        </w:p>
        <w:p>
          <w:pPr>
            <w:pStyle w:val="21"/>
            <w:tabs>
              <w:tab w:val="right" w:leader="dot" w:pos="8959"/>
            </w:tabs>
          </w:pPr>
          <w:r>
            <w:rPr>
              <w:bCs/>
              <w:lang w:val="zh-CN"/>
            </w:rPr>
            <w:fldChar w:fldCharType="begin"/>
          </w:r>
          <w:r>
            <w:rPr>
              <w:bCs/>
              <w:lang w:val="zh-CN"/>
            </w:rPr>
            <w:instrText xml:space="preserve"> HYPERLINK \l _Toc356 </w:instrText>
          </w:r>
          <w:r>
            <w:rPr>
              <w:bCs/>
              <w:lang w:val="zh-CN"/>
            </w:rPr>
            <w:fldChar w:fldCharType="separate"/>
          </w:r>
          <w:r>
            <w:rPr>
              <w:rFonts w:hint="eastAsia"/>
              <w:bCs/>
              <w:szCs w:val="36"/>
            </w:rPr>
            <w:t>第五章  合同条款</w:t>
          </w:r>
          <w:r>
            <w:tab/>
          </w:r>
          <w:r>
            <w:fldChar w:fldCharType="begin"/>
          </w:r>
          <w:r>
            <w:instrText xml:space="preserve"> PAGEREF _Toc356 \h </w:instrText>
          </w:r>
          <w:r>
            <w:fldChar w:fldCharType="separate"/>
          </w:r>
          <w:r>
            <w:t>46</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_Toc27343 </w:instrText>
          </w:r>
          <w:r>
            <w:rPr>
              <w:bCs/>
              <w:lang w:val="zh-CN"/>
            </w:rPr>
            <w:fldChar w:fldCharType="separate"/>
          </w:r>
          <w:r>
            <w:rPr>
              <w:rFonts w:hint="default" w:cs="宋体"/>
              <w:szCs w:val="24"/>
            </w:rPr>
            <w:t xml:space="preserve">一、 </w:t>
          </w:r>
          <w:r>
            <w:rPr>
              <w:rFonts w:hint="eastAsia" w:cs="宋体"/>
              <w:szCs w:val="24"/>
            </w:rPr>
            <w:t>设备的名称、型号、数量、单价、总价（单位：元）</w:t>
          </w:r>
          <w:r>
            <w:tab/>
          </w:r>
          <w:r>
            <w:fldChar w:fldCharType="begin"/>
          </w:r>
          <w:r>
            <w:instrText xml:space="preserve"> PAGEREF _Toc27343 \h </w:instrText>
          </w:r>
          <w:r>
            <w:fldChar w:fldCharType="separate"/>
          </w:r>
          <w:r>
            <w:t>46</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_Toc32408 </w:instrText>
          </w:r>
          <w:r>
            <w:rPr>
              <w:bCs/>
              <w:lang w:val="zh-CN"/>
            </w:rPr>
            <w:fldChar w:fldCharType="separate"/>
          </w:r>
          <w:r>
            <w:rPr>
              <w:rFonts w:hint="eastAsia" w:cs="宋体"/>
              <w:szCs w:val="24"/>
            </w:rPr>
            <w:t>二、设备的技术标准和质量要求：</w:t>
          </w:r>
          <w:r>
            <w:tab/>
          </w:r>
          <w:r>
            <w:fldChar w:fldCharType="begin"/>
          </w:r>
          <w:r>
            <w:instrText xml:space="preserve"> PAGEREF _Toc32408 \h </w:instrText>
          </w:r>
          <w:r>
            <w:fldChar w:fldCharType="separate"/>
          </w:r>
          <w:r>
            <w:t>46</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_Toc18830 </w:instrText>
          </w:r>
          <w:r>
            <w:rPr>
              <w:bCs/>
              <w:lang w:val="zh-CN"/>
            </w:rPr>
            <w:fldChar w:fldCharType="separate"/>
          </w:r>
          <w:r>
            <w:rPr>
              <w:rFonts w:hint="eastAsia" w:cs="宋体"/>
              <w:szCs w:val="24"/>
            </w:rPr>
            <w:t>三、设备的包装标准和包装物的供应与回收</w:t>
          </w:r>
          <w:r>
            <w:tab/>
          </w:r>
          <w:r>
            <w:fldChar w:fldCharType="begin"/>
          </w:r>
          <w:r>
            <w:instrText xml:space="preserve"> PAGEREF _Toc18830 \h </w:instrText>
          </w:r>
          <w:r>
            <w:fldChar w:fldCharType="separate"/>
          </w:r>
          <w:r>
            <w:t>46</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_Toc12910 </w:instrText>
          </w:r>
          <w:r>
            <w:rPr>
              <w:bCs/>
              <w:lang w:val="zh-CN"/>
            </w:rPr>
            <w:fldChar w:fldCharType="separate"/>
          </w:r>
          <w:r>
            <w:rPr>
              <w:rFonts w:hint="eastAsia" w:cs="宋体"/>
              <w:szCs w:val="24"/>
            </w:rPr>
            <w:t>四、交货方式和交货地点：</w:t>
          </w:r>
          <w:r>
            <w:tab/>
          </w:r>
          <w:r>
            <w:fldChar w:fldCharType="begin"/>
          </w:r>
          <w:r>
            <w:instrText xml:space="preserve"> PAGEREF _Toc12910 \h </w:instrText>
          </w:r>
          <w:r>
            <w:fldChar w:fldCharType="separate"/>
          </w:r>
          <w:r>
            <w:t>47</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_Toc17527 </w:instrText>
          </w:r>
          <w:r>
            <w:rPr>
              <w:bCs/>
              <w:lang w:val="zh-CN"/>
            </w:rPr>
            <w:fldChar w:fldCharType="separate"/>
          </w:r>
          <w:r>
            <w:rPr>
              <w:rFonts w:hint="eastAsia" w:cs="宋体"/>
              <w:szCs w:val="24"/>
            </w:rPr>
            <w:t>五、交货时间：</w:t>
          </w:r>
          <w:r>
            <w:tab/>
          </w:r>
          <w:r>
            <w:fldChar w:fldCharType="begin"/>
          </w:r>
          <w:r>
            <w:instrText xml:space="preserve"> PAGEREF _Toc17527 \h </w:instrText>
          </w:r>
          <w:r>
            <w:fldChar w:fldCharType="separate"/>
          </w:r>
          <w:r>
            <w:t>47</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_Toc27277 </w:instrText>
          </w:r>
          <w:r>
            <w:rPr>
              <w:bCs/>
              <w:lang w:val="zh-CN"/>
            </w:rPr>
            <w:fldChar w:fldCharType="separate"/>
          </w:r>
          <w:r>
            <w:rPr>
              <w:rFonts w:hint="eastAsia" w:cs="宋体"/>
              <w:szCs w:val="24"/>
            </w:rPr>
            <w:t>六、随机备品、配件及工具的供应办法：</w:t>
          </w:r>
          <w:r>
            <w:tab/>
          </w:r>
          <w:r>
            <w:fldChar w:fldCharType="begin"/>
          </w:r>
          <w:r>
            <w:instrText xml:space="preserve"> PAGEREF _Toc27277 \h </w:instrText>
          </w:r>
          <w:r>
            <w:fldChar w:fldCharType="separate"/>
          </w:r>
          <w:r>
            <w:t>47</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_Toc23853 </w:instrText>
          </w:r>
          <w:r>
            <w:rPr>
              <w:bCs/>
              <w:lang w:val="zh-CN"/>
            </w:rPr>
            <w:fldChar w:fldCharType="separate"/>
          </w:r>
          <w:r>
            <w:rPr>
              <w:rFonts w:hint="eastAsia" w:cs="宋体"/>
              <w:szCs w:val="24"/>
            </w:rPr>
            <w:t>七、合同价款及支付方式：</w:t>
          </w:r>
          <w:r>
            <w:tab/>
          </w:r>
          <w:r>
            <w:fldChar w:fldCharType="begin"/>
          </w:r>
          <w:r>
            <w:instrText xml:space="preserve"> PAGEREF _Toc23853 \h </w:instrText>
          </w:r>
          <w:r>
            <w:fldChar w:fldCharType="separate"/>
          </w:r>
          <w:r>
            <w:t>48</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_Toc10840 </w:instrText>
          </w:r>
          <w:r>
            <w:rPr>
              <w:bCs/>
              <w:lang w:val="zh-CN"/>
            </w:rPr>
            <w:fldChar w:fldCharType="separate"/>
          </w:r>
          <w:r>
            <w:rPr>
              <w:rFonts w:hint="eastAsia" w:cs="宋体"/>
              <w:szCs w:val="24"/>
            </w:rPr>
            <w:t>八、初步验收</w:t>
          </w:r>
          <w:r>
            <w:tab/>
          </w:r>
          <w:r>
            <w:fldChar w:fldCharType="begin"/>
          </w:r>
          <w:r>
            <w:instrText xml:space="preserve"> PAGEREF _Toc10840 \h </w:instrText>
          </w:r>
          <w:r>
            <w:fldChar w:fldCharType="separate"/>
          </w:r>
          <w:r>
            <w:t>48</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_Toc6306 </w:instrText>
          </w:r>
          <w:r>
            <w:rPr>
              <w:bCs/>
              <w:lang w:val="zh-CN"/>
            </w:rPr>
            <w:fldChar w:fldCharType="separate"/>
          </w:r>
          <w:r>
            <w:rPr>
              <w:rFonts w:hint="eastAsia" w:cs="宋体"/>
              <w:szCs w:val="24"/>
            </w:rPr>
            <w:t>九、安装、调试和验收</w:t>
          </w:r>
          <w:r>
            <w:tab/>
          </w:r>
          <w:r>
            <w:fldChar w:fldCharType="begin"/>
          </w:r>
          <w:r>
            <w:instrText xml:space="preserve"> PAGEREF _Toc6306 \h </w:instrText>
          </w:r>
          <w:r>
            <w:fldChar w:fldCharType="separate"/>
          </w:r>
          <w:r>
            <w:t>49</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_Toc15765 </w:instrText>
          </w:r>
          <w:r>
            <w:rPr>
              <w:bCs/>
              <w:lang w:val="zh-CN"/>
            </w:rPr>
            <w:fldChar w:fldCharType="separate"/>
          </w:r>
          <w:r>
            <w:rPr>
              <w:rFonts w:hint="eastAsia" w:cs="宋体"/>
              <w:szCs w:val="24"/>
            </w:rPr>
            <w:t>十、保证</w:t>
          </w:r>
          <w:r>
            <w:tab/>
          </w:r>
          <w:r>
            <w:fldChar w:fldCharType="begin"/>
          </w:r>
          <w:r>
            <w:instrText xml:space="preserve"> PAGEREF _Toc15765 \h </w:instrText>
          </w:r>
          <w:r>
            <w:fldChar w:fldCharType="separate"/>
          </w:r>
          <w:r>
            <w:t>50</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_Toc27578 </w:instrText>
          </w:r>
          <w:r>
            <w:rPr>
              <w:bCs/>
              <w:lang w:val="zh-CN"/>
            </w:rPr>
            <w:fldChar w:fldCharType="separate"/>
          </w:r>
          <w:r>
            <w:rPr>
              <w:rFonts w:hint="eastAsia" w:cs="宋体"/>
              <w:szCs w:val="24"/>
            </w:rPr>
            <w:t>十一、违约责任：</w:t>
          </w:r>
          <w:r>
            <w:tab/>
          </w:r>
          <w:r>
            <w:fldChar w:fldCharType="begin"/>
          </w:r>
          <w:r>
            <w:instrText xml:space="preserve"> PAGEREF _Toc27578 \h </w:instrText>
          </w:r>
          <w:r>
            <w:fldChar w:fldCharType="separate"/>
          </w:r>
          <w:r>
            <w:t>51</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_Toc1279 </w:instrText>
          </w:r>
          <w:r>
            <w:rPr>
              <w:bCs/>
              <w:lang w:val="zh-CN"/>
            </w:rPr>
            <w:fldChar w:fldCharType="separate"/>
          </w:r>
          <w:r>
            <w:rPr>
              <w:rFonts w:hint="eastAsia" w:cs="宋体"/>
              <w:szCs w:val="24"/>
            </w:rPr>
            <w:t>十二、不可抗力</w:t>
          </w:r>
          <w:r>
            <w:tab/>
          </w:r>
          <w:r>
            <w:fldChar w:fldCharType="begin"/>
          </w:r>
          <w:r>
            <w:instrText xml:space="preserve"> PAGEREF _Toc1279 \h </w:instrText>
          </w:r>
          <w:r>
            <w:fldChar w:fldCharType="separate"/>
          </w:r>
          <w:r>
            <w:t>52</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_Toc7684 </w:instrText>
          </w:r>
          <w:r>
            <w:rPr>
              <w:bCs/>
              <w:lang w:val="zh-CN"/>
            </w:rPr>
            <w:fldChar w:fldCharType="separate"/>
          </w:r>
          <w:r>
            <w:rPr>
              <w:rFonts w:hint="eastAsia" w:cs="宋体"/>
              <w:szCs w:val="24"/>
            </w:rPr>
            <w:t>十三、争议的解决</w:t>
          </w:r>
          <w:r>
            <w:tab/>
          </w:r>
          <w:r>
            <w:fldChar w:fldCharType="begin"/>
          </w:r>
          <w:r>
            <w:instrText xml:space="preserve"> PAGEREF _Toc7684 \h </w:instrText>
          </w:r>
          <w:r>
            <w:fldChar w:fldCharType="separate"/>
          </w:r>
          <w:r>
            <w:t>53</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_Toc29859 </w:instrText>
          </w:r>
          <w:r>
            <w:rPr>
              <w:bCs/>
              <w:lang w:val="zh-CN"/>
            </w:rPr>
            <w:fldChar w:fldCharType="separate"/>
          </w:r>
          <w:r>
            <w:rPr>
              <w:rFonts w:hint="eastAsia" w:cs="宋体"/>
              <w:szCs w:val="24"/>
            </w:rPr>
            <w:t>十四、合同的变更、解除</w:t>
          </w:r>
          <w:r>
            <w:tab/>
          </w:r>
          <w:r>
            <w:fldChar w:fldCharType="begin"/>
          </w:r>
          <w:r>
            <w:instrText xml:space="preserve"> PAGEREF _Toc29859 \h </w:instrText>
          </w:r>
          <w:r>
            <w:fldChar w:fldCharType="separate"/>
          </w:r>
          <w:r>
            <w:t>53</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_Toc23344 </w:instrText>
          </w:r>
          <w:r>
            <w:rPr>
              <w:bCs/>
              <w:lang w:val="zh-CN"/>
            </w:rPr>
            <w:fldChar w:fldCharType="separate"/>
          </w:r>
          <w:r>
            <w:rPr>
              <w:rFonts w:hint="eastAsia" w:cs="宋体"/>
              <w:szCs w:val="24"/>
            </w:rPr>
            <w:t>十五、其他</w:t>
          </w:r>
          <w:r>
            <w:tab/>
          </w:r>
          <w:r>
            <w:fldChar w:fldCharType="begin"/>
          </w:r>
          <w:r>
            <w:instrText xml:space="preserve"> PAGEREF _Toc23344 \h </w:instrText>
          </w:r>
          <w:r>
            <w:fldChar w:fldCharType="separate"/>
          </w:r>
          <w:r>
            <w:t>53</w:t>
          </w:r>
          <w:r>
            <w:fldChar w:fldCharType="end"/>
          </w:r>
          <w:r>
            <w:rPr>
              <w:bCs/>
              <w:lang w:val="zh-CN"/>
            </w:rPr>
            <w:fldChar w:fldCharType="end"/>
          </w:r>
        </w:p>
        <w:p>
          <w:pPr>
            <w:pStyle w:val="21"/>
            <w:tabs>
              <w:tab w:val="right" w:leader="dot" w:pos="8959"/>
            </w:tabs>
          </w:pPr>
          <w:r>
            <w:rPr>
              <w:bCs/>
              <w:lang w:val="zh-CN"/>
            </w:rPr>
            <w:fldChar w:fldCharType="begin"/>
          </w:r>
          <w:r>
            <w:rPr>
              <w:bCs/>
              <w:lang w:val="zh-CN"/>
            </w:rPr>
            <w:instrText xml:space="preserve"> HYPERLINK \l _Toc14845 </w:instrText>
          </w:r>
          <w:r>
            <w:rPr>
              <w:bCs/>
              <w:lang w:val="zh-CN"/>
            </w:rPr>
            <w:fldChar w:fldCharType="separate"/>
          </w:r>
          <w:r>
            <w:rPr>
              <w:rFonts w:hint="eastAsia" w:cs="宋体"/>
              <w:bCs/>
              <w:szCs w:val="44"/>
            </w:rPr>
            <w:t>第六章  投标文件格式</w:t>
          </w:r>
          <w:r>
            <w:tab/>
          </w:r>
          <w:r>
            <w:fldChar w:fldCharType="begin"/>
          </w:r>
          <w:r>
            <w:instrText xml:space="preserve"> PAGEREF _Toc14845 \h </w:instrText>
          </w:r>
          <w:r>
            <w:fldChar w:fldCharType="separate"/>
          </w:r>
          <w:r>
            <w:t>55</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_Toc12581 </w:instrText>
          </w:r>
          <w:r>
            <w:rPr>
              <w:bCs/>
              <w:lang w:val="zh-CN"/>
            </w:rPr>
            <w:fldChar w:fldCharType="separate"/>
          </w:r>
          <w:r>
            <w:rPr>
              <w:rFonts w:hint="eastAsia" w:cs="宋体"/>
              <w:bCs/>
              <w:szCs w:val="72"/>
            </w:rPr>
            <w:t>投  标  文  件</w:t>
          </w:r>
          <w:r>
            <w:tab/>
          </w:r>
          <w:r>
            <w:fldChar w:fldCharType="begin"/>
          </w:r>
          <w:r>
            <w:instrText xml:space="preserve"> PAGEREF _Toc12581 \h </w:instrText>
          </w:r>
          <w:r>
            <w:fldChar w:fldCharType="separate"/>
          </w:r>
          <w:r>
            <w:t>55</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_Toc28722 </w:instrText>
          </w:r>
          <w:r>
            <w:rPr>
              <w:bCs/>
              <w:lang w:val="zh-CN"/>
            </w:rPr>
            <w:fldChar w:fldCharType="separate"/>
          </w:r>
          <w:r>
            <w:rPr>
              <w:rFonts w:hint="eastAsia" w:cs="宋体"/>
              <w:bCs/>
              <w:szCs w:val="36"/>
            </w:rPr>
            <w:t>（资格文件）</w:t>
          </w:r>
          <w:r>
            <w:tab/>
          </w:r>
          <w:r>
            <w:fldChar w:fldCharType="begin"/>
          </w:r>
          <w:r>
            <w:instrText xml:space="preserve"> PAGEREF _Toc28722 \h </w:instrText>
          </w:r>
          <w:r>
            <w:fldChar w:fldCharType="separate"/>
          </w:r>
          <w:r>
            <w:t>55</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_Toc26602 </w:instrText>
          </w:r>
          <w:r>
            <w:rPr>
              <w:bCs/>
              <w:lang w:val="zh-CN"/>
            </w:rPr>
            <w:fldChar w:fldCharType="separate"/>
          </w:r>
          <w:r>
            <w:rPr>
              <w:rFonts w:hint="eastAsia" w:cs="宋体"/>
              <w:bCs/>
              <w:szCs w:val="72"/>
            </w:rPr>
            <w:t>投  标  文  件</w:t>
          </w:r>
          <w:r>
            <w:tab/>
          </w:r>
          <w:r>
            <w:fldChar w:fldCharType="begin"/>
          </w:r>
          <w:r>
            <w:instrText xml:space="preserve"> PAGEREF _Toc26602 \h </w:instrText>
          </w:r>
          <w:r>
            <w:fldChar w:fldCharType="separate"/>
          </w:r>
          <w:r>
            <w:t>68</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_Toc15064 </w:instrText>
          </w:r>
          <w:r>
            <w:rPr>
              <w:bCs/>
              <w:lang w:val="zh-CN"/>
            </w:rPr>
            <w:fldChar w:fldCharType="separate"/>
          </w:r>
          <w:r>
            <w:rPr>
              <w:rFonts w:hint="eastAsia" w:cs="宋体"/>
              <w:bCs/>
              <w:szCs w:val="36"/>
            </w:rPr>
            <w:t>（技术文件）</w:t>
          </w:r>
          <w:r>
            <w:tab/>
          </w:r>
          <w:r>
            <w:fldChar w:fldCharType="begin"/>
          </w:r>
          <w:r>
            <w:instrText xml:space="preserve"> PAGEREF _Toc15064 \h </w:instrText>
          </w:r>
          <w:r>
            <w:fldChar w:fldCharType="separate"/>
          </w:r>
          <w:r>
            <w:t>68</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_Toc18880 </w:instrText>
          </w:r>
          <w:r>
            <w:rPr>
              <w:bCs/>
              <w:lang w:val="zh-CN"/>
            </w:rPr>
            <w:fldChar w:fldCharType="separate"/>
          </w:r>
          <w:r>
            <w:rPr>
              <w:rFonts w:hint="eastAsia" w:cs="宋体"/>
              <w:bCs/>
              <w:szCs w:val="72"/>
            </w:rPr>
            <w:t>投  标  文  件</w:t>
          </w:r>
          <w:r>
            <w:tab/>
          </w:r>
          <w:r>
            <w:fldChar w:fldCharType="begin"/>
          </w:r>
          <w:r>
            <w:instrText xml:space="preserve"> PAGEREF _Toc18880 \h </w:instrText>
          </w:r>
          <w:r>
            <w:fldChar w:fldCharType="separate"/>
          </w:r>
          <w:r>
            <w:t>76</w:t>
          </w:r>
          <w:r>
            <w:fldChar w:fldCharType="end"/>
          </w:r>
          <w:r>
            <w:rPr>
              <w:bCs/>
              <w:lang w:val="zh-CN"/>
            </w:rPr>
            <w:fldChar w:fldCharType="end"/>
          </w:r>
        </w:p>
        <w:p>
          <w:pPr>
            <w:pStyle w:val="23"/>
            <w:tabs>
              <w:tab w:val="right" w:leader="dot" w:pos="8959"/>
            </w:tabs>
          </w:pPr>
          <w:r>
            <w:rPr>
              <w:bCs/>
              <w:lang w:val="zh-CN"/>
            </w:rPr>
            <w:fldChar w:fldCharType="begin"/>
          </w:r>
          <w:r>
            <w:rPr>
              <w:bCs/>
              <w:lang w:val="zh-CN"/>
            </w:rPr>
            <w:instrText xml:space="preserve"> HYPERLINK \l _Toc9249 </w:instrText>
          </w:r>
          <w:r>
            <w:rPr>
              <w:bCs/>
              <w:lang w:val="zh-CN"/>
            </w:rPr>
            <w:fldChar w:fldCharType="separate"/>
          </w:r>
          <w:r>
            <w:rPr>
              <w:rFonts w:hint="eastAsia" w:cs="宋体"/>
              <w:bCs/>
              <w:szCs w:val="36"/>
            </w:rPr>
            <w:t>（商务文件）</w:t>
          </w:r>
          <w:r>
            <w:tab/>
          </w:r>
          <w:r>
            <w:fldChar w:fldCharType="begin"/>
          </w:r>
          <w:r>
            <w:instrText xml:space="preserve"> PAGEREF _Toc9249 \h </w:instrText>
          </w:r>
          <w:r>
            <w:fldChar w:fldCharType="separate"/>
          </w:r>
          <w:r>
            <w:t>76</w:t>
          </w:r>
          <w:r>
            <w:fldChar w:fldCharType="end"/>
          </w:r>
          <w:r>
            <w:rPr>
              <w:bCs/>
              <w:lang w:val="zh-CN"/>
            </w:rPr>
            <w:fldChar w:fldCharType="end"/>
          </w:r>
        </w:p>
        <w:p>
          <w:pPr>
            <w:pStyle w:val="21"/>
            <w:tabs>
              <w:tab w:val="right" w:leader="dot" w:pos="8959"/>
            </w:tabs>
          </w:pPr>
          <w:r>
            <w:rPr>
              <w:bCs/>
              <w:lang w:val="zh-CN"/>
            </w:rPr>
            <w:fldChar w:fldCharType="begin"/>
          </w:r>
          <w:r>
            <w:rPr>
              <w:bCs/>
              <w:lang w:val="zh-CN"/>
            </w:rPr>
            <w:instrText xml:space="preserve"> HYPERLINK \l _Toc25886 </w:instrText>
          </w:r>
          <w:r>
            <w:rPr>
              <w:bCs/>
              <w:lang w:val="zh-CN"/>
            </w:rPr>
            <w:fldChar w:fldCharType="separate"/>
          </w:r>
          <w:r>
            <w:rPr>
              <w:rFonts w:hint="eastAsia" w:ascii="仿宋" w:hAnsi="仿宋" w:eastAsia="仿宋" w:cs="仿宋"/>
              <w:bCs/>
              <w:szCs w:val="44"/>
              <w:highlight w:val="none"/>
              <w:lang w:val="en-US" w:eastAsia="zh-CN"/>
            </w:rPr>
            <w:t>廉洁承诺书</w:t>
          </w:r>
          <w:r>
            <w:tab/>
          </w:r>
          <w:r>
            <w:fldChar w:fldCharType="begin"/>
          </w:r>
          <w:r>
            <w:instrText xml:space="preserve"> PAGEREF _Toc25886 \h </w:instrText>
          </w:r>
          <w:r>
            <w:fldChar w:fldCharType="separate"/>
          </w:r>
          <w:r>
            <w:t>84</w:t>
          </w:r>
          <w:r>
            <w:fldChar w:fldCharType="end"/>
          </w:r>
          <w:r>
            <w:rPr>
              <w:bCs/>
              <w:lang w:val="zh-CN"/>
            </w:rPr>
            <w:fldChar w:fldCharType="end"/>
          </w:r>
        </w:p>
        <w:p>
          <w:pPr>
            <w:spacing w:before="0" w:beforeLines="0" w:after="0" w:afterLines="0" w:line="240" w:lineRule="auto"/>
            <w:ind w:left="0" w:leftChars="0" w:right="0" w:rightChars="0" w:firstLine="0" w:firstLineChars="0"/>
            <w:jc w:val="center"/>
            <w:rPr>
              <w:rFonts w:hint="eastAsia"/>
            </w:rPr>
          </w:pPr>
          <w:r>
            <w:rPr>
              <w:bCs/>
              <w:lang w:val="zh-CN"/>
            </w:rPr>
            <w:fldChar w:fldCharType="end"/>
          </w:r>
        </w:p>
      </w:sdtContent>
    </w:sdt>
    <w:p>
      <w:pPr>
        <w:rPr>
          <w:b/>
          <w:sz w:val="18"/>
          <w:szCs w:val="18"/>
        </w:rPr>
      </w:pPr>
    </w:p>
    <w:p/>
    <w:p>
      <w:pPr>
        <w:pStyle w:val="3"/>
      </w:pPr>
    </w:p>
    <w:p/>
    <w:p>
      <w:pPr>
        <w:pStyle w:val="15"/>
        <w:spacing w:line="360" w:lineRule="auto"/>
        <w:jc w:val="both"/>
        <w:outlineLvl w:val="0"/>
        <w:rPr>
          <w:rFonts w:hint="eastAsia" w:ascii="宋体" w:hAnsi="宋体" w:eastAsia="宋体" w:cs="宋体"/>
          <w:b/>
          <w:bCs/>
          <w:sz w:val="36"/>
          <w:szCs w:val="36"/>
        </w:rPr>
      </w:pPr>
      <w:bookmarkStart w:id="5" w:name="_Toc148459121"/>
    </w:p>
    <w:p>
      <w:pPr>
        <w:pStyle w:val="15"/>
        <w:spacing w:line="360" w:lineRule="auto"/>
        <w:jc w:val="both"/>
        <w:outlineLvl w:val="0"/>
        <w:rPr>
          <w:rFonts w:hint="eastAsia" w:ascii="宋体" w:hAnsi="宋体" w:eastAsia="宋体" w:cs="宋体"/>
          <w:b/>
          <w:bCs/>
          <w:sz w:val="36"/>
          <w:szCs w:val="36"/>
        </w:rPr>
      </w:pPr>
    </w:p>
    <w:p>
      <w:pPr>
        <w:pStyle w:val="15"/>
        <w:spacing w:line="360" w:lineRule="auto"/>
        <w:jc w:val="center"/>
        <w:outlineLvl w:val="0"/>
        <w:rPr>
          <w:rFonts w:hint="eastAsia" w:ascii="宋体" w:hAnsi="宋体" w:eastAsia="宋体" w:cs="宋体"/>
          <w:b/>
          <w:bCs/>
          <w:sz w:val="36"/>
          <w:szCs w:val="36"/>
        </w:rPr>
      </w:pPr>
    </w:p>
    <w:p>
      <w:pPr>
        <w:pStyle w:val="15"/>
        <w:spacing w:line="360" w:lineRule="auto"/>
        <w:jc w:val="center"/>
        <w:outlineLvl w:val="0"/>
        <w:rPr>
          <w:rFonts w:hint="eastAsia" w:ascii="宋体" w:hAnsi="宋体" w:eastAsia="宋体" w:cs="宋体"/>
          <w:b/>
          <w:bCs/>
          <w:sz w:val="36"/>
          <w:szCs w:val="36"/>
        </w:rPr>
      </w:pPr>
      <w:bookmarkStart w:id="6" w:name="_Toc7012"/>
      <w:bookmarkStart w:id="7" w:name="_Toc21025"/>
      <w:bookmarkStart w:id="8" w:name="_Toc22009"/>
      <w:bookmarkStart w:id="9" w:name="_Toc19197"/>
      <w:bookmarkStart w:id="10" w:name="_Toc18582"/>
      <w:bookmarkStart w:id="11" w:name="_Toc12498"/>
      <w:r>
        <w:rPr>
          <w:rFonts w:hint="eastAsia" w:ascii="宋体" w:hAnsi="宋体" w:eastAsia="宋体" w:cs="宋体"/>
          <w:b/>
          <w:bCs/>
          <w:sz w:val="36"/>
          <w:szCs w:val="36"/>
        </w:rPr>
        <w:t>第一章  投标邀请</w:t>
      </w:r>
      <w:bookmarkEnd w:id="5"/>
      <w:bookmarkEnd w:id="6"/>
      <w:bookmarkEnd w:id="7"/>
      <w:bookmarkEnd w:id="8"/>
      <w:bookmarkEnd w:id="9"/>
      <w:bookmarkEnd w:id="10"/>
      <w:bookmarkEnd w:id="11"/>
    </w:p>
    <w:p>
      <w:pPr>
        <w:spacing w:line="240" w:lineRule="atLeast"/>
        <w:ind w:firstLine="420" w:firstLineChars="0"/>
        <w:jc w:val="left"/>
        <w:rPr>
          <w:rFonts w:hint="eastAsia" w:ascii="宋体" w:hAnsi="宋体" w:eastAsia="宋体" w:cs="宋体"/>
          <w:sz w:val="24"/>
        </w:rPr>
      </w:pPr>
    </w:p>
    <w:p>
      <w:pPr>
        <w:spacing w:line="240" w:lineRule="atLeast"/>
        <w:ind w:firstLine="420" w:firstLineChars="0"/>
        <w:jc w:val="left"/>
        <w:rPr>
          <w:rFonts w:hint="eastAsia" w:ascii="宋体" w:hAnsi="宋体" w:eastAsia="宋体" w:cs="宋体"/>
          <w:sz w:val="24"/>
        </w:rPr>
      </w:pPr>
      <w:r>
        <w:rPr>
          <w:rFonts w:hint="eastAsia" w:ascii="宋体" w:hAnsi="宋体" w:eastAsia="宋体" w:cs="宋体"/>
          <w:sz w:val="24"/>
        </w:rPr>
        <w:t>招标人</w:t>
      </w:r>
      <w:r>
        <w:rPr>
          <w:rFonts w:hint="eastAsia" w:ascii="宋体" w:hAnsi="宋体" w:eastAsia="宋体" w:cs="宋体"/>
          <w:b/>
          <w:bCs/>
          <w:sz w:val="24"/>
          <w:u w:val="single"/>
        </w:rPr>
        <w:t xml:space="preserve">厦工（三明）重型机器有限公司 </w:t>
      </w:r>
      <w:r>
        <w:rPr>
          <w:rFonts w:hint="eastAsia" w:ascii="宋体" w:hAnsi="宋体" w:eastAsia="宋体" w:cs="宋体"/>
          <w:sz w:val="24"/>
        </w:rPr>
        <w:t>对下述</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数控双柱立式车床</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rPr>
        <w:t>进行国内公开招标，现邀请合格的投标人前来投标。</w:t>
      </w:r>
    </w:p>
    <w:p>
      <w:pPr>
        <w:spacing w:line="360" w:lineRule="auto"/>
        <w:ind w:firstLine="422" w:firstLineChars="176"/>
        <w:rPr>
          <w:rFonts w:hint="eastAsia" w:ascii="宋体" w:hAnsi="宋体" w:eastAsia="宋体" w:cs="宋体"/>
          <w:sz w:val="24"/>
          <w:u w:val="single"/>
        </w:rPr>
      </w:pPr>
      <w:r>
        <w:rPr>
          <w:rFonts w:hint="eastAsia" w:ascii="宋体" w:hAnsi="宋体" w:eastAsia="宋体" w:cs="宋体"/>
          <w:sz w:val="24"/>
        </w:rPr>
        <w:t>1、招标编号：</w:t>
      </w:r>
      <w:r>
        <w:rPr>
          <w:rFonts w:hint="eastAsia" w:ascii="宋体" w:hAnsi="宋体" w:eastAsia="宋体" w:cs="宋体"/>
          <w:sz w:val="24"/>
          <w:u w:val="single"/>
        </w:rPr>
        <w:t xml:space="preserve">    </w:t>
      </w:r>
      <w:r>
        <w:rPr>
          <w:rFonts w:hint="eastAsia" w:ascii="宋体" w:hAnsi="宋体" w:eastAsia="宋体" w:cs="宋体"/>
          <w:color w:val="000000"/>
          <w:u w:val="single"/>
        </w:rPr>
        <w:t>XGSZ-JG-</w:t>
      </w:r>
      <w:r>
        <w:rPr>
          <w:rFonts w:hint="eastAsia" w:ascii="宋体" w:hAnsi="宋体" w:cs="宋体"/>
          <w:color w:val="000000"/>
          <w:u w:val="single"/>
          <w:lang w:val="en-US" w:eastAsia="zh-CN"/>
        </w:rPr>
        <w:t>0709-01-ZJ</w:t>
      </w:r>
      <w:r>
        <w:rPr>
          <w:rFonts w:hint="eastAsia" w:ascii="宋体" w:hAnsi="宋体" w:eastAsia="宋体" w:cs="宋体"/>
          <w:color w:val="000000"/>
          <w:u w:val="single"/>
          <w:lang w:val="en-US" w:eastAsia="zh-CN"/>
        </w:rPr>
        <w:t xml:space="preserve">     </w:t>
      </w:r>
      <w:r>
        <w:rPr>
          <w:rFonts w:hint="eastAsia" w:ascii="宋体" w:hAnsi="宋体" w:eastAsia="宋体" w:cs="宋体"/>
          <w:sz w:val="24"/>
          <w:u w:val="single"/>
        </w:rPr>
        <w:t xml:space="preserve">  </w:t>
      </w:r>
    </w:p>
    <w:p>
      <w:pPr>
        <w:spacing w:line="360" w:lineRule="auto"/>
        <w:ind w:firstLine="424" w:firstLineChars="200"/>
        <w:rPr>
          <w:rFonts w:hint="eastAsia" w:ascii="宋体" w:hAnsi="宋体" w:eastAsia="宋体" w:cs="宋体"/>
          <w:spacing w:val="-14"/>
          <w:sz w:val="24"/>
        </w:rPr>
      </w:pPr>
      <w:r>
        <w:rPr>
          <w:rFonts w:hint="eastAsia" w:ascii="宋体" w:hAnsi="宋体" w:eastAsia="宋体" w:cs="宋体"/>
          <w:spacing w:val="-14"/>
          <w:sz w:val="24"/>
        </w:rPr>
        <w:t>2、</w:t>
      </w:r>
      <w:r>
        <w:rPr>
          <w:rFonts w:hint="eastAsia" w:ascii="宋体" w:hAnsi="宋体" w:eastAsia="宋体" w:cs="宋体"/>
          <w:sz w:val="24"/>
        </w:rPr>
        <w:t>招标货物（服务）名称、数量及主要技术规格：见后附招标项目一览表</w:t>
      </w:r>
      <w:r>
        <w:rPr>
          <w:rFonts w:hint="eastAsia" w:ascii="宋体" w:hAnsi="宋体" w:eastAsia="宋体" w:cs="宋体"/>
          <w:spacing w:val="-14"/>
          <w:sz w:val="24"/>
        </w:rPr>
        <w:t>。</w:t>
      </w:r>
    </w:p>
    <w:p>
      <w:pPr>
        <w:adjustRightInd w:val="0"/>
        <w:spacing w:line="360" w:lineRule="auto"/>
        <w:ind w:firstLine="422" w:firstLineChars="176"/>
        <w:textAlignment w:val="baseline"/>
        <w:rPr>
          <w:rFonts w:hint="eastAsia" w:ascii="宋体" w:hAnsi="宋体" w:eastAsia="宋体" w:cs="宋体"/>
          <w:sz w:val="24"/>
        </w:rPr>
      </w:pPr>
      <w:r>
        <w:rPr>
          <w:rFonts w:hint="eastAsia" w:ascii="宋体" w:hAnsi="宋体" w:eastAsia="宋体" w:cs="宋体"/>
          <w:kern w:val="0"/>
          <w:sz w:val="24"/>
        </w:rPr>
        <w:t>3、</w:t>
      </w:r>
      <w:r>
        <w:rPr>
          <w:rFonts w:hint="eastAsia" w:ascii="宋体" w:hAnsi="宋体" w:eastAsia="宋体" w:cs="宋体"/>
          <w:sz w:val="24"/>
        </w:rPr>
        <w:t>投标截止时间：</w:t>
      </w:r>
      <w:r>
        <w:rPr>
          <w:rFonts w:hint="eastAsia" w:ascii="宋体" w:hAnsi="宋体" w:eastAsia="宋体" w:cs="宋体"/>
          <w:b/>
          <w:bCs/>
          <w:kern w:val="0"/>
          <w:sz w:val="24"/>
          <w:u w:val="single"/>
          <w:lang w:val="en-US" w:eastAsia="zh-CN"/>
        </w:rPr>
        <w:t xml:space="preserve"> </w:t>
      </w:r>
      <w:r>
        <w:rPr>
          <w:rFonts w:hint="eastAsia" w:ascii="宋体" w:hAnsi="宋体" w:cs="宋体"/>
          <w:b/>
          <w:bCs/>
          <w:kern w:val="0"/>
          <w:sz w:val="24"/>
          <w:u w:val="single"/>
          <w:lang w:val="en-US" w:eastAsia="zh-CN"/>
        </w:rPr>
        <w:t>2025</w:t>
      </w:r>
      <w:r>
        <w:rPr>
          <w:rFonts w:hint="eastAsia" w:ascii="宋体" w:hAnsi="宋体" w:eastAsia="宋体" w:cs="宋体"/>
          <w:b/>
          <w:bCs/>
          <w:kern w:val="0"/>
          <w:sz w:val="24"/>
          <w:u w:val="single"/>
        </w:rPr>
        <w:t>年</w:t>
      </w:r>
      <w:r>
        <w:rPr>
          <w:rFonts w:hint="eastAsia" w:ascii="宋体" w:hAnsi="宋体" w:eastAsia="宋体" w:cs="宋体"/>
          <w:b/>
          <w:bCs/>
          <w:kern w:val="0"/>
          <w:sz w:val="24"/>
          <w:u w:val="single"/>
          <w:lang w:val="en-US" w:eastAsia="zh-CN"/>
        </w:rPr>
        <w:t xml:space="preserve"> </w:t>
      </w:r>
      <w:r>
        <w:rPr>
          <w:rFonts w:hint="eastAsia" w:ascii="宋体" w:hAnsi="宋体" w:cs="宋体"/>
          <w:b/>
          <w:bCs/>
          <w:kern w:val="0"/>
          <w:sz w:val="24"/>
          <w:u w:val="single"/>
          <w:lang w:val="en-US" w:eastAsia="zh-CN"/>
        </w:rPr>
        <w:t>8</w:t>
      </w:r>
      <w:r>
        <w:rPr>
          <w:rFonts w:hint="eastAsia" w:ascii="宋体" w:hAnsi="宋体" w:eastAsia="宋体" w:cs="宋体"/>
          <w:b/>
          <w:bCs/>
          <w:kern w:val="0"/>
          <w:sz w:val="24"/>
          <w:u w:val="single"/>
        </w:rPr>
        <w:t>月</w:t>
      </w:r>
      <w:r>
        <w:rPr>
          <w:rFonts w:hint="eastAsia" w:ascii="宋体" w:hAnsi="宋体" w:eastAsia="宋体" w:cs="宋体"/>
          <w:b/>
          <w:bCs/>
          <w:kern w:val="0"/>
          <w:sz w:val="24"/>
          <w:u w:val="single"/>
          <w:lang w:val="en-US" w:eastAsia="zh-CN"/>
        </w:rPr>
        <w:t xml:space="preserve"> </w:t>
      </w:r>
      <w:r>
        <w:rPr>
          <w:rFonts w:hint="eastAsia" w:ascii="宋体" w:hAnsi="宋体" w:cs="宋体"/>
          <w:b/>
          <w:bCs/>
          <w:kern w:val="0"/>
          <w:sz w:val="24"/>
          <w:u w:val="single"/>
          <w:lang w:val="en-US" w:eastAsia="zh-CN"/>
        </w:rPr>
        <w:t>10</w:t>
      </w:r>
      <w:r>
        <w:rPr>
          <w:rFonts w:hint="eastAsia" w:ascii="宋体" w:hAnsi="宋体" w:eastAsia="宋体" w:cs="宋体"/>
          <w:b/>
          <w:bCs/>
          <w:kern w:val="0"/>
          <w:sz w:val="24"/>
          <w:u w:val="single"/>
        </w:rPr>
        <w:t>日</w:t>
      </w:r>
      <w:r>
        <w:rPr>
          <w:rFonts w:hint="eastAsia" w:ascii="宋体" w:hAnsi="宋体" w:cs="宋体"/>
          <w:b/>
          <w:bCs/>
          <w:sz w:val="24"/>
          <w:u w:val="single"/>
          <w:lang w:val="en-US" w:eastAsia="zh-CN"/>
        </w:rPr>
        <w:t>17：00</w:t>
      </w:r>
      <w:r>
        <w:rPr>
          <w:rFonts w:hint="eastAsia" w:ascii="宋体" w:hAnsi="宋体" w:eastAsia="宋体" w:cs="宋体"/>
          <w:sz w:val="24"/>
        </w:rPr>
        <w:t>（北京时间）。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4、投标文件递交方式：投标文件应在投标截止时间前送达福建三明市沙县金沙工业园金明东路 850 号</w:t>
      </w:r>
      <w:bookmarkStart w:id="12" w:name="_Hlk160626082"/>
      <w:r>
        <w:rPr>
          <w:rFonts w:hint="eastAsia" w:ascii="宋体" w:hAnsi="宋体" w:eastAsia="宋体" w:cs="宋体"/>
          <w:sz w:val="24"/>
        </w:rPr>
        <w:t>厦工 （三明） 重型机器有限公司</w:t>
      </w:r>
      <w:bookmarkEnd w:id="12"/>
      <w:r>
        <w:rPr>
          <w:rFonts w:hint="eastAsia" w:ascii="宋体" w:hAnsi="宋体" w:eastAsia="宋体" w:cs="宋体"/>
          <w:sz w:val="24"/>
        </w:rPr>
        <w:t>办公室五楼纪检监察室，电子版投标文件发送到公司招标电子邮箱：XGSZZB@163.com ，逾期收到或不符合规定的投标文件恕不接受。</w:t>
      </w:r>
    </w:p>
    <w:p>
      <w:pPr>
        <w:pStyle w:val="65"/>
        <w:ind w:firstLine="480"/>
        <w:rPr>
          <w:rFonts w:hint="eastAsia" w:ascii="宋体" w:hAnsi="宋体" w:eastAsia="宋体" w:cs="宋体"/>
        </w:rPr>
      </w:pPr>
      <w:r>
        <w:rPr>
          <w:rFonts w:hint="eastAsia" w:ascii="宋体" w:hAnsi="宋体" w:eastAsia="宋体" w:cs="宋体"/>
        </w:rPr>
        <w:t>5、投标文件递交发生：现场递交或邮寄。投标收件人：孙女士，投标收件人电话：13950900626</w:t>
      </w:r>
    </w:p>
    <w:p>
      <w:pPr>
        <w:pStyle w:val="65"/>
        <w:ind w:firstLine="480"/>
        <w:rPr>
          <w:rFonts w:hint="eastAsia" w:ascii="宋体" w:hAnsi="宋体" w:eastAsia="宋体" w:cs="宋体"/>
        </w:rPr>
      </w:pPr>
      <w:r>
        <w:rPr>
          <w:rFonts w:hint="eastAsia" w:ascii="宋体" w:hAnsi="宋体" w:eastAsia="宋体" w:cs="宋体"/>
        </w:rPr>
        <w:t>6、投标文件要求 ： 投标文件正副本各一份（加盖公章） ，电子版 一份；</w:t>
      </w:r>
    </w:p>
    <w:p>
      <w:pPr>
        <w:spacing w:line="360" w:lineRule="auto"/>
        <w:ind w:firstLine="480" w:firstLineChars="200"/>
        <w:rPr>
          <w:rFonts w:hint="eastAsia" w:ascii="宋体" w:hAnsi="宋体" w:eastAsia="宋体" w:cs="宋体"/>
          <w:b/>
          <w:bCs/>
          <w:kern w:val="0"/>
          <w:sz w:val="24"/>
          <w:u w:val="single"/>
        </w:rPr>
      </w:pPr>
      <w:r>
        <w:rPr>
          <w:rFonts w:hint="eastAsia" w:ascii="宋体" w:hAnsi="宋体" w:eastAsia="宋体" w:cs="宋体"/>
          <w:color w:val="000000"/>
          <w:kern w:val="0"/>
          <w:sz w:val="24"/>
          <w:szCs w:val="24"/>
          <w:lang w:val="en-US" w:eastAsia="zh-CN" w:bidi="ar-SA"/>
        </w:rPr>
        <w:t>7、开标时间、地点:</w:t>
      </w:r>
      <w:r>
        <w:rPr>
          <w:rFonts w:hint="eastAsia" w:ascii="宋体" w:hAnsi="宋体" w:eastAsia="宋体" w:cs="宋体"/>
        </w:rPr>
        <w:t xml:space="preserve"> </w:t>
      </w:r>
      <w:r>
        <w:rPr>
          <w:rFonts w:hint="eastAsia" w:ascii="宋体" w:hAnsi="宋体" w:eastAsia="宋体" w:cs="宋体"/>
          <w:b/>
          <w:bCs/>
          <w:kern w:val="0"/>
          <w:sz w:val="24"/>
          <w:u w:val="single"/>
        </w:rPr>
        <w:t>投标截止时间后 3 天内。开标地点：福建三明市沙县金沙工业园金明东路 850 号厦工 （三明）重型机器有限公司三楼会议室</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8、本项目不接受联合体投标。</w:t>
      </w:r>
    </w:p>
    <w:p>
      <w:pPr>
        <w:spacing w:line="360" w:lineRule="auto"/>
        <w:ind w:firstLine="482" w:firstLineChars="200"/>
        <w:rPr>
          <w:rFonts w:hint="eastAsia" w:ascii="宋体" w:hAnsi="宋体" w:eastAsia="宋体" w:cs="宋体"/>
          <w:b/>
          <w:bCs/>
          <w:sz w:val="24"/>
          <w:szCs w:val="22"/>
        </w:rPr>
      </w:pPr>
      <w:bookmarkStart w:id="13" w:name="_Toc11908"/>
      <w:bookmarkStart w:id="14" w:name="_Toc27697"/>
      <w:r>
        <w:rPr>
          <w:rFonts w:hint="eastAsia" w:ascii="宋体" w:hAnsi="宋体" w:eastAsia="宋体" w:cs="宋体"/>
          <w:b/>
          <w:bCs/>
          <w:sz w:val="24"/>
          <w:szCs w:val="22"/>
        </w:rPr>
        <w:t>9、联系方式</w:t>
      </w:r>
      <w:bookmarkEnd w:id="13"/>
      <w:bookmarkEnd w:id="14"/>
    </w:p>
    <w:p>
      <w:pPr>
        <w:spacing w:line="360" w:lineRule="auto"/>
        <w:ind w:firstLine="542" w:firstLineChars="225"/>
        <w:rPr>
          <w:rFonts w:hint="eastAsia" w:ascii="宋体" w:hAnsi="宋体" w:eastAsia="宋体" w:cs="宋体"/>
          <w:b/>
          <w:bCs/>
          <w:sz w:val="24"/>
        </w:rPr>
      </w:pPr>
      <w:r>
        <w:rPr>
          <w:rFonts w:hint="eastAsia" w:ascii="宋体" w:hAnsi="宋体" w:eastAsia="宋体" w:cs="宋体"/>
          <w:b/>
          <w:bCs/>
          <w:sz w:val="24"/>
        </w:rPr>
        <w:t>招标人：厦工 （三明） 重型机器有限公司</w:t>
      </w:r>
    </w:p>
    <w:p>
      <w:pPr>
        <w:spacing w:line="360" w:lineRule="auto"/>
        <w:ind w:firstLine="540" w:firstLineChars="225"/>
        <w:rPr>
          <w:rFonts w:hint="eastAsia" w:ascii="宋体" w:hAnsi="宋体" w:eastAsia="宋体" w:cs="宋体"/>
          <w:sz w:val="24"/>
        </w:rPr>
      </w:pPr>
      <w:r>
        <w:rPr>
          <w:rFonts w:hint="eastAsia" w:ascii="宋体" w:hAnsi="宋体" w:eastAsia="宋体" w:cs="宋体"/>
          <w:sz w:val="24"/>
        </w:rPr>
        <w:t>技术联系人：</w:t>
      </w:r>
      <w:r>
        <w:rPr>
          <w:rFonts w:hint="eastAsia" w:ascii="宋体" w:hAnsi="宋体"/>
          <w:color w:val="000000"/>
          <w:sz w:val="24"/>
        </w:rPr>
        <w:t>彭</w:t>
      </w:r>
      <w:r>
        <w:rPr>
          <w:rFonts w:hint="eastAsia" w:ascii="宋体" w:hAnsi="宋体" w:eastAsia="宋体" w:cs="宋体"/>
          <w:sz w:val="24"/>
        </w:rPr>
        <w:t>先生（电话：</w:t>
      </w:r>
      <w:r>
        <w:rPr>
          <w:rFonts w:hint="eastAsia" w:ascii="宋体" w:hAnsi="宋体"/>
          <w:color w:val="000000"/>
          <w:sz w:val="24"/>
        </w:rPr>
        <w:t>18650982588</w:t>
      </w:r>
      <w:r>
        <w:rPr>
          <w:rFonts w:hint="eastAsia" w:ascii="宋体" w:hAnsi="宋体" w:eastAsia="宋体" w:cs="宋体"/>
          <w:sz w:val="24"/>
        </w:rPr>
        <w:t>）</w:t>
      </w:r>
    </w:p>
    <w:p>
      <w:pPr>
        <w:spacing w:line="360" w:lineRule="auto"/>
        <w:ind w:firstLine="540" w:firstLineChars="225"/>
        <w:rPr>
          <w:rFonts w:hint="eastAsia"/>
        </w:rPr>
      </w:pPr>
      <w:r>
        <w:rPr>
          <w:rFonts w:hint="eastAsia" w:ascii="宋体" w:hAnsi="宋体" w:cs="宋体"/>
          <w:sz w:val="24"/>
          <w:lang w:val="en-US" w:eastAsia="zh-CN"/>
        </w:rPr>
        <w:t>商务</w:t>
      </w:r>
      <w:r>
        <w:rPr>
          <w:rFonts w:hint="eastAsia" w:ascii="宋体" w:hAnsi="宋体" w:eastAsia="宋体" w:cs="宋体"/>
          <w:sz w:val="24"/>
        </w:rPr>
        <w:t>联系人：</w:t>
      </w:r>
      <w:r>
        <w:rPr>
          <w:rFonts w:hint="eastAsia" w:ascii="宋体" w:hAnsi="宋体" w:cs="宋体"/>
          <w:sz w:val="24"/>
          <w:lang w:val="en-US" w:eastAsia="zh-CN"/>
        </w:rPr>
        <w:t>陈</w:t>
      </w:r>
      <w:r>
        <w:rPr>
          <w:rFonts w:hint="eastAsia" w:ascii="宋体" w:hAnsi="宋体" w:eastAsia="宋体" w:cs="宋体"/>
          <w:sz w:val="24"/>
        </w:rPr>
        <w:t>先生（电话：</w:t>
      </w:r>
      <w:r>
        <w:rPr>
          <w:rFonts w:hint="eastAsia" w:ascii="宋体" w:hAnsi="宋体" w:cs="宋体"/>
          <w:sz w:val="24"/>
          <w:lang w:val="en-US" w:eastAsia="zh-CN"/>
        </w:rPr>
        <w:t>13395987366</w:t>
      </w:r>
      <w:r>
        <w:rPr>
          <w:rFonts w:hint="eastAsia" w:ascii="宋体" w:hAnsi="宋体" w:eastAsia="宋体" w:cs="宋体"/>
          <w:sz w:val="24"/>
        </w:rPr>
        <w:t>）</w:t>
      </w:r>
    </w:p>
    <w:p>
      <w:pPr>
        <w:spacing w:line="360" w:lineRule="auto"/>
        <w:ind w:firstLine="542" w:firstLineChars="225"/>
        <w:rPr>
          <w:rFonts w:hint="eastAsia" w:ascii="宋体" w:hAnsi="宋体" w:eastAsia="宋体" w:cs="宋体"/>
          <w:b/>
          <w:bCs/>
          <w:sz w:val="24"/>
        </w:rPr>
      </w:pPr>
      <w:bookmarkStart w:id="15" w:name="_Toc30058"/>
      <w:bookmarkStart w:id="16" w:name="_Toc27041"/>
      <w:r>
        <w:rPr>
          <w:rFonts w:hint="eastAsia" w:ascii="宋体" w:hAnsi="宋体" w:eastAsia="宋体" w:cs="宋体"/>
          <w:b/>
          <w:bCs/>
          <w:sz w:val="24"/>
        </w:rPr>
        <w:t>10、投标保证金</w:t>
      </w:r>
      <w:bookmarkEnd w:id="15"/>
      <w:bookmarkEnd w:id="16"/>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投标人必须在投标递交截止时间之前投标保证金</w:t>
      </w:r>
      <w:r>
        <w:rPr>
          <w:rFonts w:hint="eastAsia" w:ascii="宋体" w:hAnsi="宋体" w:cs="宋体"/>
          <w:color w:val="000000"/>
          <w:kern w:val="0"/>
          <w:sz w:val="24"/>
          <w:szCs w:val="24"/>
          <w:u w:val="single"/>
          <w:lang w:val="en-US" w:eastAsia="zh-CN" w:bidi="ar-SA"/>
        </w:rPr>
        <w:t>8</w:t>
      </w:r>
      <w:r>
        <w:rPr>
          <w:rFonts w:hint="eastAsia" w:ascii="宋体" w:hAnsi="宋体" w:eastAsia="宋体" w:cs="宋体"/>
          <w:color w:val="000000"/>
          <w:kern w:val="0"/>
          <w:sz w:val="24"/>
          <w:szCs w:val="24"/>
          <w:lang w:val="en-US" w:eastAsia="zh-CN" w:bidi="ar-SA"/>
        </w:rPr>
        <w:t>万元。未中标的投标人保证金于开标后7天内无息退还，中标人的保证金签合同后转为履约保证金。</w:t>
      </w:r>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收款单位账户：厦工(三明)重型机器有限公司</w:t>
      </w:r>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开户银行: 中国建设银行股份有限公司沙县支行</w:t>
      </w:r>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账    号: 3500 1647 7070 5250 2197</w:t>
      </w:r>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投标书应附有投标保证金缴款凭证 </w:t>
      </w:r>
    </w:p>
    <w:p>
      <w:pPr>
        <w:pStyle w:val="65"/>
        <w:rPr>
          <w:rFonts w:hint="eastAsia"/>
        </w:rPr>
      </w:pPr>
    </w:p>
    <w:p>
      <w:pPr>
        <w:pStyle w:val="65"/>
        <w:rPr>
          <w:rFonts w:hint="eastAsia"/>
        </w:rPr>
      </w:pPr>
    </w:p>
    <w:p>
      <w:pPr>
        <w:pStyle w:val="65"/>
        <w:rPr>
          <w:rFonts w:hint="eastAsia"/>
        </w:rPr>
      </w:pPr>
    </w:p>
    <w:p>
      <w:pPr>
        <w:pStyle w:val="65"/>
        <w:rPr>
          <w:rFonts w:hint="eastAsia"/>
        </w:rPr>
      </w:pPr>
    </w:p>
    <w:p>
      <w:pPr>
        <w:pStyle w:val="3"/>
        <w:spacing w:before="0" w:after="0" w:line="360" w:lineRule="auto"/>
        <w:jc w:val="left"/>
        <w:rPr>
          <w:rFonts w:hint="eastAsia" w:ascii="宋体" w:hAnsi="宋体"/>
          <w:sz w:val="28"/>
          <w:szCs w:val="28"/>
        </w:rPr>
      </w:pPr>
      <w:bookmarkStart w:id="17" w:name="_Toc30580"/>
      <w:bookmarkEnd w:id="17"/>
      <w:bookmarkStart w:id="18" w:name="_Toc34137373"/>
      <w:bookmarkEnd w:id="18"/>
      <w:bookmarkStart w:id="19" w:name="_Toc6229"/>
      <w:bookmarkEnd w:id="19"/>
      <w:bookmarkStart w:id="20" w:name="_Toc32543"/>
      <w:bookmarkEnd w:id="20"/>
      <w:bookmarkStart w:id="21" w:name="_Toc19329"/>
      <w:bookmarkEnd w:id="21"/>
      <w:bookmarkStart w:id="22" w:name="_Toc21333_WPSOffice_Level2"/>
      <w:bookmarkEnd w:id="22"/>
      <w:bookmarkStart w:id="23" w:name="_Toc9892"/>
      <w:bookmarkEnd w:id="23"/>
      <w:bookmarkStart w:id="24" w:name="_Toc22485"/>
      <w:bookmarkEnd w:id="24"/>
      <w:bookmarkStart w:id="25" w:name="_Toc30678"/>
      <w:bookmarkEnd w:id="25"/>
      <w:bookmarkStart w:id="26" w:name="_Toc15353"/>
      <w:bookmarkEnd w:id="26"/>
      <w:bookmarkStart w:id="27" w:name="_Toc13726"/>
      <w:bookmarkStart w:id="28" w:name="_Toc22310"/>
      <w:bookmarkStart w:id="29" w:name="_Toc9584"/>
      <w:bookmarkStart w:id="30" w:name="_Toc51751151"/>
      <w:bookmarkStart w:id="31" w:name="_Toc10802"/>
      <w:bookmarkStart w:id="32" w:name="_Toc22591"/>
      <w:bookmarkStart w:id="33" w:name="_Toc14014"/>
      <w:bookmarkStart w:id="34" w:name="_Toc148459122"/>
      <w:bookmarkStart w:id="35" w:name="_Toc971"/>
      <w:bookmarkStart w:id="36" w:name="_Toc16027"/>
      <w:bookmarkStart w:id="37" w:name="_Toc29935"/>
      <w:r>
        <w:rPr>
          <w:rFonts w:hint="eastAsia" w:ascii="宋体" w:hAnsi="宋体"/>
          <w:sz w:val="28"/>
          <w:szCs w:val="28"/>
        </w:rPr>
        <w:t>附：招标项目一览表</w:t>
      </w:r>
      <w:bookmarkEnd w:id="27"/>
      <w:bookmarkEnd w:id="28"/>
      <w:bookmarkEnd w:id="29"/>
      <w:bookmarkEnd w:id="30"/>
      <w:bookmarkEnd w:id="31"/>
      <w:bookmarkEnd w:id="32"/>
      <w:bookmarkEnd w:id="33"/>
      <w:bookmarkEnd w:id="34"/>
      <w:bookmarkEnd w:id="35"/>
      <w:bookmarkEnd w:id="36"/>
      <w:bookmarkEnd w:id="37"/>
    </w:p>
    <w:tbl>
      <w:tblPr>
        <w:tblStyle w:val="28"/>
        <w:tblW w:w="880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87"/>
        <w:gridCol w:w="1693"/>
        <w:gridCol w:w="1520"/>
        <w:gridCol w:w="186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trPr>
        <w:tc>
          <w:tcPr>
            <w:tcW w:w="1000"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合同包</w:t>
            </w:r>
          </w:p>
        </w:tc>
        <w:tc>
          <w:tcPr>
            <w:tcW w:w="987"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品目号</w:t>
            </w:r>
          </w:p>
        </w:tc>
        <w:tc>
          <w:tcPr>
            <w:tcW w:w="1693"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货物名称</w:t>
            </w:r>
          </w:p>
        </w:tc>
        <w:tc>
          <w:tcPr>
            <w:tcW w:w="1520"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数量</w:t>
            </w:r>
          </w:p>
        </w:tc>
        <w:tc>
          <w:tcPr>
            <w:tcW w:w="1869"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主要技术规格</w:t>
            </w:r>
          </w:p>
        </w:tc>
        <w:tc>
          <w:tcPr>
            <w:tcW w:w="1731"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rPr>
        <w:tc>
          <w:tcPr>
            <w:tcW w:w="1000"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eastAsia" w:ascii="宋体" w:hAnsi="宋体"/>
                <w:b/>
                <w:sz w:val="24"/>
                <w:szCs w:val="24"/>
              </w:rPr>
            </w:pPr>
            <w:r>
              <w:rPr>
                <w:rFonts w:hint="eastAsia" w:ascii="宋体" w:hAnsi="宋体"/>
                <w:b/>
                <w:sz w:val="24"/>
                <w:szCs w:val="24"/>
              </w:rPr>
              <w:t>1</w:t>
            </w:r>
          </w:p>
        </w:tc>
        <w:tc>
          <w:tcPr>
            <w:tcW w:w="987"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default" w:ascii="宋体" w:hAnsi="宋体" w:eastAsia="宋体"/>
                <w:b/>
                <w:sz w:val="24"/>
                <w:szCs w:val="24"/>
                <w:lang w:val="en-US" w:eastAsia="zh-CN"/>
              </w:rPr>
            </w:pPr>
            <w:r>
              <w:rPr>
                <w:rFonts w:hint="eastAsia" w:ascii="宋体" w:hAnsi="宋体"/>
                <w:b/>
                <w:sz w:val="24"/>
                <w:szCs w:val="24"/>
                <w:lang w:val="en-US" w:eastAsia="zh-CN"/>
              </w:rPr>
              <w:t>1-1</w:t>
            </w:r>
          </w:p>
        </w:tc>
        <w:tc>
          <w:tcPr>
            <w:tcW w:w="1693"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default" w:ascii="宋体" w:hAnsi="宋体" w:eastAsia="宋体"/>
                <w:b/>
                <w:sz w:val="24"/>
                <w:szCs w:val="24"/>
                <w:lang w:val="en-US" w:eastAsia="zh-CN"/>
              </w:rPr>
            </w:pPr>
            <w:r>
              <w:rPr>
                <w:rFonts w:hint="eastAsia" w:ascii="宋体" w:hAnsi="宋体"/>
                <w:b/>
                <w:sz w:val="24"/>
                <w:szCs w:val="24"/>
                <w:lang w:val="en-US" w:eastAsia="zh-CN"/>
              </w:rPr>
              <w:t>数控双柱立式车床</w:t>
            </w:r>
          </w:p>
        </w:tc>
        <w:tc>
          <w:tcPr>
            <w:tcW w:w="1520"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default" w:ascii="宋体" w:hAnsi="宋体" w:eastAsia="宋体"/>
                <w:b/>
                <w:sz w:val="24"/>
                <w:szCs w:val="24"/>
                <w:lang w:val="en-US" w:eastAsia="zh-CN"/>
              </w:rPr>
            </w:pPr>
            <w:r>
              <w:rPr>
                <w:rFonts w:hint="eastAsia" w:ascii="宋体" w:hAnsi="宋体"/>
                <w:b/>
                <w:sz w:val="24"/>
                <w:szCs w:val="24"/>
                <w:lang w:val="en-US" w:eastAsia="zh-CN"/>
              </w:rPr>
              <w:t>2</w:t>
            </w:r>
          </w:p>
        </w:tc>
        <w:tc>
          <w:tcPr>
            <w:tcW w:w="1869"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eastAsia" w:ascii="宋体" w:hAnsi="宋体"/>
                <w:b/>
                <w:sz w:val="24"/>
                <w:szCs w:val="24"/>
              </w:rPr>
            </w:pPr>
            <w:r>
              <w:rPr>
                <w:rFonts w:hint="eastAsia" w:ascii="宋体" w:hAnsi="宋体"/>
                <w:b/>
                <w:sz w:val="24"/>
                <w:szCs w:val="24"/>
              </w:rPr>
              <w:t>详见“第四章</w:t>
            </w:r>
          </w:p>
          <w:p>
            <w:pPr>
              <w:pStyle w:val="12"/>
              <w:tabs>
                <w:tab w:val="left" w:pos="8360"/>
              </w:tabs>
              <w:spacing w:line="420" w:lineRule="exact"/>
              <w:rPr>
                <w:rFonts w:hint="eastAsia" w:ascii="宋体" w:hAnsi="宋体"/>
                <w:b/>
                <w:sz w:val="24"/>
                <w:szCs w:val="24"/>
              </w:rPr>
            </w:pPr>
            <w:r>
              <w:rPr>
                <w:rFonts w:hint="eastAsia" w:ascii="宋体" w:hAnsi="宋体"/>
                <w:b/>
                <w:sz w:val="24"/>
                <w:szCs w:val="24"/>
              </w:rPr>
              <w:t>招标内容及要求”</w:t>
            </w:r>
          </w:p>
        </w:tc>
        <w:tc>
          <w:tcPr>
            <w:tcW w:w="1731"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eastAsia" w:ascii="宋体" w:hAnsi="宋体"/>
                <w:b/>
                <w:sz w:val="24"/>
                <w:szCs w:val="24"/>
              </w:rPr>
            </w:pPr>
            <w:r>
              <w:rPr>
                <w:rFonts w:hint="eastAsia" w:ascii="宋体" w:hAnsi="宋体"/>
                <w:b/>
                <w:sz w:val="24"/>
                <w:szCs w:val="24"/>
              </w:rPr>
              <w:t>详见“第四章</w:t>
            </w:r>
          </w:p>
          <w:p>
            <w:pPr>
              <w:pStyle w:val="12"/>
              <w:tabs>
                <w:tab w:val="left" w:pos="8360"/>
              </w:tabs>
              <w:spacing w:line="420" w:lineRule="exact"/>
              <w:rPr>
                <w:rFonts w:hint="eastAsia" w:ascii="宋体" w:hAnsi="宋体"/>
                <w:b/>
                <w:sz w:val="24"/>
                <w:szCs w:val="24"/>
              </w:rPr>
            </w:pPr>
            <w:r>
              <w:rPr>
                <w:rFonts w:hint="eastAsia" w:ascii="宋体" w:hAnsi="宋体"/>
                <w:b/>
                <w:sz w:val="24"/>
                <w:szCs w:val="24"/>
              </w:rPr>
              <w:t>招标内容及要求”</w:t>
            </w:r>
          </w:p>
        </w:tc>
      </w:tr>
    </w:tbl>
    <w:p/>
    <w:p>
      <w:pPr>
        <w:pStyle w:val="15"/>
        <w:spacing w:line="420" w:lineRule="exact"/>
        <w:jc w:val="left"/>
        <w:rPr>
          <w:rFonts w:hint="eastAsia" w:hAnsi="宋体"/>
          <w:sz w:val="24"/>
          <w:szCs w:val="24"/>
        </w:rPr>
      </w:pPr>
      <w:r>
        <w:rPr>
          <w:rFonts w:hint="eastAsia" w:hAnsi="宋体"/>
          <w:sz w:val="24"/>
          <w:szCs w:val="24"/>
        </w:rPr>
        <w:t>注：</w:t>
      </w:r>
    </w:p>
    <w:p>
      <w:pPr>
        <w:pStyle w:val="15"/>
        <w:spacing w:line="420" w:lineRule="exact"/>
        <w:ind w:firstLine="480" w:firstLineChars="200"/>
        <w:jc w:val="left"/>
        <w:rPr>
          <w:rFonts w:hint="eastAsia" w:hAnsi="宋体"/>
          <w:sz w:val="24"/>
          <w:szCs w:val="24"/>
        </w:rPr>
      </w:pPr>
      <w:r>
        <w:rPr>
          <w:rFonts w:hint="eastAsia" w:hAnsi="宋体"/>
          <w:sz w:val="24"/>
          <w:szCs w:val="24"/>
        </w:rPr>
        <w:t>1、本项目为1个合同包，投标人按合同包投标，对合同包内所有品目号内容投标时必须完整。评标与授标以合同包为单位。</w:t>
      </w:r>
    </w:p>
    <w:p>
      <w:pPr>
        <w:pStyle w:val="15"/>
        <w:spacing w:line="420" w:lineRule="exact"/>
        <w:ind w:firstLine="480" w:firstLineChars="200"/>
        <w:jc w:val="left"/>
        <w:rPr>
          <w:rFonts w:hint="eastAsia" w:hAnsi="宋体" w:eastAsiaTheme="minorEastAsia"/>
          <w:b/>
          <w:bCs/>
          <w:sz w:val="24"/>
          <w:szCs w:val="24"/>
          <w:lang w:val="en-US" w:eastAsia="zh-CN"/>
        </w:rPr>
      </w:pPr>
      <w:bookmarkStart w:id="38" w:name="_Toc25459"/>
      <w:bookmarkEnd w:id="38"/>
      <w:bookmarkStart w:id="39" w:name="_Toc23009"/>
      <w:bookmarkEnd w:id="39"/>
      <w:bookmarkStart w:id="40" w:name="_Toc20207"/>
      <w:bookmarkEnd w:id="40"/>
      <w:bookmarkStart w:id="41" w:name="_Toc25457"/>
      <w:bookmarkEnd w:id="41"/>
      <w:bookmarkStart w:id="42" w:name="_Toc28115"/>
      <w:bookmarkEnd w:id="42"/>
      <w:bookmarkStart w:id="43" w:name="_Toc34137374"/>
      <w:bookmarkEnd w:id="43"/>
      <w:bookmarkStart w:id="44" w:name="_Toc7564"/>
      <w:bookmarkEnd w:id="44"/>
      <w:bookmarkStart w:id="45" w:name="_Toc21299"/>
      <w:bookmarkEnd w:id="45"/>
      <w:bookmarkStart w:id="46" w:name="_Toc5546"/>
      <w:bookmarkEnd w:id="46"/>
      <w:bookmarkStart w:id="47" w:name="_Toc31263"/>
      <w:bookmarkStart w:id="48" w:name="_Toc51751152"/>
      <w:bookmarkStart w:id="49" w:name="_Toc8791"/>
      <w:bookmarkStart w:id="50" w:name="_Toc11409"/>
      <w:r>
        <w:rPr>
          <w:rFonts w:hint="eastAsia" w:hAnsi="宋体"/>
          <w:b/>
          <w:bCs/>
          <w:sz w:val="24"/>
          <w:szCs w:val="24"/>
          <w:lang w:val="en-US" w:eastAsia="zh-CN"/>
        </w:rPr>
        <w:t>2、本次招标涵盖两台同型号机器。招标人将在首台机器交付后进行现场技术参数验证。仅当首台机器经验证确认符合招标要求及验收标准后，双方方签订第二台机器的销售合同。若首台机器未能通过技术参数验证，招标人有权解除第二台机器的销售合同，并决定另行招标或选择其他供应商完成后续工作。</w:t>
      </w:r>
    </w:p>
    <w:p>
      <w:pPr>
        <w:pStyle w:val="15"/>
        <w:spacing w:line="420" w:lineRule="exact"/>
        <w:jc w:val="center"/>
        <w:outlineLvl w:val="0"/>
        <w:rPr>
          <w:rFonts w:hint="eastAsia" w:hAnsi="宋体"/>
          <w:b/>
          <w:bCs/>
          <w:sz w:val="36"/>
          <w:szCs w:val="36"/>
        </w:rPr>
      </w:pPr>
      <w:r>
        <w:rPr>
          <w:rFonts w:hint="eastAsia" w:hAnsi="宋体"/>
          <w:b/>
          <w:bCs/>
          <w:sz w:val="36"/>
          <w:szCs w:val="36"/>
        </w:rPr>
        <w:br w:type="page"/>
      </w:r>
      <w:bookmarkStart w:id="51" w:name="_Toc15799"/>
      <w:bookmarkStart w:id="52" w:name="_Toc17639"/>
      <w:bookmarkStart w:id="53" w:name="_Toc148459123"/>
      <w:bookmarkStart w:id="54" w:name="_Toc30692"/>
      <w:bookmarkStart w:id="55" w:name="_Toc8821"/>
      <w:bookmarkStart w:id="56" w:name="_Toc22503"/>
      <w:bookmarkStart w:id="57" w:name="_Toc12651"/>
      <w:r>
        <w:rPr>
          <w:rFonts w:hint="eastAsia" w:hAnsi="宋体"/>
          <w:b/>
          <w:bCs/>
          <w:sz w:val="36"/>
          <w:szCs w:val="36"/>
        </w:rPr>
        <w:t>第二章  投标人须知</w:t>
      </w:r>
      <w:bookmarkEnd w:id="47"/>
      <w:bookmarkEnd w:id="48"/>
      <w:bookmarkEnd w:id="49"/>
      <w:bookmarkEnd w:id="50"/>
      <w:bookmarkEnd w:id="51"/>
      <w:bookmarkEnd w:id="52"/>
      <w:bookmarkEnd w:id="53"/>
      <w:bookmarkEnd w:id="54"/>
      <w:bookmarkEnd w:id="55"/>
      <w:bookmarkEnd w:id="56"/>
      <w:bookmarkEnd w:id="57"/>
    </w:p>
    <w:p>
      <w:pPr>
        <w:pStyle w:val="3"/>
        <w:spacing w:before="0" w:after="0" w:line="360" w:lineRule="auto"/>
        <w:jc w:val="center"/>
        <w:rPr>
          <w:rFonts w:hint="eastAsia" w:ascii="宋体" w:hAnsi="宋体"/>
          <w:sz w:val="28"/>
          <w:szCs w:val="28"/>
        </w:rPr>
      </w:pPr>
      <w:bookmarkStart w:id="58" w:name="_Toc34137375"/>
      <w:bookmarkEnd w:id="58"/>
      <w:bookmarkStart w:id="59" w:name="_Toc398504590"/>
      <w:bookmarkEnd w:id="59"/>
      <w:bookmarkStart w:id="60" w:name="_Toc9582"/>
      <w:bookmarkEnd w:id="60"/>
      <w:bookmarkStart w:id="61" w:name="_Toc476128894"/>
      <w:bookmarkEnd w:id="61"/>
      <w:bookmarkStart w:id="62" w:name="_Toc422946676"/>
      <w:bookmarkEnd w:id="62"/>
      <w:bookmarkStart w:id="63" w:name="_Toc12710"/>
      <w:bookmarkEnd w:id="63"/>
      <w:bookmarkStart w:id="64" w:name="_Toc14804"/>
      <w:bookmarkEnd w:id="64"/>
      <w:bookmarkStart w:id="65" w:name="_Toc398284534"/>
      <w:bookmarkEnd w:id="65"/>
      <w:bookmarkStart w:id="66" w:name="_Toc11001"/>
      <w:bookmarkEnd w:id="66"/>
      <w:bookmarkStart w:id="67" w:name="_Toc12556"/>
      <w:bookmarkEnd w:id="67"/>
      <w:bookmarkStart w:id="68" w:name="_Toc19674"/>
      <w:bookmarkEnd w:id="68"/>
      <w:bookmarkStart w:id="69" w:name="_Toc32031"/>
      <w:bookmarkEnd w:id="69"/>
      <w:bookmarkStart w:id="70" w:name="_Toc24082_WPSOffice_Level2"/>
      <w:bookmarkEnd w:id="70"/>
      <w:bookmarkStart w:id="71" w:name="_Toc26500"/>
      <w:bookmarkEnd w:id="71"/>
      <w:bookmarkStart w:id="72" w:name="_Toc21913"/>
      <w:bookmarkStart w:id="73" w:name="_Toc21960"/>
      <w:bookmarkStart w:id="74" w:name="_Toc17108"/>
      <w:bookmarkStart w:id="75" w:name="_Toc20661"/>
      <w:bookmarkStart w:id="76" w:name="_Toc27465"/>
      <w:bookmarkStart w:id="77" w:name="_Toc512"/>
      <w:bookmarkStart w:id="78" w:name="_Toc4781"/>
      <w:bookmarkStart w:id="79" w:name="_Toc148459124"/>
      <w:bookmarkStart w:id="80" w:name="_Toc9649"/>
      <w:bookmarkStart w:id="81" w:name="_Toc5735"/>
      <w:bookmarkStart w:id="82" w:name="_Toc51751153"/>
      <w:r>
        <w:rPr>
          <w:rFonts w:hint="eastAsia" w:ascii="宋体" w:hAnsi="宋体"/>
          <w:sz w:val="28"/>
          <w:szCs w:val="28"/>
        </w:rPr>
        <w:t>投标人须知前附表</w:t>
      </w:r>
      <w:bookmarkEnd w:id="72"/>
      <w:bookmarkEnd w:id="73"/>
      <w:bookmarkEnd w:id="74"/>
      <w:bookmarkEnd w:id="75"/>
      <w:bookmarkEnd w:id="76"/>
      <w:bookmarkEnd w:id="77"/>
      <w:bookmarkEnd w:id="78"/>
      <w:bookmarkEnd w:id="79"/>
      <w:bookmarkEnd w:id="80"/>
      <w:bookmarkEnd w:id="81"/>
      <w:bookmarkEnd w:id="82"/>
    </w:p>
    <w:p>
      <w:pPr>
        <w:spacing w:line="360" w:lineRule="auto"/>
        <w:ind w:firstLine="480" w:firstLineChars="200"/>
        <w:rPr>
          <w:rFonts w:cs="宋体"/>
          <w:sz w:val="24"/>
        </w:rPr>
      </w:pPr>
      <w:r>
        <w:rPr>
          <w:rFonts w:hint="eastAsia" w:cs="宋体"/>
          <w:sz w:val="24"/>
        </w:rPr>
        <w:t>本须知前附表的内容是与《投标人须知》中条款的内容对应的。如果有矛盾的话，应以本附表为准。</w:t>
      </w:r>
    </w:p>
    <w:tbl>
      <w:tblPr>
        <w:tblStyle w:val="28"/>
        <w:tblW w:w="8960"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
      <w:tblGrid>
        <w:gridCol w:w="849"/>
        <w:gridCol w:w="1030"/>
        <w:gridCol w:w="70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8" w:hRule="atLeast"/>
          <w:jc w:val="center"/>
        </w:trPr>
        <w:tc>
          <w:tcPr>
            <w:tcW w:w="849" w:type="dxa"/>
            <w:tcBorders>
              <w:top w:val="thinThickSmallGap" w:color="auto" w:sz="12"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b/>
                <w:bCs/>
                <w:sz w:val="24"/>
              </w:rPr>
            </w:pPr>
            <w:r>
              <w:rPr>
                <w:rFonts w:hint="eastAsia" w:cs="宋体"/>
                <w:b/>
                <w:bCs/>
                <w:sz w:val="24"/>
              </w:rPr>
              <w:t>项号</w:t>
            </w:r>
          </w:p>
        </w:tc>
        <w:tc>
          <w:tcPr>
            <w:tcW w:w="1030" w:type="dxa"/>
            <w:tcBorders>
              <w:top w:val="thinThickSmallGap" w:color="auto" w:sz="12"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b/>
                <w:bCs/>
                <w:sz w:val="24"/>
              </w:rPr>
            </w:pPr>
            <w:r>
              <w:rPr>
                <w:rFonts w:hint="eastAsia" w:cs="宋体"/>
                <w:b/>
                <w:bCs/>
                <w:sz w:val="24"/>
              </w:rPr>
              <w:t>条款号</w:t>
            </w:r>
          </w:p>
        </w:tc>
        <w:tc>
          <w:tcPr>
            <w:tcW w:w="7081" w:type="dxa"/>
            <w:tcBorders>
              <w:top w:val="thinThickSmallGap" w:color="auto" w:sz="12"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jc w:val="center"/>
              <w:rPr>
                <w:rFonts w:cs="宋体"/>
                <w:b/>
                <w:bCs/>
                <w:sz w:val="24"/>
              </w:rPr>
            </w:pPr>
            <w:r>
              <w:rPr>
                <w:rFonts w:hint="eastAsia" w:cs="宋体"/>
                <w:b/>
                <w:bCs/>
                <w:sz w:val="24"/>
              </w:rPr>
              <w:t>编   列   内    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95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1</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2</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ind w:left="1200" w:hanging="1200" w:hangingChars="500"/>
              <w:rPr>
                <w:rFonts w:hint="default" w:eastAsia="宋体" w:cs="宋体"/>
                <w:sz w:val="24"/>
                <w:u w:val="single"/>
                <w:lang w:val="en-US" w:eastAsia="zh-CN"/>
              </w:rPr>
            </w:pPr>
            <w:r>
              <w:rPr>
                <w:rFonts w:hint="eastAsia" w:cs="宋体"/>
                <w:sz w:val="24"/>
              </w:rPr>
              <w:t>项目名称：</w:t>
            </w:r>
            <w:r>
              <w:rPr>
                <w:rFonts w:hint="eastAsia" w:cs="宋体"/>
                <w:sz w:val="24"/>
                <w:u w:val="single"/>
                <w:lang w:val="en-US" w:eastAsia="zh-CN"/>
              </w:rPr>
              <w:t xml:space="preserve"> 数控双柱立式车床  </w:t>
            </w:r>
          </w:p>
          <w:p>
            <w:pPr>
              <w:spacing w:line="360" w:lineRule="auto"/>
              <w:ind w:left="1200" w:hanging="1200" w:hangingChars="500"/>
              <w:rPr>
                <w:rFonts w:cs="宋体"/>
                <w:sz w:val="24"/>
              </w:rPr>
            </w:pPr>
            <w:r>
              <w:rPr>
                <w:rFonts w:hint="eastAsia" w:cs="宋体"/>
                <w:sz w:val="24"/>
              </w:rPr>
              <w:t>招标人名称：厦工</w:t>
            </w:r>
            <w:r>
              <w:rPr>
                <w:rFonts w:cs="宋体"/>
                <w:sz w:val="24"/>
              </w:rPr>
              <w:t>(三明)重型机器有限公司</w:t>
            </w:r>
          </w:p>
          <w:p>
            <w:pPr>
              <w:spacing w:line="360" w:lineRule="auto"/>
              <w:rPr>
                <w:rFonts w:cs="宋体"/>
                <w:sz w:val="24"/>
              </w:rPr>
            </w:pPr>
            <w:r>
              <w:rPr>
                <w:rFonts w:hint="eastAsia" w:cs="宋体"/>
                <w:sz w:val="24"/>
              </w:rPr>
              <w:t>项目内容：详见“招标项目一览表”</w:t>
            </w:r>
          </w:p>
          <w:p>
            <w:pPr>
              <w:spacing w:line="360" w:lineRule="auto"/>
              <w:rPr>
                <w:rFonts w:cs="宋体"/>
                <w:sz w:val="24"/>
              </w:rPr>
            </w:pPr>
            <w:r>
              <w:rPr>
                <w:rFonts w:hint="eastAsia" w:cs="宋体"/>
                <w:sz w:val="24"/>
              </w:rPr>
              <w:t>招标编号：</w:t>
            </w:r>
            <w:r>
              <w:rPr>
                <w:rFonts w:cs="宋体"/>
                <w:sz w:val="24"/>
                <w:u w:val="single"/>
              </w:rPr>
              <w:t xml:space="preserve">  </w:t>
            </w:r>
            <w:r>
              <w:rPr>
                <w:rFonts w:hint="eastAsia" w:ascii="宋体" w:hAnsi="宋体" w:eastAsia="宋体" w:cs="宋体"/>
                <w:color w:val="000000"/>
                <w:u w:val="single"/>
              </w:rPr>
              <w:t>XGSZ-JG-</w:t>
            </w:r>
            <w:r>
              <w:rPr>
                <w:rFonts w:hint="eastAsia" w:ascii="宋体" w:hAnsi="宋体" w:cs="宋体"/>
                <w:color w:val="000000"/>
                <w:u w:val="single"/>
                <w:lang w:val="en-US" w:eastAsia="zh-CN"/>
              </w:rPr>
              <w:t xml:space="preserve">20250709-01-ZJ </w:t>
            </w:r>
            <w:r>
              <w:rPr>
                <w:rFonts w:cs="宋体"/>
                <w:sz w:val="24"/>
                <w:u w:val="single"/>
              </w:rPr>
              <w:t xml:space="preserve">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468"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2</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ind w:left="1200" w:hanging="1200" w:hangingChars="500"/>
              <w:rPr>
                <w:rFonts w:cs="宋体"/>
                <w:sz w:val="24"/>
              </w:rPr>
            </w:pPr>
            <w:r>
              <w:rPr>
                <w:rFonts w:hint="eastAsia" w:cs="宋体"/>
                <w:sz w:val="24"/>
              </w:rPr>
              <w:t>招标项目的资金来源和落实情况：</w:t>
            </w:r>
          </w:p>
          <w:p>
            <w:pPr>
              <w:spacing w:line="360" w:lineRule="auto"/>
              <w:ind w:left="1200" w:hanging="1200" w:hangingChars="500"/>
              <w:rPr>
                <w:rFonts w:cs="宋体"/>
                <w:sz w:val="24"/>
              </w:rPr>
            </w:pPr>
            <w:r>
              <w:rPr>
                <w:rFonts w:hint="eastAsia" w:cs="宋体"/>
                <w:sz w:val="24"/>
              </w:rPr>
              <w:t>招标项目资金来源:</w:t>
            </w:r>
            <w:r>
              <w:rPr>
                <w:rFonts w:hint="eastAsia" w:cs="宋体"/>
                <w:sz w:val="24"/>
                <w:u w:val="single"/>
              </w:rPr>
              <w:t>自筹资金</w:t>
            </w:r>
            <w:r>
              <w:rPr>
                <w:rFonts w:hint="eastAsia" w:cs="宋体"/>
                <w:sz w:val="24"/>
              </w:rPr>
              <w:t>，出资比例为</w:t>
            </w:r>
            <w:r>
              <w:rPr>
                <w:rFonts w:hint="eastAsia" w:cs="宋体"/>
                <w:sz w:val="24"/>
                <w:u w:val="single"/>
              </w:rPr>
              <w:t>100%</w:t>
            </w:r>
            <w:r>
              <w:rPr>
                <w:rFonts w:hint="eastAsia" w:cs="宋体"/>
                <w:sz w:val="24"/>
              </w:rPr>
              <w:t>。</w:t>
            </w:r>
          </w:p>
          <w:p>
            <w:pPr>
              <w:spacing w:line="360" w:lineRule="auto"/>
              <w:ind w:left="1200" w:hanging="1200" w:hangingChars="500"/>
              <w:rPr>
                <w:rFonts w:cs="宋体"/>
                <w:sz w:val="24"/>
              </w:rPr>
            </w:pPr>
            <w:r>
              <w:rPr>
                <w:rFonts w:hint="eastAsia" w:cs="宋体"/>
                <w:sz w:val="24"/>
              </w:rPr>
              <w:t>资金落实情况：已落实</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98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3</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ind w:left="1200" w:hanging="1200" w:hangingChars="500"/>
              <w:rPr>
                <w:rFonts w:cs="宋体"/>
                <w:sz w:val="24"/>
              </w:rPr>
            </w:pPr>
            <w:r>
              <w:rPr>
                <w:rFonts w:hint="eastAsia" w:cs="宋体"/>
                <w:sz w:val="24"/>
              </w:rPr>
              <w:t>投标报价超过最高限价，其投标无效。</w:t>
            </w:r>
          </w:p>
          <w:p>
            <w:pPr>
              <w:spacing w:line="360" w:lineRule="auto"/>
              <w:ind w:left="1200" w:hanging="1200" w:hangingChars="500"/>
              <w:rPr>
                <w:rFonts w:cs="宋体"/>
                <w:sz w:val="24"/>
              </w:rPr>
            </w:pPr>
            <w:r>
              <w:rPr>
                <w:rFonts w:hint="eastAsia" w:cs="宋体"/>
                <w:sz w:val="24"/>
              </w:rPr>
              <w:sym w:font="Wingdings 2" w:char="0052"/>
            </w:r>
            <w:r>
              <w:rPr>
                <w:rFonts w:hint="eastAsia" w:cs="宋体"/>
                <w:sz w:val="24"/>
              </w:rPr>
              <w:t>本合同包的采购预算：</w:t>
            </w:r>
            <w:r>
              <w:rPr>
                <w:rFonts w:hint="eastAsia" w:cs="宋体"/>
                <w:sz w:val="24"/>
                <w:szCs w:val="24"/>
              </w:rPr>
              <w:t>详见“第四章 招标内容及要求”</w:t>
            </w:r>
            <w:r>
              <w:rPr>
                <w:rFonts w:hint="eastAsia" w:cs="宋体"/>
                <w:sz w:val="24"/>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99"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4</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3</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cs="宋体"/>
                <w:sz w:val="24"/>
              </w:rPr>
            </w:pPr>
            <w:r>
              <w:rPr>
                <w:rFonts w:hint="eastAsia" w:cs="宋体"/>
                <w:sz w:val="24"/>
              </w:rPr>
              <w:t>资格标准：详见《第三章  评标办法》的“附表1：资格审查表”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98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5</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8.3</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ind w:left="1200" w:hanging="1200" w:hangingChars="500"/>
              <w:rPr>
                <w:rFonts w:cs="宋体"/>
                <w:sz w:val="24"/>
              </w:rPr>
            </w:pPr>
            <w:r>
              <w:rPr>
                <w:rFonts w:hint="eastAsia" w:cs="宋体"/>
                <w:sz w:val="24"/>
              </w:rPr>
              <w:t>是否允许中标人将本项目的非主体、非关键性工作进行分包：</w:t>
            </w:r>
          </w:p>
          <w:p>
            <w:pPr>
              <w:spacing w:line="360" w:lineRule="auto"/>
              <w:ind w:left="1205" w:hanging="1205" w:hangingChars="500"/>
              <w:rPr>
                <w:rFonts w:cs="宋体"/>
                <w:sz w:val="24"/>
              </w:rPr>
            </w:pPr>
            <w:r>
              <w:rPr>
                <w:rFonts w:hint="eastAsia" w:cs="宋体"/>
                <w:b/>
                <w:bCs/>
                <w:sz w:val="24"/>
                <w:u w:val="single"/>
              </w:rPr>
              <w:t>不允许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468"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6</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hint="default" w:eastAsia="宋体" w:cs="宋体"/>
                <w:sz w:val="24"/>
                <w:lang w:val="en-US" w:eastAsia="zh-CN"/>
              </w:rPr>
            </w:pPr>
            <w:r>
              <w:rPr>
                <w:rFonts w:hint="eastAsia" w:cs="宋体"/>
                <w:sz w:val="24"/>
              </w:rPr>
              <w:t>11</w:t>
            </w:r>
            <w:r>
              <w:rPr>
                <w:rFonts w:hint="eastAsia" w:cs="宋体"/>
                <w:sz w:val="24"/>
                <w:lang w:val="en-US" w:eastAsia="zh-CN"/>
              </w:rPr>
              <w:t>.1</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cs="宋体"/>
                <w:sz w:val="24"/>
              </w:rPr>
            </w:pPr>
            <w:r>
              <w:rPr>
                <w:rFonts w:hint="eastAsia" w:cs="宋体"/>
                <w:sz w:val="24"/>
              </w:rPr>
              <w:t xml:space="preserve">投标有效期：投标截止之日后 </w:t>
            </w:r>
            <w:r>
              <w:rPr>
                <w:rFonts w:hint="eastAsia" w:cs="宋体"/>
                <w:sz w:val="24"/>
                <w:u w:val="single"/>
              </w:rPr>
              <w:t>90个日历日</w:t>
            </w:r>
            <w:r>
              <w:rPr>
                <w:rFonts w:hint="eastAsia" w:cs="宋体"/>
                <w:sz w:val="24"/>
              </w:rPr>
              <w:t xml:space="preserve">内保持有效。投标有效期不足的，将导致其投标无效。投标有效期内投标人撤销投标文件的，投标保证金不予退还。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375"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7</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12.1</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hint="eastAsia" w:eastAsia="宋体" w:cs="宋体"/>
                <w:lang w:eastAsia="zh-CN"/>
              </w:rPr>
            </w:pPr>
            <w:r>
              <w:rPr>
                <w:rFonts w:hint="eastAsia" w:cs="宋体"/>
                <w:sz w:val="24"/>
                <w:szCs w:val="24"/>
              </w:rPr>
              <w:t>1、投标保证金金额：人民币</w:t>
            </w:r>
            <w:r>
              <w:rPr>
                <w:rFonts w:hint="eastAsia" w:cs="宋体"/>
                <w:sz w:val="24"/>
                <w:szCs w:val="24"/>
                <w:lang w:val="en-US" w:eastAsia="zh-CN"/>
              </w:rPr>
              <w:t>8</w:t>
            </w:r>
            <w:r>
              <w:rPr>
                <w:rFonts w:hint="eastAsia" w:cs="宋体"/>
                <w:color w:val="000000" w:themeColor="text1"/>
                <w:sz w:val="24"/>
                <w:szCs w:val="24"/>
                <w14:textFill>
                  <w14:solidFill>
                    <w14:schemeClr w14:val="tx1"/>
                  </w14:solidFill>
                </w14:textFill>
              </w:rPr>
              <w:t>万</w:t>
            </w:r>
            <w:r>
              <w:rPr>
                <w:rFonts w:hint="eastAsia" w:cs="宋体"/>
                <w:sz w:val="24"/>
                <w:szCs w:val="24"/>
              </w:rPr>
              <w:t>元整。</w:t>
            </w:r>
          </w:p>
          <w:p>
            <w:pPr>
              <w:spacing w:line="360" w:lineRule="auto"/>
              <w:rPr>
                <w:rFonts w:cs="宋体"/>
                <w:sz w:val="24"/>
                <w:szCs w:val="24"/>
              </w:rPr>
            </w:pPr>
            <w:r>
              <w:rPr>
                <w:rFonts w:hint="eastAsia" w:cs="宋体"/>
                <w:sz w:val="24"/>
                <w:szCs w:val="24"/>
              </w:rPr>
              <w:t>2、投标保证金形式：投标人所在地银行的投标人企业基本账户以电汇或银行转账的形式。</w:t>
            </w:r>
          </w:p>
          <w:p>
            <w:pPr>
              <w:spacing w:line="360" w:lineRule="auto"/>
              <w:rPr>
                <w:rFonts w:cs="宋体"/>
                <w:b/>
                <w:bCs/>
                <w:sz w:val="24"/>
                <w:szCs w:val="24"/>
              </w:rPr>
            </w:pPr>
            <w:r>
              <w:rPr>
                <w:rFonts w:hint="eastAsia" w:cs="宋体"/>
                <w:sz w:val="24"/>
                <w:szCs w:val="24"/>
              </w:rPr>
              <w:t>3、投标保证金的递交截止时间为：投标截止时间之前转到招标文件指定账户（可提前）。投标保证金的递交截止时间之后到账的投标保证金无效，视为该投标人未提交投标保证金。</w:t>
            </w:r>
          </w:p>
          <w:p>
            <w:pPr>
              <w:spacing w:line="360" w:lineRule="auto"/>
              <w:rPr>
                <w:rFonts w:cs="宋体"/>
                <w:sz w:val="24"/>
                <w:szCs w:val="24"/>
              </w:rPr>
            </w:pPr>
            <w:r>
              <w:rPr>
                <w:rFonts w:hint="eastAsia" w:cs="宋体"/>
                <w:sz w:val="24"/>
                <w:szCs w:val="24"/>
              </w:rPr>
              <w:t>4、投标保证金证明材料提交形式：将电汇、银行转账单凭证的复印件作为资格文件的组成部分。</w:t>
            </w:r>
          </w:p>
          <w:p>
            <w:pPr>
              <w:spacing w:line="360" w:lineRule="auto"/>
              <w:rPr>
                <w:rFonts w:cs="宋体"/>
                <w:sz w:val="24"/>
                <w:szCs w:val="24"/>
              </w:rPr>
            </w:pPr>
            <w:r>
              <w:rPr>
                <w:rFonts w:hint="eastAsia" w:cs="宋体"/>
                <w:sz w:val="24"/>
                <w:szCs w:val="24"/>
              </w:rPr>
              <w:t>5、投标保证金有效期：与投标有效期一致。</w:t>
            </w:r>
          </w:p>
          <w:p>
            <w:pPr>
              <w:spacing w:line="360" w:lineRule="auto"/>
              <w:rPr>
                <w:rFonts w:cs="宋体"/>
                <w:sz w:val="24"/>
                <w:szCs w:val="24"/>
              </w:rPr>
            </w:pPr>
            <w:r>
              <w:rPr>
                <w:rFonts w:hint="eastAsia" w:cs="宋体"/>
                <w:sz w:val="24"/>
                <w:szCs w:val="24"/>
              </w:rPr>
              <w:t>6、投标保证金金额为“0”的，视为不</w:t>
            </w:r>
            <w:r>
              <w:rPr>
                <w:rFonts w:hint="eastAsia" w:cs="宋体"/>
                <w:color w:val="FF0000"/>
                <w:sz w:val="24"/>
                <w:szCs w:val="24"/>
              </w:rPr>
              <w:t>按</w:t>
            </w:r>
            <w:r>
              <w:rPr>
                <w:rFonts w:hint="eastAsia" w:cs="宋体"/>
                <w:sz w:val="24"/>
                <w:szCs w:val="24"/>
              </w:rPr>
              <w:t>要求提交投标保证金。</w:t>
            </w:r>
          </w:p>
          <w:p>
            <w:pPr>
              <w:spacing w:line="360" w:lineRule="auto"/>
              <w:rPr>
                <w:rFonts w:cs="宋体"/>
                <w:sz w:val="24"/>
                <w:szCs w:val="24"/>
              </w:rPr>
            </w:pPr>
            <w:r>
              <w:rPr>
                <w:rFonts w:hint="eastAsia" w:cs="宋体"/>
                <w:sz w:val="24"/>
                <w:szCs w:val="24"/>
              </w:rPr>
              <w:t>7、可以不予退还投标保证金的情形：（1）除不可抗力外，投标人在投标截止时间后至投标有效期截止前撤销、撤回或修改其投标文件的；（2）中标通知书发出后，中标人放弃中标项目的，无正当理由不与招标人签订合同的，或在签订合同同时向招标人提出附加条件或者更改合同实质性内容的，或在招标文件规定的期限内据不提交所要求的履约保证金的。（3）投标人提交了虚假材料或伪造材料的。（4）法律法规规定的可以没收投标保证金的情形，或者存在违反相关法律、法规的情形。（5）被相关主管部门认定为可没收投标保证金的情形。（6）招标文件规定的没收投标保证金的情形。</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37"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8</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cs="宋体"/>
                <w:sz w:val="24"/>
                <w:szCs w:val="24"/>
              </w:rPr>
            </w:pPr>
            <w:r>
              <w:rPr>
                <w:rFonts w:hint="eastAsia" w:cs="宋体"/>
                <w:sz w:val="24"/>
                <w:szCs w:val="24"/>
              </w:rPr>
              <w:t>递交疑问或异议的方式：</w:t>
            </w:r>
          </w:p>
          <w:p>
            <w:pPr>
              <w:spacing w:line="360" w:lineRule="auto"/>
              <w:rPr>
                <w:rFonts w:cs="宋体"/>
                <w:sz w:val="24"/>
                <w:szCs w:val="24"/>
              </w:rPr>
            </w:pPr>
            <w:r>
              <w:rPr>
                <w:rFonts w:hint="eastAsia" w:cs="宋体"/>
                <w:sz w:val="24"/>
                <w:szCs w:val="24"/>
                <w:u w:val="single"/>
              </w:rPr>
              <w:t>①</w:t>
            </w:r>
            <w:r>
              <w:rPr>
                <w:rFonts w:hint="eastAsia" w:cs="宋体"/>
                <w:sz w:val="24"/>
                <w:szCs w:val="24"/>
              </w:rPr>
              <w:t>提出异议的时间：投标截止时间十日之前</w:t>
            </w:r>
          </w:p>
          <w:p>
            <w:pPr>
              <w:spacing w:line="360" w:lineRule="auto"/>
              <w:rPr>
                <w:rFonts w:cs="宋体"/>
                <w:sz w:val="24"/>
                <w:szCs w:val="24"/>
              </w:rPr>
            </w:pPr>
            <w:r>
              <w:rPr>
                <w:rFonts w:hint="eastAsia" w:cs="宋体"/>
                <w:sz w:val="24"/>
                <w:szCs w:val="24"/>
                <w:u w:val="single"/>
              </w:rPr>
              <w:t>②</w:t>
            </w:r>
            <w:r>
              <w:rPr>
                <w:rFonts w:hint="eastAsia" w:cs="宋体"/>
                <w:sz w:val="24"/>
                <w:szCs w:val="24"/>
              </w:rPr>
              <w:t>异议递交形式：将加盖投标人公章的疑问或质疑异议函扫描件，以邮件形式发送至</w:t>
            </w:r>
            <w:r>
              <w:rPr>
                <w:rFonts w:cs="宋体"/>
                <w:sz w:val="24"/>
              </w:rPr>
              <w:t>XGSZZB@163.com</w:t>
            </w:r>
            <w:r>
              <w:rPr>
                <w:rFonts w:hint="eastAsia" w:cs="宋体"/>
                <w:sz w:val="24"/>
                <w:szCs w:val="24"/>
              </w:rPr>
              <w:t>。注：疑问或质异议递交后，请电话联系项目经办人，以确认函件及相关资料是否送达。</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99"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9</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tcPr>
          <w:p>
            <w:pPr>
              <w:spacing w:line="360" w:lineRule="auto"/>
              <w:rPr>
                <w:rFonts w:cs="宋体"/>
                <w:sz w:val="24"/>
              </w:rPr>
            </w:pPr>
            <w:r>
              <w:rPr>
                <w:rFonts w:hint="eastAsia" w:cs="宋体"/>
                <w:sz w:val="24"/>
              </w:rPr>
              <w:t>评标方法、标准及定标原则：详见“第三章  评标办法”。</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98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1</w:t>
            </w:r>
            <w:r>
              <w:rPr>
                <w:rFonts w:cs="宋体"/>
                <w:sz w:val="24"/>
              </w:rPr>
              <w:t>0</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cs="宋体"/>
                <w:sz w:val="24"/>
                <w:szCs w:val="24"/>
              </w:rPr>
            </w:pPr>
            <w:r>
              <w:rPr>
                <w:rFonts w:hint="eastAsia" w:cs="宋体"/>
                <w:sz w:val="24"/>
                <w:szCs w:val="24"/>
              </w:rPr>
              <w:t>投标方在投标前，应仔细研究招标方提供的有关技术资料，如有必要可到现场实地查看工程现场，充分估计工程量。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407" w:hRule="atLeast"/>
          <w:jc w:val="center"/>
        </w:trPr>
        <w:tc>
          <w:tcPr>
            <w:tcW w:w="849" w:type="dxa"/>
            <w:tcBorders>
              <w:top w:val="single" w:color="auto" w:sz="6" w:space="0"/>
              <w:left w:val="thinThickSmallGap" w:color="auto" w:sz="12" w:space="0"/>
              <w:bottom w:val="thickThinSmallGap" w:color="auto" w:sz="12"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1</w:t>
            </w:r>
            <w:r>
              <w:rPr>
                <w:rFonts w:cs="宋体"/>
                <w:sz w:val="24"/>
              </w:rPr>
              <w:t>1</w:t>
            </w:r>
          </w:p>
        </w:tc>
        <w:tc>
          <w:tcPr>
            <w:tcW w:w="1030" w:type="dxa"/>
            <w:tcBorders>
              <w:top w:val="single" w:color="auto" w:sz="6" w:space="0"/>
              <w:left w:val="single" w:color="auto" w:sz="6" w:space="0"/>
              <w:bottom w:val="thickThinSmallGap" w:color="auto" w:sz="12"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thickThinSmallGap" w:color="auto" w:sz="12" w:space="0"/>
              <w:right w:val="thickThinSmallGap" w:color="auto" w:sz="12" w:space="0"/>
            </w:tcBorders>
            <w:tcMar>
              <w:top w:w="0" w:type="dxa"/>
              <w:left w:w="108" w:type="dxa"/>
              <w:bottom w:w="0" w:type="dxa"/>
              <w:right w:w="108" w:type="dxa"/>
            </w:tcMar>
            <w:vAlign w:val="center"/>
          </w:tcPr>
          <w:p>
            <w:pPr>
              <w:spacing w:line="360" w:lineRule="auto"/>
              <w:rPr>
                <w:rFonts w:cs="宋体"/>
                <w:b/>
                <w:bCs/>
                <w:sz w:val="24"/>
                <w:szCs w:val="24"/>
              </w:rPr>
            </w:pPr>
            <w:r>
              <w:rPr>
                <w:rFonts w:hint="eastAsia" w:cs="宋体"/>
                <w:sz w:val="24"/>
                <w:szCs w:val="24"/>
              </w:rPr>
              <w:t>其他补充事项：(1)投标人必须对其投标文件中提供各种资料、说明、承诺的真实性、准确性和完整性负责。招标人有权在评标过程中或签订合同之前对投标人投标文件中的各种资料、说明、承诺的真实性进行核查，投标人应无条件配合招标人的核查工作，不得托词拒绝核查或隐瞒真实情况。若在评标过程中，发现投标人有为谋取中标而提供虚假资料和承诺欺骗招标人和评委的行为，将取消其中标资格，其投标保证金将不予退还。若在中标后或签约前或执行合同过程中发现有为谋取中标而提供虚假资料和承诺欺骗招标人和评委的行为，招标人将取消其中标资格或单方面解除合同，同时根据具体实际情况，其投标保证金将不予退还，归招标人所有,且招标人将依据银行履约保函索赔（如果已签订合同）。给招标人和招标代理机构造成损失的，还必须进行赔偿并负相关责任。</w:t>
            </w:r>
          </w:p>
          <w:p>
            <w:pPr>
              <w:spacing w:line="360" w:lineRule="auto"/>
              <w:rPr>
                <w:rFonts w:cs="宋体"/>
                <w:sz w:val="24"/>
                <w:szCs w:val="24"/>
              </w:rPr>
            </w:pPr>
            <w:r>
              <w:rPr>
                <w:rFonts w:hint="eastAsia" w:cs="宋体"/>
                <w:sz w:val="24"/>
                <w:szCs w:val="24"/>
              </w:rPr>
              <w:t>（2）投标人中标后，如果不按规定与招标人签订合同或者不按规定向招标人提交银行履约保函或者签订合同后不履行其投标承诺或者其它由于中标人自身原因造成无法履行合同的，均视为中标人违约，招标人将取消其中标资格，如果已经签订合同的则合同自动终止。同时根据具体实际情况，该中标人的投标保证金将不予退还，归招标人所有，招标人将依据银行履约保函索赔（如果已签订合同），且中标人还要承担相应的法律责任。给招标人和招标代理机构造成损失的，还必须进行赔偿。招标人将根据具体实际情况，有权按照中标候选人排序依法递补中标人并按相同标准和要求签订合同，以此类推。</w:t>
            </w:r>
          </w:p>
          <w:p>
            <w:pPr>
              <w:spacing w:line="360" w:lineRule="auto"/>
              <w:rPr>
                <w:rFonts w:cs="宋体"/>
                <w:sz w:val="24"/>
                <w:szCs w:val="24"/>
              </w:rPr>
            </w:pPr>
            <w:r>
              <w:rPr>
                <w:rFonts w:hint="eastAsia" w:cs="宋体"/>
                <w:sz w:val="24"/>
                <w:szCs w:val="24"/>
              </w:rPr>
              <w:t>(3)本项目不组织标前会及现场踏勘标前会，投标人可自行前往现场踏勘。</w:t>
            </w:r>
          </w:p>
          <w:p>
            <w:pPr>
              <w:spacing w:line="360" w:lineRule="auto"/>
              <w:rPr>
                <w:rFonts w:cs="宋体"/>
                <w:sz w:val="22"/>
              </w:rPr>
            </w:pPr>
            <w:r>
              <w:rPr>
                <w:rFonts w:hint="eastAsia" w:cs="宋体"/>
                <w:sz w:val="24"/>
                <w:szCs w:val="24"/>
              </w:rPr>
              <w:t>(4)招标文件的解释权归属招标方。</w:t>
            </w:r>
          </w:p>
        </w:tc>
      </w:tr>
    </w:tbl>
    <w:p>
      <w:pPr>
        <w:widowControl/>
        <w:wordWrap w:val="0"/>
        <w:snapToGrid w:val="0"/>
        <w:jc w:val="center"/>
        <w:rPr>
          <w:rFonts w:cs="宋体"/>
          <w:sz w:val="18"/>
          <w:szCs w:val="18"/>
        </w:rPr>
      </w:pPr>
      <w:r>
        <w:rPr>
          <w:rFonts w:hint="eastAsia" w:cs="宋体"/>
          <w:b/>
          <w:bCs/>
          <w:sz w:val="18"/>
          <w:szCs w:val="18"/>
        </w:rPr>
        <w:t xml:space="preserve"> </w:t>
      </w:r>
    </w:p>
    <w:p>
      <w:pPr>
        <w:pStyle w:val="3"/>
        <w:spacing w:before="0" w:after="0" w:line="360" w:lineRule="auto"/>
        <w:jc w:val="center"/>
        <w:rPr>
          <w:rFonts w:hint="eastAsia" w:ascii="宋体" w:hAnsi="宋体"/>
          <w:sz w:val="28"/>
          <w:szCs w:val="28"/>
        </w:rPr>
      </w:pPr>
      <w:bookmarkStart w:id="83" w:name="_Toc476128895"/>
      <w:bookmarkEnd w:id="83"/>
      <w:bookmarkStart w:id="84" w:name="_Toc19832"/>
      <w:bookmarkEnd w:id="84"/>
      <w:bookmarkStart w:id="85" w:name="_Toc398504591"/>
      <w:bookmarkEnd w:id="85"/>
      <w:bookmarkStart w:id="86" w:name="_Toc32300"/>
      <w:bookmarkEnd w:id="86"/>
      <w:bookmarkStart w:id="87" w:name="_Toc398284535"/>
      <w:bookmarkEnd w:id="87"/>
      <w:bookmarkStart w:id="88" w:name="_Toc23026"/>
      <w:bookmarkEnd w:id="88"/>
      <w:bookmarkStart w:id="89" w:name="_Toc8762"/>
      <w:bookmarkEnd w:id="89"/>
      <w:bookmarkStart w:id="90" w:name="_Toc422946677"/>
      <w:bookmarkEnd w:id="90"/>
      <w:bookmarkStart w:id="91" w:name="_Toc18358"/>
      <w:bookmarkEnd w:id="91"/>
      <w:bookmarkStart w:id="92" w:name="_Toc22927"/>
      <w:bookmarkEnd w:id="92"/>
      <w:bookmarkStart w:id="93" w:name="_Toc8306"/>
      <w:bookmarkEnd w:id="93"/>
      <w:bookmarkStart w:id="94" w:name="_Toc22409_WPSOffice_Level2"/>
      <w:r>
        <w:rPr>
          <w:rFonts w:hint="eastAsia" w:ascii="宋体" w:hAnsi="宋体"/>
          <w:sz w:val="28"/>
          <w:szCs w:val="28"/>
        </w:rPr>
        <w:br w:type="page"/>
      </w:r>
      <w:bookmarkEnd w:id="94"/>
      <w:bookmarkStart w:id="95" w:name="_Toc10811"/>
      <w:bookmarkEnd w:id="95"/>
      <w:bookmarkStart w:id="96" w:name="_Toc3706"/>
      <w:bookmarkEnd w:id="96"/>
      <w:bookmarkStart w:id="97" w:name="_Toc633"/>
      <w:bookmarkEnd w:id="97"/>
      <w:bookmarkStart w:id="98" w:name="_Toc19608"/>
      <w:bookmarkEnd w:id="98"/>
      <w:bookmarkStart w:id="99" w:name="_Toc398504592"/>
      <w:bookmarkEnd w:id="99"/>
      <w:bookmarkStart w:id="100" w:name="_Toc32088"/>
      <w:bookmarkEnd w:id="100"/>
      <w:bookmarkStart w:id="101" w:name="_Toc398284536"/>
      <w:bookmarkEnd w:id="101"/>
      <w:bookmarkStart w:id="102" w:name="_Toc22181"/>
      <w:bookmarkEnd w:id="102"/>
      <w:bookmarkStart w:id="103" w:name="_Toc35266718"/>
      <w:bookmarkEnd w:id="103"/>
      <w:bookmarkStart w:id="104" w:name="_Toc8128"/>
      <w:bookmarkEnd w:id="104"/>
      <w:bookmarkStart w:id="105" w:name="_Toc19532"/>
      <w:bookmarkEnd w:id="105"/>
      <w:bookmarkStart w:id="106" w:name="_Toc14302"/>
      <w:bookmarkEnd w:id="106"/>
      <w:bookmarkStart w:id="107" w:name="_Toc5443"/>
      <w:bookmarkEnd w:id="107"/>
      <w:bookmarkStart w:id="108" w:name="_Toc15827"/>
      <w:bookmarkEnd w:id="108"/>
      <w:bookmarkStart w:id="109" w:name="_Toc422946678"/>
      <w:bookmarkEnd w:id="109"/>
      <w:bookmarkStart w:id="110" w:name="_Toc476128896"/>
      <w:bookmarkEnd w:id="110"/>
      <w:bookmarkStart w:id="111" w:name="_Toc17010"/>
      <w:bookmarkStart w:id="112" w:name="_Toc20166"/>
      <w:bookmarkStart w:id="113" w:name="_Toc14799"/>
      <w:bookmarkStart w:id="114" w:name="_Toc16925"/>
      <w:bookmarkStart w:id="115" w:name="_Toc27221"/>
      <w:bookmarkStart w:id="116" w:name="_Toc8181"/>
      <w:bookmarkStart w:id="117" w:name="_Toc51751160"/>
      <w:bookmarkStart w:id="118" w:name="_Toc148459125"/>
      <w:bookmarkStart w:id="119" w:name="_Toc9007"/>
      <w:bookmarkStart w:id="120" w:name="_Toc32696"/>
      <w:bookmarkStart w:id="121" w:name="_Toc18914"/>
      <w:r>
        <w:rPr>
          <w:rFonts w:hint="eastAsia" w:ascii="宋体" w:hAnsi="宋体"/>
          <w:sz w:val="28"/>
          <w:szCs w:val="28"/>
        </w:rPr>
        <w:t>第一节  说  明</w:t>
      </w:r>
      <w:bookmarkEnd w:id="111"/>
      <w:bookmarkEnd w:id="112"/>
      <w:bookmarkEnd w:id="113"/>
      <w:bookmarkEnd w:id="114"/>
      <w:bookmarkEnd w:id="115"/>
      <w:bookmarkEnd w:id="116"/>
      <w:bookmarkEnd w:id="117"/>
      <w:bookmarkEnd w:id="118"/>
      <w:bookmarkEnd w:id="119"/>
      <w:bookmarkEnd w:id="120"/>
      <w:bookmarkEnd w:id="121"/>
    </w:p>
    <w:p>
      <w:pPr>
        <w:pStyle w:val="4"/>
        <w:numPr>
          <w:ilvl w:val="0"/>
          <w:numId w:val="1"/>
        </w:numPr>
        <w:tabs>
          <w:tab w:val="left" w:pos="720"/>
        </w:tabs>
        <w:spacing w:before="0" w:after="0" w:line="360" w:lineRule="auto"/>
        <w:ind w:left="720" w:hanging="360"/>
        <w:rPr>
          <w:rFonts w:hint="eastAsia" w:ascii="宋体" w:hAnsi="宋体" w:cs="宋体"/>
          <w:sz w:val="24"/>
          <w:szCs w:val="24"/>
        </w:rPr>
      </w:pPr>
      <w:bookmarkStart w:id="122" w:name="_Toc34137379"/>
      <w:bookmarkEnd w:id="122"/>
      <w:bookmarkStart w:id="123" w:name="_Toc14797"/>
      <w:bookmarkEnd w:id="123"/>
      <w:bookmarkStart w:id="124" w:name="_Toc28895"/>
      <w:bookmarkEnd w:id="124"/>
      <w:bookmarkStart w:id="125" w:name="_Toc20663"/>
      <w:bookmarkEnd w:id="125"/>
      <w:bookmarkStart w:id="126" w:name="_Toc10751"/>
      <w:bookmarkEnd w:id="126"/>
      <w:bookmarkStart w:id="127" w:name="_Toc24177"/>
      <w:bookmarkEnd w:id="127"/>
      <w:bookmarkStart w:id="128" w:name="_Toc3054"/>
      <w:bookmarkEnd w:id="128"/>
      <w:bookmarkStart w:id="129" w:name="_Toc5556"/>
      <w:bookmarkEnd w:id="129"/>
      <w:bookmarkStart w:id="130" w:name="_Toc51751161"/>
      <w:bookmarkStart w:id="131" w:name="_Toc28937"/>
      <w:bookmarkStart w:id="132" w:name="_Toc23605"/>
      <w:bookmarkStart w:id="133" w:name="_Toc3400"/>
      <w:bookmarkStart w:id="134" w:name="_Toc8291"/>
      <w:bookmarkStart w:id="135" w:name="_Toc23529"/>
      <w:bookmarkStart w:id="136" w:name="_Toc14309"/>
      <w:bookmarkStart w:id="137" w:name="_Toc28925"/>
      <w:r>
        <w:rPr>
          <w:rFonts w:hint="eastAsia" w:ascii="宋体" w:hAnsi="宋体" w:cs="宋体"/>
          <w:sz w:val="24"/>
          <w:szCs w:val="24"/>
        </w:rPr>
        <w:t>适用范围</w:t>
      </w:r>
      <w:bookmarkEnd w:id="130"/>
      <w:bookmarkEnd w:id="131"/>
      <w:bookmarkEnd w:id="132"/>
      <w:bookmarkEnd w:id="133"/>
      <w:bookmarkEnd w:id="134"/>
      <w:bookmarkEnd w:id="135"/>
      <w:bookmarkEnd w:id="136"/>
      <w:bookmarkEnd w:id="137"/>
    </w:p>
    <w:p>
      <w:pPr>
        <w:numPr>
          <w:ilvl w:val="1"/>
          <w:numId w:val="1"/>
        </w:numPr>
        <w:spacing w:line="360" w:lineRule="auto"/>
        <w:ind w:firstLine="480" w:firstLineChars="200"/>
        <w:rPr>
          <w:rFonts w:cs="宋体"/>
          <w:sz w:val="24"/>
        </w:rPr>
      </w:pPr>
      <w:r>
        <w:rPr>
          <w:rFonts w:hint="eastAsia" w:cs="宋体"/>
          <w:sz w:val="24"/>
        </w:rPr>
        <w:t>本招标文件仅适用于投标邀请中所叙述项目的招标采购活动。</w:t>
      </w:r>
    </w:p>
    <w:p>
      <w:pPr>
        <w:pStyle w:val="4"/>
        <w:numPr>
          <w:ilvl w:val="0"/>
          <w:numId w:val="1"/>
        </w:numPr>
        <w:tabs>
          <w:tab w:val="left" w:pos="720"/>
        </w:tabs>
        <w:spacing w:before="0" w:after="0" w:line="360" w:lineRule="auto"/>
        <w:ind w:left="720" w:hanging="360"/>
        <w:rPr>
          <w:rFonts w:hint="eastAsia" w:ascii="宋体" w:hAnsi="宋体" w:cs="宋体"/>
          <w:sz w:val="24"/>
          <w:szCs w:val="24"/>
        </w:rPr>
      </w:pPr>
      <w:bookmarkStart w:id="138" w:name="_Toc14625"/>
      <w:bookmarkEnd w:id="138"/>
      <w:bookmarkStart w:id="139" w:name="_Toc18238"/>
      <w:bookmarkEnd w:id="139"/>
      <w:bookmarkStart w:id="140" w:name="_Toc11894"/>
      <w:bookmarkEnd w:id="140"/>
      <w:bookmarkStart w:id="141" w:name="_Toc31602"/>
      <w:bookmarkEnd w:id="141"/>
      <w:bookmarkStart w:id="142" w:name="_Toc15090"/>
      <w:bookmarkEnd w:id="142"/>
      <w:bookmarkStart w:id="143" w:name="_Toc18751"/>
      <w:bookmarkEnd w:id="143"/>
      <w:bookmarkStart w:id="144" w:name="_Toc26206"/>
      <w:bookmarkEnd w:id="144"/>
      <w:bookmarkStart w:id="145" w:name="_Toc34137380"/>
      <w:bookmarkEnd w:id="145"/>
      <w:bookmarkStart w:id="146" w:name="_Toc27396"/>
      <w:bookmarkStart w:id="147" w:name="_Toc22284"/>
      <w:bookmarkStart w:id="148" w:name="_Toc51751162"/>
      <w:bookmarkStart w:id="149" w:name="_Toc2455"/>
      <w:bookmarkStart w:id="150" w:name="_Toc14763"/>
      <w:bookmarkStart w:id="151" w:name="_Toc20874"/>
      <w:bookmarkStart w:id="152" w:name="_Toc6467"/>
      <w:bookmarkStart w:id="153" w:name="_Toc16515"/>
      <w:r>
        <w:rPr>
          <w:rFonts w:hint="eastAsia" w:ascii="宋体" w:hAnsi="宋体" w:cs="宋体"/>
          <w:sz w:val="24"/>
          <w:szCs w:val="24"/>
        </w:rPr>
        <w:t>定义</w:t>
      </w:r>
      <w:bookmarkEnd w:id="146"/>
      <w:bookmarkEnd w:id="147"/>
      <w:bookmarkEnd w:id="148"/>
      <w:bookmarkEnd w:id="149"/>
      <w:bookmarkEnd w:id="150"/>
      <w:bookmarkEnd w:id="151"/>
      <w:bookmarkEnd w:id="152"/>
      <w:bookmarkEnd w:id="153"/>
    </w:p>
    <w:p>
      <w:pPr>
        <w:numPr>
          <w:ilvl w:val="1"/>
          <w:numId w:val="1"/>
        </w:numPr>
        <w:spacing w:line="360" w:lineRule="auto"/>
        <w:ind w:firstLine="480" w:firstLineChars="200"/>
        <w:rPr>
          <w:rFonts w:cs="宋体"/>
          <w:sz w:val="24"/>
        </w:rPr>
      </w:pPr>
      <w:r>
        <w:rPr>
          <w:rFonts w:hint="eastAsia" w:cs="宋体"/>
          <w:sz w:val="24"/>
        </w:rPr>
        <w:t>“招标人”系指本次采购项目的业主方。</w:t>
      </w:r>
    </w:p>
    <w:p>
      <w:pPr>
        <w:numPr>
          <w:ilvl w:val="1"/>
          <w:numId w:val="1"/>
        </w:numPr>
        <w:spacing w:line="360" w:lineRule="auto"/>
        <w:ind w:firstLine="480" w:firstLineChars="200"/>
        <w:rPr>
          <w:rFonts w:cs="宋体"/>
          <w:sz w:val="24"/>
        </w:rPr>
      </w:pPr>
      <w:r>
        <w:rPr>
          <w:rFonts w:hint="eastAsia" w:cs="宋体"/>
          <w:sz w:val="24"/>
        </w:rPr>
        <w:t>“招标采购单位”系指组织本次招标活动的招标人。</w:t>
      </w:r>
    </w:p>
    <w:p>
      <w:pPr>
        <w:numPr>
          <w:ilvl w:val="1"/>
          <w:numId w:val="1"/>
        </w:numPr>
        <w:spacing w:line="360" w:lineRule="auto"/>
        <w:ind w:firstLine="480" w:firstLineChars="200"/>
        <w:rPr>
          <w:rFonts w:cs="宋体"/>
          <w:sz w:val="24"/>
        </w:rPr>
      </w:pPr>
      <w:r>
        <w:rPr>
          <w:rFonts w:hint="eastAsia" w:cs="宋体"/>
          <w:sz w:val="24"/>
        </w:rPr>
        <w:t>“潜在投标人”系指按招标文件规定进行报名获取招标文件，其有意向参加本项目投标的供应商。</w:t>
      </w:r>
    </w:p>
    <w:p>
      <w:pPr>
        <w:numPr>
          <w:ilvl w:val="1"/>
          <w:numId w:val="1"/>
        </w:numPr>
        <w:spacing w:line="360" w:lineRule="auto"/>
        <w:ind w:firstLine="480" w:firstLineChars="200"/>
        <w:rPr>
          <w:rFonts w:cs="宋体"/>
          <w:sz w:val="24"/>
        </w:rPr>
      </w:pPr>
      <w:r>
        <w:rPr>
          <w:rFonts w:hint="eastAsia" w:cs="宋体"/>
          <w:sz w:val="24"/>
        </w:rPr>
        <w:t>“投标人”系指按招标文件规定进行报名获取招标文件，并参加本项目投标的供应商。</w:t>
      </w:r>
    </w:p>
    <w:p>
      <w:pPr>
        <w:numPr>
          <w:ilvl w:val="1"/>
          <w:numId w:val="1"/>
        </w:numPr>
        <w:spacing w:line="360" w:lineRule="auto"/>
        <w:ind w:firstLine="480" w:firstLineChars="200"/>
        <w:rPr>
          <w:rFonts w:cs="宋体"/>
          <w:sz w:val="24"/>
        </w:rPr>
      </w:pPr>
      <w:r>
        <w:rPr>
          <w:rFonts w:hint="eastAsia" w:cs="宋体"/>
          <w:sz w:val="24"/>
        </w:rPr>
        <w:t>“单位负责人”指单位法定代表人或法律、法规规定代表单位行使职权的主要负责人</w:t>
      </w:r>
    </w:p>
    <w:p>
      <w:pPr>
        <w:numPr>
          <w:ilvl w:val="1"/>
          <w:numId w:val="1"/>
        </w:numPr>
        <w:spacing w:line="360" w:lineRule="auto"/>
        <w:ind w:firstLine="480" w:firstLineChars="200"/>
        <w:rPr>
          <w:rFonts w:cs="宋体"/>
          <w:sz w:val="24"/>
        </w:rPr>
      </w:pPr>
      <w:r>
        <w:rPr>
          <w:rFonts w:hint="eastAsia" w:cs="宋体"/>
          <w:sz w:val="24"/>
        </w:rPr>
        <w:t>“投标人代表”指投标人的单位负责人或其授权书中载明的接受授权方。</w:t>
      </w:r>
    </w:p>
    <w:p>
      <w:pPr>
        <w:pStyle w:val="4"/>
        <w:numPr>
          <w:ilvl w:val="0"/>
          <w:numId w:val="1"/>
        </w:numPr>
        <w:tabs>
          <w:tab w:val="left" w:pos="720"/>
        </w:tabs>
        <w:spacing w:before="0" w:after="0" w:line="360" w:lineRule="auto"/>
        <w:ind w:left="720" w:hanging="360"/>
        <w:rPr>
          <w:rFonts w:hint="eastAsia" w:ascii="宋体" w:hAnsi="宋体" w:cs="宋体"/>
          <w:sz w:val="24"/>
          <w:szCs w:val="24"/>
        </w:rPr>
      </w:pPr>
      <w:bookmarkStart w:id="154" w:name="_Toc17288"/>
      <w:bookmarkEnd w:id="154"/>
      <w:bookmarkStart w:id="155" w:name="_Toc14540"/>
      <w:bookmarkEnd w:id="155"/>
      <w:bookmarkStart w:id="156" w:name="_Toc399"/>
      <w:bookmarkEnd w:id="156"/>
      <w:bookmarkStart w:id="157" w:name="_Toc34137381"/>
      <w:bookmarkEnd w:id="157"/>
      <w:bookmarkStart w:id="158" w:name="_Toc13138"/>
      <w:bookmarkEnd w:id="158"/>
      <w:bookmarkStart w:id="159" w:name="_Toc1322"/>
      <w:bookmarkEnd w:id="159"/>
      <w:bookmarkStart w:id="160" w:name="_Toc18668"/>
      <w:bookmarkEnd w:id="160"/>
      <w:bookmarkStart w:id="161" w:name="_Toc31455"/>
      <w:bookmarkEnd w:id="161"/>
      <w:bookmarkStart w:id="162" w:name="_Toc30227"/>
      <w:bookmarkStart w:id="163" w:name="_Toc29813"/>
      <w:bookmarkStart w:id="164" w:name="_Toc3816"/>
      <w:bookmarkStart w:id="165" w:name="_Toc29148"/>
      <w:bookmarkStart w:id="166" w:name="_Toc4266"/>
      <w:bookmarkStart w:id="167" w:name="_Toc37"/>
      <w:bookmarkStart w:id="168" w:name="_Toc51751163"/>
      <w:bookmarkStart w:id="169" w:name="_Toc11950"/>
      <w:r>
        <w:rPr>
          <w:rFonts w:hint="eastAsia" w:ascii="宋体" w:hAnsi="宋体" w:cs="宋体"/>
          <w:sz w:val="24"/>
          <w:szCs w:val="24"/>
        </w:rPr>
        <w:t>合格的投标人</w:t>
      </w:r>
      <w:bookmarkEnd w:id="162"/>
      <w:bookmarkEnd w:id="163"/>
      <w:bookmarkEnd w:id="164"/>
      <w:bookmarkEnd w:id="165"/>
      <w:bookmarkEnd w:id="166"/>
      <w:bookmarkEnd w:id="167"/>
      <w:bookmarkEnd w:id="168"/>
      <w:bookmarkEnd w:id="169"/>
    </w:p>
    <w:p>
      <w:pPr>
        <w:numPr>
          <w:ilvl w:val="1"/>
          <w:numId w:val="1"/>
        </w:numPr>
        <w:spacing w:line="360" w:lineRule="auto"/>
        <w:ind w:firstLine="480" w:firstLineChars="200"/>
        <w:rPr>
          <w:rFonts w:cs="宋体"/>
          <w:sz w:val="24"/>
        </w:rPr>
      </w:pPr>
      <w:r>
        <w:rPr>
          <w:rFonts w:hint="eastAsia" w:cs="宋体"/>
          <w:sz w:val="24"/>
        </w:rPr>
        <w:t>一般规定</w:t>
      </w:r>
    </w:p>
    <w:p>
      <w:pPr>
        <w:tabs>
          <w:tab w:val="left" w:pos="425"/>
          <w:tab w:val="left" w:pos="964"/>
        </w:tabs>
        <w:spacing w:line="360" w:lineRule="auto"/>
        <w:ind w:firstLine="420" w:firstLineChars="175"/>
        <w:rPr>
          <w:rFonts w:cs="宋体"/>
          <w:sz w:val="24"/>
        </w:rPr>
      </w:pPr>
      <w:r>
        <w:rPr>
          <w:rFonts w:hint="eastAsia" w:cs="宋体"/>
          <w:sz w:val="24"/>
        </w:rPr>
        <w:t>（1）投标人应遵守中华人民共和国招标投标法及其实施条例等有关规定，同时还应遵守有关法律、法规和规章的强制性规定。</w:t>
      </w:r>
    </w:p>
    <w:p>
      <w:pPr>
        <w:tabs>
          <w:tab w:val="left" w:pos="425"/>
          <w:tab w:val="left" w:pos="964"/>
        </w:tabs>
        <w:spacing w:line="360" w:lineRule="auto"/>
        <w:ind w:firstLine="420" w:firstLineChars="175"/>
        <w:rPr>
          <w:rFonts w:cs="宋体"/>
          <w:sz w:val="24"/>
        </w:rPr>
      </w:pPr>
      <w:r>
        <w:rPr>
          <w:rFonts w:hint="eastAsia" w:cs="宋体"/>
          <w:sz w:val="24"/>
        </w:rPr>
        <w:t>（2）投标人应满足本招标文件规定的资格要求并按要求提供证明材料：详见招标文件第三章。</w:t>
      </w:r>
    </w:p>
    <w:p>
      <w:pPr>
        <w:numPr>
          <w:ilvl w:val="1"/>
          <w:numId w:val="1"/>
        </w:numPr>
        <w:spacing w:line="360" w:lineRule="auto"/>
        <w:ind w:firstLine="482" w:firstLineChars="200"/>
        <w:rPr>
          <w:rFonts w:cs="宋体"/>
          <w:b/>
          <w:bCs/>
          <w:sz w:val="24"/>
        </w:rPr>
      </w:pPr>
      <w:r>
        <w:rPr>
          <w:rFonts w:hint="eastAsia" w:cs="宋体"/>
          <w:b/>
          <w:bCs/>
          <w:sz w:val="24"/>
        </w:rPr>
        <w:t>若本项目接受联合体投标且投标人为联合体，除满足招标文件对联合体的特定要求外，联合体各方还应符合下列规定：</w:t>
      </w:r>
    </w:p>
    <w:p>
      <w:pPr>
        <w:tabs>
          <w:tab w:val="left" w:pos="425"/>
          <w:tab w:val="left" w:pos="964"/>
        </w:tabs>
        <w:spacing w:line="360" w:lineRule="auto"/>
        <w:ind w:firstLine="420" w:firstLineChars="175"/>
        <w:rPr>
          <w:rFonts w:cs="宋体"/>
          <w:sz w:val="24"/>
        </w:rPr>
      </w:pPr>
      <w:r>
        <w:rPr>
          <w:rFonts w:hint="eastAsia" w:cs="宋体"/>
          <w:sz w:val="24"/>
        </w:rPr>
        <w:t>（1）联合体各方应递交联合体协议，明确联合体牵头人和各方权利义务，并承诺就中标项目向招标人承担连带责任。联合体协议须加盖联合体各方公章。</w:t>
      </w:r>
    </w:p>
    <w:p>
      <w:pPr>
        <w:tabs>
          <w:tab w:val="left" w:pos="425"/>
          <w:tab w:val="left" w:pos="964"/>
        </w:tabs>
        <w:spacing w:line="360" w:lineRule="auto"/>
        <w:ind w:firstLine="420" w:firstLineChars="175"/>
        <w:rPr>
          <w:rFonts w:cs="宋体"/>
          <w:sz w:val="24"/>
        </w:rPr>
      </w:pPr>
      <w:r>
        <w:rPr>
          <w:rFonts w:hint="eastAsia" w:cs="宋体"/>
          <w:sz w:val="24"/>
        </w:rPr>
        <w:t>（2）联合体各方不得再以自己名义单独或参加其他联合体在本招标项目中投标，否则各相关投标无效。</w:t>
      </w:r>
    </w:p>
    <w:p>
      <w:pPr>
        <w:tabs>
          <w:tab w:val="left" w:pos="425"/>
          <w:tab w:val="left" w:pos="964"/>
        </w:tabs>
        <w:spacing w:line="360" w:lineRule="auto"/>
        <w:ind w:firstLine="420" w:firstLineChars="175"/>
        <w:rPr>
          <w:rFonts w:cs="宋体"/>
          <w:sz w:val="24"/>
        </w:rPr>
      </w:pPr>
      <w:r>
        <w:rPr>
          <w:rFonts w:hint="eastAsia" w:cs="宋体"/>
          <w:sz w:val="24"/>
        </w:rPr>
        <w:t>（3）联合体各方应就合同约定的事项对招标人承担连带责任。</w:t>
      </w:r>
    </w:p>
    <w:p>
      <w:pPr>
        <w:tabs>
          <w:tab w:val="left" w:pos="425"/>
          <w:tab w:val="left" w:pos="964"/>
        </w:tabs>
        <w:spacing w:line="360" w:lineRule="auto"/>
        <w:ind w:firstLine="420" w:firstLineChars="175"/>
        <w:rPr>
          <w:rFonts w:cs="宋体"/>
          <w:sz w:val="24"/>
        </w:rPr>
      </w:pPr>
      <w:r>
        <w:rPr>
          <w:rFonts w:hint="eastAsia" w:cs="宋体"/>
          <w:sz w:val="24"/>
        </w:rPr>
        <w:t>（4）联合体各方均应遵守招标投标相关法律法规等有关规定，同时还应遵守有关法律、法规和规章的强制性规定。</w:t>
      </w:r>
    </w:p>
    <w:p>
      <w:pPr>
        <w:tabs>
          <w:tab w:val="left" w:pos="425"/>
          <w:tab w:val="left" w:pos="964"/>
        </w:tabs>
        <w:spacing w:line="360" w:lineRule="auto"/>
        <w:ind w:firstLine="420" w:firstLineChars="175"/>
        <w:rPr>
          <w:rFonts w:cs="宋体"/>
          <w:sz w:val="24"/>
        </w:rPr>
      </w:pPr>
      <w:r>
        <w:rPr>
          <w:rFonts w:hint="eastAsia" w:cs="宋体"/>
          <w:sz w:val="24"/>
        </w:rPr>
        <w:t>（5）联合体各方均应符合招标文件规定的一般资格要求。</w:t>
      </w:r>
    </w:p>
    <w:p>
      <w:pPr>
        <w:tabs>
          <w:tab w:val="left" w:pos="425"/>
          <w:tab w:val="left" w:pos="964"/>
        </w:tabs>
        <w:spacing w:line="360" w:lineRule="auto"/>
        <w:ind w:firstLine="420" w:firstLineChars="175"/>
        <w:rPr>
          <w:rFonts w:cs="宋体"/>
          <w:sz w:val="24"/>
        </w:rPr>
      </w:pPr>
      <w:r>
        <w:rPr>
          <w:rFonts w:hint="eastAsia" w:cs="宋体"/>
          <w:sz w:val="24"/>
        </w:rPr>
        <w:t>（6）招标人根据招标项目的特殊要求规定投标人特定资格条件的，联合体各方中至少应当有一方符合招标人规定的特定条件。涉及特定资质要求的内容应由联合体中具有该资质的投标人承担，并在联合体协议中明确。联合体中有同类资质的投标人按联合体分工承担相同工作的，按照资质等级较低的投标人确定该联合体的资质等级。</w:t>
      </w:r>
    </w:p>
    <w:p>
      <w:pPr>
        <w:numPr>
          <w:ilvl w:val="1"/>
          <w:numId w:val="1"/>
        </w:numPr>
        <w:spacing w:line="360" w:lineRule="auto"/>
        <w:ind w:firstLine="480" w:firstLineChars="200"/>
        <w:rPr>
          <w:rFonts w:cs="宋体"/>
          <w:sz w:val="24"/>
        </w:rPr>
      </w:pPr>
      <w:r>
        <w:rPr>
          <w:rFonts w:hint="eastAsia" w:cs="宋体"/>
          <w:sz w:val="24"/>
        </w:rPr>
        <w:t>一个投标人只能提交一个投标文件。如果投标人或投标人之间存在下列情形之一的，其投标作无效投标处理：</w:t>
      </w:r>
    </w:p>
    <w:p>
      <w:pPr>
        <w:numPr>
          <w:ilvl w:val="2"/>
          <w:numId w:val="1"/>
        </w:numPr>
        <w:spacing w:line="360" w:lineRule="auto"/>
        <w:ind w:firstLine="480" w:firstLineChars="200"/>
        <w:rPr>
          <w:rFonts w:cs="宋体"/>
          <w:sz w:val="24"/>
        </w:rPr>
      </w:pPr>
      <w:r>
        <w:rPr>
          <w:rFonts w:hint="eastAsia" w:cs="宋体"/>
          <w:sz w:val="24"/>
        </w:rPr>
        <w:t>与招标人存在利害关系且可能影响招标公正性；</w:t>
      </w:r>
    </w:p>
    <w:p>
      <w:pPr>
        <w:numPr>
          <w:ilvl w:val="2"/>
          <w:numId w:val="1"/>
        </w:numPr>
        <w:spacing w:line="360" w:lineRule="auto"/>
        <w:ind w:firstLine="480" w:firstLineChars="200"/>
        <w:rPr>
          <w:rFonts w:cs="宋体"/>
          <w:sz w:val="24"/>
        </w:rPr>
      </w:pPr>
      <w:r>
        <w:rPr>
          <w:rFonts w:hint="eastAsia" w:cs="宋体"/>
          <w:sz w:val="24"/>
        </w:rPr>
        <w:t>法定代表人为同一人的两个及两个以上法人参与同一合同包的投标；</w:t>
      </w:r>
    </w:p>
    <w:p>
      <w:pPr>
        <w:numPr>
          <w:ilvl w:val="2"/>
          <w:numId w:val="1"/>
        </w:numPr>
        <w:spacing w:line="360" w:lineRule="auto"/>
        <w:ind w:firstLine="480" w:firstLineChars="200"/>
        <w:rPr>
          <w:rFonts w:cs="宋体"/>
          <w:sz w:val="24"/>
        </w:rPr>
      </w:pPr>
      <w:r>
        <w:rPr>
          <w:rFonts w:hint="eastAsia" w:cs="宋体"/>
          <w:sz w:val="24"/>
        </w:rPr>
        <w:t>母公司直接或间接持股50％及以上的被投资公司参与同一合同包的投标；</w:t>
      </w:r>
    </w:p>
    <w:p>
      <w:pPr>
        <w:numPr>
          <w:ilvl w:val="2"/>
          <w:numId w:val="1"/>
        </w:numPr>
        <w:spacing w:line="360" w:lineRule="auto"/>
        <w:ind w:firstLine="480" w:firstLineChars="200"/>
        <w:rPr>
          <w:rFonts w:cs="宋体"/>
          <w:sz w:val="24"/>
        </w:rPr>
      </w:pPr>
      <w:r>
        <w:rPr>
          <w:rFonts w:hint="eastAsia" w:cs="宋体"/>
          <w:sz w:val="24"/>
        </w:rPr>
        <w:t>单位负责人（董事长或总经理）为同一人的不同单位，参加同一合同包的投标。</w:t>
      </w:r>
    </w:p>
    <w:p>
      <w:pPr>
        <w:numPr>
          <w:ilvl w:val="2"/>
          <w:numId w:val="1"/>
        </w:numPr>
        <w:spacing w:line="360" w:lineRule="auto"/>
        <w:ind w:firstLine="480" w:firstLineChars="200"/>
        <w:rPr>
          <w:rFonts w:cs="宋体"/>
          <w:sz w:val="24"/>
        </w:rPr>
      </w:pPr>
      <w:r>
        <w:rPr>
          <w:rFonts w:hint="eastAsia" w:cs="宋体"/>
          <w:sz w:val="24"/>
        </w:rPr>
        <w:t>为本招标项目的整体设计单位、规范编制单位、监理单位、管理单位、检测单位或与前述单位同为一个法定代表人或存在控股、管理关系；</w:t>
      </w:r>
    </w:p>
    <w:p>
      <w:pPr>
        <w:numPr>
          <w:ilvl w:val="2"/>
          <w:numId w:val="1"/>
        </w:numPr>
        <w:spacing w:line="360" w:lineRule="auto"/>
        <w:ind w:firstLine="480" w:firstLineChars="200"/>
        <w:rPr>
          <w:rFonts w:cs="宋体"/>
          <w:sz w:val="24"/>
        </w:rPr>
      </w:pPr>
      <w:r>
        <w:rPr>
          <w:rFonts w:hint="eastAsia" w:cs="宋体"/>
          <w:sz w:val="24"/>
        </w:rPr>
        <w:t>被本招标项目的监管部门依法暂停或者取消投标资格；</w:t>
      </w:r>
    </w:p>
    <w:p>
      <w:pPr>
        <w:numPr>
          <w:ilvl w:val="2"/>
          <w:numId w:val="1"/>
        </w:numPr>
        <w:spacing w:line="360" w:lineRule="auto"/>
        <w:ind w:firstLine="480" w:firstLineChars="200"/>
        <w:rPr>
          <w:rFonts w:cs="宋体"/>
          <w:sz w:val="24"/>
        </w:rPr>
      </w:pPr>
      <w:r>
        <w:rPr>
          <w:rFonts w:hint="eastAsia" w:cs="宋体"/>
          <w:sz w:val="24"/>
        </w:rPr>
        <w:t>被责令停产停业、暂扣或者吊销许可证、暂扣或者吊销执照；</w:t>
      </w:r>
    </w:p>
    <w:p>
      <w:pPr>
        <w:numPr>
          <w:ilvl w:val="2"/>
          <w:numId w:val="1"/>
        </w:numPr>
        <w:spacing w:line="360" w:lineRule="auto"/>
        <w:ind w:firstLine="480" w:firstLineChars="200"/>
        <w:rPr>
          <w:rFonts w:cs="宋体"/>
          <w:sz w:val="24"/>
        </w:rPr>
      </w:pPr>
      <w:r>
        <w:rPr>
          <w:rFonts w:hint="eastAsia" w:cs="宋体"/>
          <w:sz w:val="24"/>
        </w:rPr>
        <w:t>进入清算程序，或被宣告破产，或其他丧失履约能力的情形；</w:t>
      </w:r>
    </w:p>
    <w:p>
      <w:pPr>
        <w:numPr>
          <w:ilvl w:val="2"/>
          <w:numId w:val="1"/>
        </w:numPr>
        <w:spacing w:line="360" w:lineRule="auto"/>
        <w:ind w:firstLine="480" w:firstLineChars="200"/>
        <w:rPr>
          <w:rFonts w:cs="宋体"/>
          <w:sz w:val="24"/>
        </w:rPr>
      </w:pPr>
      <w:r>
        <w:rPr>
          <w:rFonts w:hint="eastAsia" w:cs="宋体"/>
          <w:sz w:val="24"/>
        </w:rPr>
        <w:t>在最近三年内发生重大产品质量问题（以相关行业主管部门的行政处罚决定或司法机关出具的有关法律文书为准）；</w:t>
      </w:r>
    </w:p>
    <w:p>
      <w:pPr>
        <w:numPr>
          <w:ilvl w:val="2"/>
          <w:numId w:val="1"/>
        </w:numPr>
        <w:spacing w:line="360" w:lineRule="auto"/>
        <w:ind w:firstLine="480" w:firstLineChars="200"/>
        <w:rPr>
          <w:rFonts w:cs="宋体"/>
          <w:sz w:val="24"/>
        </w:rPr>
      </w:pPr>
      <w:r>
        <w:rPr>
          <w:rFonts w:hint="eastAsia" w:cs="宋体"/>
          <w:sz w:val="24"/>
        </w:rPr>
        <w:t>被工商行政管理机关在全国企业信用信息公示系统中列入严重违法失信企业名单；</w:t>
      </w:r>
    </w:p>
    <w:p>
      <w:pPr>
        <w:numPr>
          <w:ilvl w:val="2"/>
          <w:numId w:val="1"/>
        </w:numPr>
        <w:spacing w:line="360" w:lineRule="auto"/>
        <w:ind w:firstLine="480" w:firstLineChars="200"/>
        <w:rPr>
          <w:rFonts w:cs="宋体"/>
          <w:sz w:val="24"/>
        </w:rPr>
      </w:pPr>
      <w:r>
        <w:rPr>
          <w:rFonts w:hint="eastAsia" w:cs="宋体"/>
          <w:sz w:val="24"/>
        </w:rPr>
        <w:t xml:space="preserve"> 被最高人民法院在“信用中国”网站（www.creditchina.gov.cn）或各级信用信息共享平台中列入严重失信主体名单；</w:t>
      </w:r>
    </w:p>
    <w:p>
      <w:pPr>
        <w:numPr>
          <w:ilvl w:val="2"/>
          <w:numId w:val="1"/>
        </w:numPr>
        <w:spacing w:line="360" w:lineRule="auto"/>
        <w:ind w:firstLine="480" w:firstLineChars="200"/>
        <w:rPr>
          <w:rFonts w:hint="eastAsia" w:ascii="Times New Roman" w:hAnsi="Times New Roman" w:eastAsia="宋体" w:cs="宋体"/>
          <w:b w:val="0"/>
          <w:bCs w:val="0"/>
          <w:sz w:val="24"/>
          <w:szCs w:val="20"/>
          <w:lang w:val="en-US" w:eastAsia="zh-CN"/>
        </w:rPr>
      </w:pPr>
      <w:r>
        <w:rPr>
          <w:rFonts w:hint="eastAsia" w:cs="宋体"/>
          <w:sz w:val="24"/>
        </w:rPr>
        <w:t xml:space="preserve"> 以他人名义投标或者违反规定允许他人以自己名义投标。</w:t>
      </w:r>
    </w:p>
    <w:p>
      <w:pPr>
        <w:numPr>
          <w:ilvl w:val="2"/>
          <w:numId w:val="2"/>
        </w:numPr>
        <w:tabs>
          <w:tab w:val="left" w:pos="964"/>
        </w:tabs>
        <w:spacing w:line="360" w:lineRule="auto"/>
        <w:ind w:firstLine="480" w:firstLineChars="200"/>
      </w:pPr>
      <w:r>
        <w:rPr>
          <w:rFonts w:hint="eastAsia" w:cs="宋体"/>
          <w:b w:val="0"/>
          <w:bCs w:val="0"/>
          <w:sz w:val="24"/>
          <w:szCs w:val="20"/>
          <w:lang w:val="en-US" w:eastAsia="zh-CN"/>
        </w:rPr>
        <w:t>存在法人代表限制</w:t>
      </w:r>
      <w:r>
        <w:rPr>
          <w:rFonts w:hint="eastAsia" w:cs="宋体"/>
          <w:b w:val="0"/>
          <w:bCs w:val="0"/>
          <w:color w:val="auto"/>
          <w:sz w:val="24"/>
          <w:szCs w:val="20"/>
          <w:lang w:val="en-US" w:eastAsia="zh-CN"/>
        </w:rPr>
        <w:t>高</w:t>
      </w:r>
      <w:r>
        <w:rPr>
          <w:rFonts w:hint="eastAsia" w:cs="宋体"/>
          <w:b w:val="0"/>
          <w:bCs w:val="0"/>
          <w:sz w:val="24"/>
          <w:szCs w:val="20"/>
          <w:lang w:val="en-US" w:eastAsia="zh-CN"/>
        </w:rPr>
        <w:t>消费，投标方存在失信执行人情形的，存在税务处罚未能及时缴费的。</w:t>
      </w:r>
    </w:p>
    <w:p>
      <w:pPr>
        <w:numPr>
          <w:ilvl w:val="2"/>
          <w:numId w:val="2"/>
        </w:numPr>
        <w:tabs>
          <w:tab w:val="left" w:pos="964"/>
        </w:tabs>
        <w:spacing w:line="360" w:lineRule="auto"/>
        <w:ind w:firstLine="480" w:firstLineChars="200"/>
        <w:rPr>
          <w:rFonts w:cs="宋体"/>
          <w:sz w:val="24"/>
        </w:rPr>
      </w:pPr>
      <w:r>
        <w:rPr>
          <w:rFonts w:hint="eastAsia" w:cs="宋体"/>
          <w:sz w:val="24"/>
        </w:rPr>
        <w:t xml:space="preserve"> 法律法规或投标人须知前附表规定的其他情形。</w:t>
      </w:r>
    </w:p>
    <w:p>
      <w:pPr>
        <w:numPr>
          <w:ilvl w:val="1"/>
          <w:numId w:val="2"/>
        </w:numPr>
        <w:tabs>
          <w:tab w:val="left" w:pos="964"/>
        </w:tabs>
        <w:spacing w:line="360" w:lineRule="auto"/>
        <w:ind w:firstLine="480" w:firstLineChars="200"/>
        <w:rPr>
          <w:rFonts w:cs="宋体"/>
          <w:sz w:val="24"/>
        </w:rPr>
      </w:pPr>
      <w:r>
        <w:rPr>
          <w:rFonts w:hint="eastAsia" w:cs="宋体"/>
          <w:sz w:val="24"/>
        </w:rPr>
        <w:t>投标人存在下列情形之一的，将被认定为串通投标行为并作无效投标处理：</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不同投标人的投标文件错、漏之处一致或雷同，且不能合理解释的；</w:t>
      </w:r>
    </w:p>
    <w:p>
      <w:pPr>
        <w:numPr>
          <w:ilvl w:val="2"/>
          <w:numId w:val="2"/>
        </w:numPr>
        <w:tabs>
          <w:tab w:val="left" w:pos="964"/>
        </w:tabs>
        <w:spacing w:line="360" w:lineRule="auto"/>
        <w:ind w:firstLine="480" w:firstLineChars="200"/>
        <w:rPr>
          <w:rFonts w:cs="宋体"/>
          <w:sz w:val="24"/>
        </w:rPr>
      </w:pPr>
      <w:r>
        <w:rPr>
          <w:rFonts w:hint="eastAsia" w:cs="宋体"/>
          <w:sz w:val="24"/>
        </w:rPr>
        <w:t>不同的投标人的法定代表人、委托代理人等由同一个单位缴纳社会保险的；</w:t>
      </w:r>
    </w:p>
    <w:p>
      <w:pPr>
        <w:numPr>
          <w:ilvl w:val="2"/>
          <w:numId w:val="2"/>
        </w:numPr>
        <w:tabs>
          <w:tab w:val="left" w:pos="964"/>
        </w:tabs>
        <w:spacing w:line="360" w:lineRule="auto"/>
        <w:ind w:firstLine="480" w:firstLineChars="200"/>
        <w:rPr>
          <w:rFonts w:cs="宋体"/>
          <w:sz w:val="24"/>
        </w:rPr>
      </w:pPr>
      <w:r>
        <w:rPr>
          <w:rFonts w:hint="eastAsia" w:cs="宋体"/>
          <w:sz w:val="24"/>
        </w:rPr>
        <w:t>由同一人或分别由几个有利害关系的人携带两个以上（含两个）投标人的企业资料参与资格审查、领取招标资料，或代表两个以上（含两个）投标人参加招标答疑会、交纳或退还投标保证金、开标的；</w:t>
      </w:r>
    </w:p>
    <w:p>
      <w:pPr>
        <w:numPr>
          <w:ilvl w:val="2"/>
          <w:numId w:val="2"/>
        </w:numPr>
        <w:tabs>
          <w:tab w:val="left" w:pos="964"/>
        </w:tabs>
        <w:spacing w:line="360" w:lineRule="auto"/>
        <w:ind w:firstLine="480" w:firstLineChars="200"/>
        <w:rPr>
          <w:rFonts w:cs="宋体"/>
          <w:sz w:val="24"/>
        </w:rPr>
      </w:pPr>
      <w:r>
        <w:rPr>
          <w:rFonts w:hint="eastAsia" w:cs="宋体"/>
          <w:sz w:val="24"/>
        </w:rPr>
        <w:t>投标人之间协商投标报价等投标文件的实质性内容；</w:t>
      </w:r>
    </w:p>
    <w:p>
      <w:pPr>
        <w:numPr>
          <w:ilvl w:val="2"/>
          <w:numId w:val="2"/>
        </w:numPr>
        <w:tabs>
          <w:tab w:val="left" w:pos="964"/>
        </w:tabs>
        <w:spacing w:line="360" w:lineRule="auto"/>
        <w:ind w:firstLine="480" w:firstLineChars="200"/>
        <w:rPr>
          <w:rFonts w:cs="宋体"/>
          <w:sz w:val="24"/>
        </w:rPr>
      </w:pPr>
      <w:r>
        <w:rPr>
          <w:rFonts w:hint="eastAsia" w:cs="宋体"/>
          <w:sz w:val="24"/>
        </w:rPr>
        <w:t>投标人之间约定中标人；</w:t>
      </w:r>
    </w:p>
    <w:p>
      <w:pPr>
        <w:numPr>
          <w:ilvl w:val="2"/>
          <w:numId w:val="2"/>
        </w:numPr>
        <w:tabs>
          <w:tab w:val="left" w:pos="964"/>
        </w:tabs>
        <w:spacing w:line="360" w:lineRule="auto"/>
        <w:ind w:firstLine="480" w:firstLineChars="200"/>
        <w:rPr>
          <w:rFonts w:cs="宋体"/>
          <w:sz w:val="24"/>
        </w:rPr>
      </w:pPr>
      <w:r>
        <w:rPr>
          <w:rFonts w:hint="eastAsia" w:cs="宋体"/>
          <w:sz w:val="24"/>
        </w:rPr>
        <w:t>投标人之间约定部分投标人放弃投标或者中标；</w:t>
      </w:r>
    </w:p>
    <w:p>
      <w:pPr>
        <w:numPr>
          <w:ilvl w:val="2"/>
          <w:numId w:val="2"/>
        </w:numPr>
        <w:tabs>
          <w:tab w:val="left" w:pos="964"/>
        </w:tabs>
        <w:spacing w:line="360" w:lineRule="auto"/>
        <w:ind w:firstLine="480" w:firstLineChars="200"/>
        <w:rPr>
          <w:rFonts w:cs="宋体"/>
          <w:sz w:val="24"/>
        </w:rPr>
      </w:pPr>
      <w:r>
        <w:rPr>
          <w:rFonts w:hint="eastAsia" w:cs="宋体"/>
          <w:sz w:val="24"/>
        </w:rPr>
        <w:t>属于同一集团、协会、商会等组织成员的投标人按照该组织要求协同投标；</w:t>
      </w:r>
    </w:p>
    <w:p>
      <w:pPr>
        <w:numPr>
          <w:ilvl w:val="2"/>
          <w:numId w:val="2"/>
        </w:numPr>
        <w:tabs>
          <w:tab w:val="left" w:pos="964"/>
        </w:tabs>
        <w:spacing w:line="360" w:lineRule="auto"/>
        <w:ind w:firstLine="480" w:firstLineChars="200"/>
        <w:rPr>
          <w:rFonts w:cs="宋体"/>
          <w:sz w:val="24"/>
        </w:rPr>
      </w:pPr>
      <w:r>
        <w:rPr>
          <w:rFonts w:hint="eastAsia" w:cs="宋体"/>
          <w:sz w:val="24"/>
        </w:rPr>
        <w:t>投标人之间为谋取中标或者排斥特定投标人而采取的其他联合行动；</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不同投标人的投标文件由同一单位或者个人编制；</w:t>
      </w:r>
    </w:p>
    <w:p>
      <w:pPr>
        <w:numPr>
          <w:ilvl w:val="2"/>
          <w:numId w:val="2"/>
        </w:numPr>
        <w:tabs>
          <w:tab w:val="left" w:pos="964"/>
        </w:tabs>
        <w:spacing w:line="360" w:lineRule="auto"/>
        <w:ind w:firstLine="480" w:firstLineChars="200"/>
        <w:rPr>
          <w:rFonts w:cs="宋体"/>
          <w:sz w:val="24"/>
        </w:rPr>
      </w:pPr>
      <w:r>
        <w:rPr>
          <w:rFonts w:hint="eastAsia" w:cs="宋体"/>
          <w:sz w:val="24"/>
        </w:rPr>
        <w:t>不同投标人委托同一单位或者个人办理投标事宜；</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不同投标人的投标文件载明的项目管理成员为同一人；</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不同投标人的投标文件异常一致或者投标报价呈规律性差异；</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不同投标人的投标文件相互混装；</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不同投标人的投标保证金从同一单位或者个人的账户转出；</w:t>
      </w:r>
    </w:p>
    <w:p>
      <w:pPr>
        <w:numPr>
          <w:ilvl w:val="2"/>
          <w:numId w:val="2"/>
        </w:numPr>
        <w:tabs>
          <w:tab w:val="left" w:pos="964"/>
        </w:tabs>
        <w:spacing w:line="360" w:lineRule="auto"/>
        <w:ind w:firstLine="480" w:firstLineChars="200"/>
        <w:rPr>
          <w:rFonts w:cs="宋体"/>
          <w:sz w:val="24"/>
        </w:rPr>
      </w:pPr>
      <w:r>
        <w:rPr>
          <w:rFonts w:hint="eastAsia" w:cs="宋体"/>
          <w:sz w:val="24"/>
        </w:rPr>
        <w:t>有关法律、法规或规章规定的其他串通投标行为。</w:t>
      </w:r>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170" w:name="_Toc10604"/>
      <w:bookmarkEnd w:id="170"/>
      <w:bookmarkStart w:id="171" w:name="_Toc32290"/>
      <w:bookmarkEnd w:id="171"/>
      <w:bookmarkStart w:id="172" w:name="_Toc7347"/>
      <w:bookmarkEnd w:id="172"/>
      <w:bookmarkStart w:id="173" w:name="_Toc31148"/>
      <w:bookmarkEnd w:id="173"/>
      <w:bookmarkStart w:id="174" w:name="_Toc29382"/>
      <w:bookmarkEnd w:id="174"/>
      <w:bookmarkStart w:id="175" w:name="_Toc34137382"/>
      <w:bookmarkEnd w:id="175"/>
      <w:bookmarkStart w:id="176" w:name="_Toc13912"/>
      <w:bookmarkEnd w:id="176"/>
      <w:bookmarkStart w:id="177" w:name="_Toc13240"/>
      <w:bookmarkEnd w:id="177"/>
      <w:bookmarkStart w:id="178" w:name="_Toc15169"/>
      <w:bookmarkStart w:id="179" w:name="_Toc30920"/>
      <w:bookmarkStart w:id="180" w:name="_Toc20719"/>
      <w:bookmarkStart w:id="181" w:name="_Toc27792"/>
      <w:bookmarkStart w:id="182" w:name="_Toc9950"/>
      <w:bookmarkStart w:id="183" w:name="_Toc1200"/>
      <w:bookmarkStart w:id="184" w:name="_Toc51751164"/>
      <w:bookmarkStart w:id="185" w:name="_Toc2897"/>
      <w:r>
        <w:rPr>
          <w:rFonts w:hint="eastAsia" w:ascii="宋体" w:hAnsi="宋体" w:cs="宋体"/>
          <w:sz w:val="24"/>
          <w:szCs w:val="24"/>
        </w:rPr>
        <w:t>投标费用</w:t>
      </w:r>
      <w:bookmarkEnd w:id="178"/>
      <w:bookmarkEnd w:id="179"/>
      <w:bookmarkEnd w:id="180"/>
      <w:bookmarkEnd w:id="181"/>
      <w:bookmarkEnd w:id="182"/>
      <w:bookmarkEnd w:id="183"/>
      <w:bookmarkEnd w:id="184"/>
      <w:bookmarkEnd w:id="185"/>
    </w:p>
    <w:p>
      <w:pPr>
        <w:numPr>
          <w:ilvl w:val="1"/>
          <w:numId w:val="2"/>
        </w:numPr>
        <w:tabs>
          <w:tab w:val="left" w:pos="964"/>
        </w:tabs>
        <w:spacing w:line="360" w:lineRule="auto"/>
        <w:ind w:firstLine="480" w:firstLineChars="200"/>
        <w:rPr>
          <w:rFonts w:cs="宋体"/>
          <w:sz w:val="24"/>
        </w:rPr>
      </w:pPr>
      <w:r>
        <w:rPr>
          <w:rFonts w:hint="eastAsia" w:cs="宋体"/>
          <w:sz w:val="24"/>
        </w:rPr>
        <w:t>投标人自行承担其参加投标所涉及的一切费用。</w:t>
      </w:r>
    </w:p>
    <w:p>
      <w:pPr>
        <w:pStyle w:val="65"/>
        <w:rPr>
          <w:rFonts w:hint="eastAsia"/>
        </w:rPr>
      </w:pPr>
    </w:p>
    <w:p>
      <w:pPr>
        <w:pStyle w:val="65"/>
        <w:rPr>
          <w:rFonts w:hint="eastAsia"/>
        </w:rPr>
      </w:pPr>
    </w:p>
    <w:p>
      <w:pPr>
        <w:pStyle w:val="3"/>
        <w:spacing w:before="0" w:after="0" w:line="360" w:lineRule="auto"/>
        <w:jc w:val="center"/>
        <w:rPr>
          <w:rFonts w:hint="eastAsia" w:ascii="宋体" w:hAnsi="宋体"/>
          <w:sz w:val="28"/>
          <w:szCs w:val="28"/>
        </w:rPr>
      </w:pPr>
      <w:bookmarkStart w:id="186" w:name="_Toc7868"/>
      <w:bookmarkEnd w:id="186"/>
      <w:bookmarkStart w:id="187" w:name="_Toc31295"/>
      <w:bookmarkEnd w:id="187"/>
      <w:bookmarkStart w:id="188" w:name="_Toc18417"/>
      <w:bookmarkEnd w:id="188"/>
      <w:bookmarkStart w:id="189" w:name="_Toc6492"/>
      <w:bookmarkEnd w:id="189"/>
      <w:bookmarkStart w:id="190" w:name="_Toc27590_WPSOffice_Level2"/>
      <w:bookmarkEnd w:id="190"/>
      <w:bookmarkStart w:id="191" w:name="_Toc34137383"/>
      <w:bookmarkEnd w:id="191"/>
      <w:bookmarkStart w:id="192" w:name="_Toc14434"/>
      <w:bookmarkEnd w:id="192"/>
      <w:bookmarkStart w:id="193" w:name="_Toc4789"/>
      <w:bookmarkEnd w:id="193"/>
      <w:bookmarkStart w:id="194" w:name="_Toc181"/>
      <w:bookmarkEnd w:id="194"/>
      <w:bookmarkStart w:id="195" w:name="_Toc51751165"/>
      <w:bookmarkStart w:id="196" w:name="_Toc20469"/>
      <w:bookmarkStart w:id="197" w:name="_Toc2843"/>
      <w:bookmarkStart w:id="198" w:name="_Toc148459126"/>
      <w:bookmarkStart w:id="199" w:name="_Toc9648"/>
      <w:bookmarkStart w:id="200" w:name="_Toc17289"/>
      <w:bookmarkStart w:id="201" w:name="_Toc32423"/>
      <w:bookmarkStart w:id="202" w:name="_Toc18063"/>
      <w:bookmarkStart w:id="203" w:name="_Toc4458"/>
      <w:bookmarkStart w:id="204" w:name="_Toc17323"/>
      <w:bookmarkStart w:id="205" w:name="_Toc18922"/>
      <w:bookmarkStart w:id="206" w:name="_Toc14161"/>
      <w:r>
        <w:rPr>
          <w:rFonts w:hint="eastAsia" w:ascii="宋体" w:hAnsi="宋体"/>
          <w:sz w:val="28"/>
          <w:szCs w:val="28"/>
        </w:rPr>
        <w:t>第</w:t>
      </w:r>
      <w:bookmarkEnd w:id="195"/>
      <w:r>
        <w:rPr>
          <w:rFonts w:hint="eastAsia" w:ascii="宋体" w:hAnsi="宋体"/>
          <w:sz w:val="28"/>
          <w:szCs w:val="28"/>
        </w:rPr>
        <w:t>二节  招标文件</w:t>
      </w:r>
      <w:bookmarkEnd w:id="196"/>
      <w:bookmarkEnd w:id="197"/>
      <w:bookmarkEnd w:id="198"/>
      <w:bookmarkEnd w:id="199"/>
      <w:bookmarkEnd w:id="200"/>
      <w:bookmarkEnd w:id="201"/>
      <w:bookmarkEnd w:id="202"/>
      <w:bookmarkEnd w:id="203"/>
      <w:bookmarkEnd w:id="204"/>
      <w:bookmarkEnd w:id="205"/>
      <w:bookmarkEnd w:id="206"/>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07" w:name="_Toc20745"/>
      <w:bookmarkEnd w:id="207"/>
      <w:bookmarkStart w:id="208" w:name="_Toc34137384"/>
      <w:bookmarkEnd w:id="208"/>
      <w:bookmarkStart w:id="209" w:name="_Toc28526"/>
      <w:bookmarkEnd w:id="209"/>
      <w:bookmarkStart w:id="210" w:name="_Toc22723"/>
      <w:bookmarkEnd w:id="210"/>
      <w:bookmarkStart w:id="211" w:name="_Toc27067"/>
      <w:bookmarkEnd w:id="211"/>
      <w:bookmarkStart w:id="212" w:name="_Toc21352"/>
      <w:bookmarkEnd w:id="212"/>
      <w:bookmarkStart w:id="213" w:name="_Toc5849"/>
      <w:bookmarkEnd w:id="213"/>
      <w:bookmarkStart w:id="214" w:name="_Toc29478"/>
      <w:bookmarkEnd w:id="214"/>
      <w:bookmarkStart w:id="215" w:name="_Toc1951"/>
      <w:bookmarkStart w:id="216" w:name="_Toc27127"/>
      <w:bookmarkStart w:id="217" w:name="_Toc2106"/>
      <w:bookmarkStart w:id="218" w:name="_Toc51751166"/>
      <w:bookmarkStart w:id="219" w:name="_Toc16331"/>
      <w:bookmarkStart w:id="220" w:name="_Toc8942"/>
      <w:bookmarkStart w:id="221" w:name="_Toc11767"/>
      <w:bookmarkStart w:id="222" w:name="_Toc21536"/>
      <w:r>
        <w:rPr>
          <w:rFonts w:hint="eastAsia" w:ascii="宋体" w:hAnsi="宋体" w:cs="宋体"/>
          <w:sz w:val="24"/>
          <w:szCs w:val="24"/>
        </w:rPr>
        <w:t>招标文件的组成</w:t>
      </w:r>
      <w:bookmarkEnd w:id="215"/>
      <w:bookmarkEnd w:id="216"/>
      <w:bookmarkEnd w:id="217"/>
      <w:bookmarkEnd w:id="218"/>
      <w:bookmarkEnd w:id="219"/>
      <w:bookmarkEnd w:id="220"/>
      <w:bookmarkEnd w:id="221"/>
      <w:bookmarkEnd w:id="222"/>
    </w:p>
    <w:p>
      <w:pPr>
        <w:numPr>
          <w:ilvl w:val="1"/>
          <w:numId w:val="2"/>
        </w:numPr>
        <w:tabs>
          <w:tab w:val="left" w:pos="964"/>
        </w:tabs>
        <w:spacing w:line="360" w:lineRule="auto"/>
        <w:ind w:firstLine="480" w:firstLineChars="200"/>
        <w:rPr>
          <w:rFonts w:cs="宋体"/>
          <w:sz w:val="24"/>
        </w:rPr>
      </w:pPr>
      <w:r>
        <w:rPr>
          <w:rFonts w:hint="eastAsia" w:cs="宋体"/>
          <w:sz w:val="24"/>
        </w:rPr>
        <w:t>招标文件用以阐明所需货物及服务招标程序、内容和合同主要条款。招标文件由下述部分组成：</w:t>
      </w:r>
    </w:p>
    <w:p>
      <w:pPr>
        <w:pStyle w:val="9"/>
        <w:numPr>
          <w:ilvl w:val="0"/>
          <w:numId w:val="3"/>
        </w:numPr>
        <w:snapToGrid w:val="0"/>
        <w:spacing w:line="360" w:lineRule="auto"/>
        <w:ind w:left="482" w:firstLine="0"/>
        <w:rPr>
          <w:rFonts w:cs="宋体"/>
          <w:sz w:val="24"/>
          <w:szCs w:val="24"/>
        </w:rPr>
      </w:pPr>
      <w:r>
        <w:rPr>
          <w:rFonts w:hint="eastAsia" w:cs="宋体"/>
          <w:sz w:val="24"/>
          <w:szCs w:val="24"/>
        </w:rPr>
        <w:t>投标邀请</w:t>
      </w:r>
    </w:p>
    <w:p>
      <w:pPr>
        <w:pStyle w:val="9"/>
        <w:numPr>
          <w:ilvl w:val="0"/>
          <w:numId w:val="3"/>
        </w:numPr>
        <w:snapToGrid w:val="0"/>
        <w:spacing w:line="360" w:lineRule="auto"/>
        <w:ind w:left="482" w:firstLine="0"/>
        <w:rPr>
          <w:rFonts w:cs="宋体"/>
          <w:sz w:val="24"/>
          <w:szCs w:val="24"/>
        </w:rPr>
      </w:pPr>
      <w:r>
        <w:rPr>
          <w:rFonts w:hint="eastAsia" w:cs="宋体"/>
          <w:sz w:val="24"/>
          <w:szCs w:val="24"/>
        </w:rPr>
        <w:t xml:space="preserve">投标人须知 </w:t>
      </w:r>
    </w:p>
    <w:p>
      <w:pPr>
        <w:pStyle w:val="9"/>
        <w:numPr>
          <w:ilvl w:val="0"/>
          <w:numId w:val="3"/>
        </w:numPr>
        <w:snapToGrid w:val="0"/>
        <w:spacing w:line="360" w:lineRule="auto"/>
        <w:ind w:left="482" w:firstLine="0"/>
        <w:rPr>
          <w:rFonts w:cs="宋体"/>
          <w:sz w:val="24"/>
          <w:szCs w:val="24"/>
        </w:rPr>
      </w:pPr>
      <w:r>
        <w:rPr>
          <w:rFonts w:hint="eastAsia" w:cs="宋体"/>
          <w:sz w:val="24"/>
          <w:szCs w:val="24"/>
        </w:rPr>
        <w:t>招标内容及要求</w:t>
      </w:r>
    </w:p>
    <w:p>
      <w:pPr>
        <w:pStyle w:val="9"/>
        <w:numPr>
          <w:ilvl w:val="0"/>
          <w:numId w:val="3"/>
        </w:numPr>
        <w:snapToGrid w:val="0"/>
        <w:spacing w:line="360" w:lineRule="auto"/>
        <w:ind w:left="482" w:firstLine="0"/>
        <w:rPr>
          <w:rFonts w:cs="宋体"/>
          <w:sz w:val="24"/>
          <w:szCs w:val="24"/>
        </w:rPr>
      </w:pPr>
      <w:r>
        <w:rPr>
          <w:rFonts w:hint="eastAsia" w:cs="宋体"/>
          <w:sz w:val="24"/>
          <w:szCs w:val="24"/>
        </w:rPr>
        <w:t>合同主要条款</w:t>
      </w:r>
    </w:p>
    <w:p>
      <w:pPr>
        <w:pStyle w:val="9"/>
        <w:numPr>
          <w:ilvl w:val="0"/>
          <w:numId w:val="3"/>
        </w:numPr>
        <w:snapToGrid w:val="0"/>
        <w:spacing w:line="360" w:lineRule="auto"/>
        <w:ind w:left="482" w:firstLine="0"/>
        <w:rPr>
          <w:rFonts w:cs="宋体"/>
          <w:sz w:val="24"/>
          <w:szCs w:val="24"/>
        </w:rPr>
      </w:pPr>
      <w:r>
        <w:rPr>
          <w:rFonts w:hint="eastAsia" w:cs="宋体"/>
          <w:sz w:val="24"/>
          <w:szCs w:val="24"/>
        </w:rPr>
        <w:t>投标文件格式</w:t>
      </w:r>
    </w:p>
    <w:p>
      <w:pPr>
        <w:pStyle w:val="9"/>
        <w:numPr>
          <w:ilvl w:val="0"/>
          <w:numId w:val="3"/>
        </w:numPr>
        <w:snapToGrid w:val="0"/>
        <w:spacing w:line="360" w:lineRule="auto"/>
        <w:ind w:left="482" w:firstLine="0"/>
        <w:rPr>
          <w:rFonts w:cs="宋体"/>
          <w:sz w:val="24"/>
          <w:szCs w:val="24"/>
        </w:rPr>
      </w:pPr>
      <w:r>
        <w:rPr>
          <w:rFonts w:hint="eastAsia" w:cs="宋体"/>
          <w:sz w:val="24"/>
          <w:szCs w:val="24"/>
        </w:rPr>
        <w:t>附件（若有的话，详见招标文件第四章）</w:t>
      </w:r>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23" w:name="_Toc7134"/>
      <w:bookmarkEnd w:id="223"/>
      <w:bookmarkStart w:id="224" w:name="_Toc34137385"/>
      <w:bookmarkEnd w:id="224"/>
      <w:bookmarkStart w:id="225" w:name="_Toc6085"/>
      <w:bookmarkEnd w:id="225"/>
      <w:bookmarkStart w:id="226" w:name="_Toc10165"/>
      <w:bookmarkEnd w:id="226"/>
      <w:bookmarkStart w:id="227" w:name="_Toc10024"/>
      <w:bookmarkEnd w:id="227"/>
      <w:bookmarkStart w:id="228" w:name="_Toc1619"/>
      <w:bookmarkEnd w:id="228"/>
      <w:bookmarkStart w:id="229" w:name="_Toc2009"/>
      <w:bookmarkEnd w:id="229"/>
      <w:bookmarkStart w:id="230" w:name="_Toc8561"/>
      <w:bookmarkEnd w:id="230"/>
      <w:bookmarkStart w:id="231" w:name="_Toc6366"/>
      <w:bookmarkStart w:id="232" w:name="_Toc19958"/>
      <w:bookmarkStart w:id="233" w:name="_Toc1765"/>
      <w:bookmarkStart w:id="234" w:name="_Toc28716"/>
      <w:bookmarkStart w:id="235" w:name="_Toc10566"/>
      <w:bookmarkStart w:id="236" w:name="_Toc2953"/>
      <w:bookmarkStart w:id="237" w:name="_Toc51751167"/>
      <w:bookmarkStart w:id="238" w:name="_Toc5877"/>
      <w:r>
        <w:rPr>
          <w:rFonts w:hint="eastAsia" w:ascii="宋体" w:hAnsi="宋体" w:cs="宋体"/>
          <w:sz w:val="24"/>
          <w:szCs w:val="24"/>
        </w:rPr>
        <w:t>招标文件的澄清</w:t>
      </w:r>
      <w:bookmarkEnd w:id="231"/>
      <w:bookmarkEnd w:id="232"/>
      <w:bookmarkEnd w:id="233"/>
      <w:bookmarkEnd w:id="234"/>
      <w:bookmarkEnd w:id="235"/>
      <w:bookmarkEnd w:id="236"/>
      <w:bookmarkEnd w:id="237"/>
      <w:bookmarkEnd w:id="238"/>
    </w:p>
    <w:p>
      <w:pPr>
        <w:numPr>
          <w:ilvl w:val="1"/>
          <w:numId w:val="2"/>
        </w:numPr>
        <w:tabs>
          <w:tab w:val="left" w:pos="964"/>
        </w:tabs>
        <w:spacing w:line="360" w:lineRule="auto"/>
        <w:ind w:firstLine="480" w:firstLineChars="200"/>
        <w:rPr>
          <w:rFonts w:cs="宋体"/>
          <w:sz w:val="24"/>
        </w:rPr>
      </w:pPr>
      <w:r>
        <w:rPr>
          <w:rFonts w:hint="eastAsia" w:cs="宋体"/>
          <w:sz w:val="24"/>
        </w:rPr>
        <w:t>投标人对招标文件如有疑点，可要求澄清。要求澄清应按投标邀请中载明的地址以书面形式（包括信函、电报或传真，下同）通知招标代理机构。</w:t>
      </w:r>
    </w:p>
    <w:p>
      <w:pPr>
        <w:numPr>
          <w:ilvl w:val="1"/>
          <w:numId w:val="2"/>
        </w:numPr>
        <w:tabs>
          <w:tab w:val="left" w:pos="964"/>
        </w:tabs>
        <w:spacing w:line="360" w:lineRule="auto"/>
        <w:ind w:firstLine="480" w:firstLineChars="200"/>
        <w:rPr>
          <w:rFonts w:cs="宋体"/>
          <w:sz w:val="24"/>
        </w:rPr>
      </w:pPr>
      <w:r>
        <w:rPr>
          <w:rFonts w:hint="eastAsia" w:cs="宋体"/>
          <w:sz w:val="24"/>
        </w:rPr>
        <w:t>招标人可以视情况对已发出的招标文件进行必要的澄清或者答复。澄清或者答复的内容影响投标文件编制的，招标人应当在投标截止时间至少15日前，在发布招标公告的媒体上发布公告（适用于公开招标项目）通知所有获取招标文件的潜在投标人；不足15日的，招标人应当顺延提交投标文件的截止时间。</w:t>
      </w:r>
    </w:p>
    <w:p>
      <w:pPr>
        <w:numPr>
          <w:ilvl w:val="1"/>
          <w:numId w:val="2"/>
        </w:numPr>
        <w:tabs>
          <w:tab w:val="left" w:pos="964"/>
        </w:tabs>
        <w:spacing w:line="360" w:lineRule="auto"/>
        <w:ind w:firstLine="480" w:firstLineChars="200"/>
        <w:rPr>
          <w:rFonts w:cs="宋体"/>
          <w:sz w:val="24"/>
        </w:rPr>
      </w:pPr>
      <w:r>
        <w:rPr>
          <w:rFonts w:hint="eastAsia" w:cs="宋体"/>
          <w:sz w:val="24"/>
        </w:rPr>
        <w:t>招标文件澄清或者答复的内容为招标文件的组成部分。</w:t>
      </w:r>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39" w:name="_Toc24084"/>
      <w:bookmarkEnd w:id="239"/>
      <w:bookmarkStart w:id="240" w:name="_Toc12916"/>
      <w:bookmarkEnd w:id="240"/>
      <w:bookmarkStart w:id="241" w:name="_Toc10326"/>
      <w:bookmarkEnd w:id="241"/>
      <w:bookmarkStart w:id="242" w:name="_Toc34137386"/>
      <w:bookmarkEnd w:id="242"/>
      <w:bookmarkStart w:id="243" w:name="_Toc30857"/>
      <w:bookmarkEnd w:id="243"/>
      <w:bookmarkStart w:id="244" w:name="_Toc17497"/>
      <w:bookmarkEnd w:id="244"/>
      <w:bookmarkStart w:id="245" w:name="_Toc24529"/>
      <w:bookmarkEnd w:id="245"/>
      <w:bookmarkStart w:id="246" w:name="_Toc26001"/>
      <w:bookmarkEnd w:id="246"/>
      <w:bookmarkStart w:id="247" w:name="_Toc17317"/>
      <w:bookmarkStart w:id="248" w:name="_Toc32005"/>
      <w:bookmarkStart w:id="249" w:name="_Toc51751168"/>
      <w:bookmarkStart w:id="250" w:name="_Toc21150"/>
      <w:bookmarkStart w:id="251" w:name="_Toc11514"/>
      <w:bookmarkStart w:id="252" w:name="_Toc23174"/>
      <w:bookmarkStart w:id="253" w:name="_Toc13472"/>
      <w:bookmarkStart w:id="254" w:name="_Toc25776"/>
      <w:r>
        <w:rPr>
          <w:rFonts w:hint="eastAsia" w:ascii="宋体" w:hAnsi="宋体" w:cs="宋体"/>
          <w:sz w:val="24"/>
          <w:szCs w:val="24"/>
        </w:rPr>
        <w:t>招标文件的修改</w:t>
      </w:r>
      <w:bookmarkEnd w:id="247"/>
      <w:bookmarkEnd w:id="248"/>
      <w:bookmarkEnd w:id="249"/>
      <w:bookmarkEnd w:id="250"/>
      <w:bookmarkEnd w:id="251"/>
      <w:bookmarkEnd w:id="252"/>
      <w:bookmarkEnd w:id="253"/>
      <w:bookmarkEnd w:id="254"/>
    </w:p>
    <w:p>
      <w:pPr>
        <w:numPr>
          <w:ilvl w:val="1"/>
          <w:numId w:val="2"/>
        </w:numPr>
        <w:tabs>
          <w:tab w:val="left" w:pos="964"/>
        </w:tabs>
        <w:spacing w:line="360" w:lineRule="auto"/>
        <w:ind w:firstLine="480" w:firstLineChars="200"/>
        <w:rPr>
          <w:rFonts w:cs="宋体"/>
          <w:sz w:val="24"/>
        </w:rPr>
      </w:pPr>
      <w:r>
        <w:rPr>
          <w:rFonts w:hint="eastAsia" w:cs="宋体"/>
          <w:sz w:val="24"/>
        </w:rPr>
        <w:t>招标人或者招标代理机构可以主动或依投标人要求澄清的问题对已发出的招标文件进行必要的补充或修改。补充或修改的内容影响投标文件编制的，招标人或者招标代理机构应当在投标截止时间至少15日前，在发布招标公告的媒体上发布公告（适用于公开招标项目）通知所有获取招标文件的潜在投标人；不足15日的，顺延提交投标文件的截止时间。该补充或修改内容为招标文件的组成部分，对投标人具有约束力。但本招标文件第7.2条规定的推迟投标截止时间和开标时间情形不受本条约束。</w:t>
      </w:r>
    </w:p>
    <w:p>
      <w:pPr>
        <w:numPr>
          <w:ilvl w:val="1"/>
          <w:numId w:val="2"/>
        </w:numPr>
        <w:tabs>
          <w:tab w:val="left" w:pos="964"/>
        </w:tabs>
        <w:spacing w:line="360" w:lineRule="auto"/>
        <w:ind w:firstLine="480" w:firstLineChars="200"/>
        <w:rPr>
          <w:rFonts w:cs="宋体"/>
          <w:sz w:val="24"/>
        </w:rPr>
      </w:pPr>
      <w:r>
        <w:rPr>
          <w:rFonts w:hint="eastAsia" w:cs="宋体"/>
          <w:sz w:val="24"/>
        </w:rPr>
        <w:t>为使投标人在准备投标文件时有合理的时间考虑投标文件的修改，招标代理机构可酌情推迟投标截止时间和开标时间，但应当至少在投标截止时间3个日历日前在发布招标公告的媒体上发布公告（适用于公开招标项目）通知所有获取招标文件的潜在投标人，请投标人关注。在此情况下，招标人和投标人受投标截止期制约的所有权利和义务均应延长至新的截止日期。</w:t>
      </w:r>
    </w:p>
    <w:p>
      <w:pPr>
        <w:numPr>
          <w:ilvl w:val="1"/>
          <w:numId w:val="2"/>
        </w:numPr>
        <w:tabs>
          <w:tab w:val="left" w:pos="964"/>
        </w:tabs>
        <w:spacing w:line="360" w:lineRule="auto"/>
        <w:ind w:firstLine="480" w:firstLineChars="200"/>
        <w:rPr>
          <w:rFonts w:cs="宋体"/>
          <w:sz w:val="24"/>
        </w:rPr>
      </w:pPr>
      <w:r>
        <w:rPr>
          <w:rFonts w:hint="eastAsia" w:cs="宋体"/>
          <w:sz w:val="24"/>
        </w:rPr>
        <w:t>答疑文件、补充通知、延期通知、最高限价通知（控制价通知）等相关材料将构成招标文件的一部分，对招投标双方均具有约束力。招标文件、答疑文件、补充通知、延期通知、最高限价通知（控制价通知）等相关材料的内容不一致的，以发文时间在后的为准。</w:t>
      </w:r>
    </w:p>
    <w:p>
      <w:pPr>
        <w:pStyle w:val="3"/>
        <w:spacing w:before="0" w:after="0" w:line="360" w:lineRule="auto"/>
        <w:jc w:val="center"/>
        <w:rPr>
          <w:rFonts w:hint="eastAsia" w:ascii="宋体" w:hAnsi="宋体"/>
          <w:sz w:val="28"/>
          <w:szCs w:val="28"/>
        </w:rPr>
      </w:pPr>
      <w:bookmarkStart w:id="255" w:name="_Toc31281"/>
      <w:bookmarkEnd w:id="255"/>
      <w:bookmarkStart w:id="256" w:name="_Toc19626"/>
      <w:bookmarkEnd w:id="256"/>
      <w:bookmarkStart w:id="257" w:name="_Toc6218"/>
      <w:bookmarkEnd w:id="257"/>
      <w:bookmarkStart w:id="258" w:name="_Toc587"/>
      <w:bookmarkEnd w:id="258"/>
      <w:bookmarkStart w:id="259" w:name="_Toc22182_WPSOffice_Level2"/>
      <w:bookmarkEnd w:id="259"/>
      <w:bookmarkStart w:id="260" w:name="_Toc7305"/>
      <w:bookmarkEnd w:id="260"/>
      <w:bookmarkStart w:id="261" w:name="_Toc17024"/>
      <w:bookmarkEnd w:id="261"/>
      <w:bookmarkStart w:id="262" w:name="_Toc1178"/>
      <w:bookmarkEnd w:id="262"/>
      <w:bookmarkStart w:id="263" w:name="_Toc34137387"/>
      <w:bookmarkEnd w:id="263"/>
      <w:bookmarkStart w:id="264" w:name="_Toc51751169"/>
      <w:bookmarkStart w:id="265" w:name="_Toc29802"/>
      <w:bookmarkStart w:id="266" w:name="_Toc29599"/>
      <w:bookmarkStart w:id="267" w:name="_Toc23148"/>
      <w:bookmarkStart w:id="268" w:name="_Toc12251"/>
      <w:bookmarkStart w:id="269" w:name="_Toc148459127"/>
      <w:bookmarkStart w:id="270" w:name="_Toc7707"/>
      <w:bookmarkStart w:id="271" w:name="_Toc25676"/>
      <w:bookmarkStart w:id="272" w:name="_Toc13787"/>
      <w:bookmarkStart w:id="273" w:name="_Toc4623"/>
      <w:bookmarkStart w:id="274" w:name="_Toc5886"/>
      <w:r>
        <w:rPr>
          <w:rFonts w:hint="eastAsia" w:ascii="宋体" w:hAnsi="宋体"/>
          <w:sz w:val="28"/>
          <w:szCs w:val="28"/>
        </w:rPr>
        <w:t>第</w:t>
      </w:r>
      <w:bookmarkEnd w:id="264"/>
      <w:r>
        <w:rPr>
          <w:rFonts w:hint="eastAsia" w:ascii="宋体" w:hAnsi="宋体"/>
          <w:sz w:val="28"/>
          <w:szCs w:val="28"/>
        </w:rPr>
        <w:t>三节  投标文件的编写</w:t>
      </w:r>
      <w:bookmarkEnd w:id="265"/>
      <w:bookmarkEnd w:id="266"/>
      <w:bookmarkEnd w:id="267"/>
      <w:bookmarkEnd w:id="268"/>
      <w:bookmarkEnd w:id="269"/>
      <w:bookmarkEnd w:id="270"/>
      <w:bookmarkEnd w:id="271"/>
      <w:bookmarkEnd w:id="272"/>
      <w:bookmarkEnd w:id="273"/>
      <w:bookmarkEnd w:id="274"/>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75" w:name="_Toc32180"/>
      <w:bookmarkEnd w:id="275"/>
      <w:bookmarkStart w:id="276" w:name="_Toc6215"/>
      <w:bookmarkEnd w:id="276"/>
      <w:bookmarkStart w:id="277" w:name="_Toc30501"/>
      <w:bookmarkEnd w:id="277"/>
      <w:bookmarkStart w:id="278" w:name="_Toc18515"/>
      <w:bookmarkEnd w:id="278"/>
      <w:bookmarkStart w:id="279" w:name="_Toc13203"/>
      <w:bookmarkEnd w:id="279"/>
      <w:bookmarkStart w:id="280" w:name="_Toc34137388"/>
      <w:bookmarkEnd w:id="280"/>
      <w:bookmarkStart w:id="281" w:name="_Toc16053"/>
      <w:bookmarkEnd w:id="281"/>
      <w:bookmarkStart w:id="282" w:name="_Toc20760"/>
      <w:bookmarkEnd w:id="282"/>
      <w:bookmarkStart w:id="283" w:name="_Toc9710"/>
      <w:bookmarkStart w:id="284" w:name="_Toc18159"/>
      <w:bookmarkStart w:id="285" w:name="_Toc51751170"/>
      <w:bookmarkStart w:id="286" w:name="_Toc20577"/>
      <w:bookmarkStart w:id="287" w:name="_Toc16855"/>
      <w:bookmarkStart w:id="288" w:name="_Toc9783"/>
      <w:bookmarkStart w:id="289" w:name="_Toc18310"/>
      <w:bookmarkStart w:id="290" w:name="_Toc1359"/>
      <w:r>
        <w:rPr>
          <w:rFonts w:hint="eastAsia" w:ascii="宋体" w:hAnsi="宋体" w:cs="宋体"/>
          <w:sz w:val="24"/>
          <w:szCs w:val="24"/>
        </w:rPr>
        <w:t>投标要求</w:t>
      </w:r>
      <w:bookmarkEnd w:id="283"/>
      <w:bookmarkEnd w:id="284"/>
      <w:bookmarkEnd w:id="285"/>
      <w:bookmarkEnd w:id="286"/>
      <w:bookmarkEnd w:id="287"/>
      <w:bookmarkEnd w:id="288"/>
      <w:bookmarkEnd w:id="289"/>
      <w:bookmarkEnd w:id="290"/>
    </w:p>
    <w:p>
      <w:pPr>
        <w:numPr>
          <w:ilvl w:val="1"/>
          <w:numId w:val="2"/>
        </w:numPr>
        <w:tabs>
          <w:tab w:val="left" w:pos="964"/>
        </w:tabs>
        <w:spacing w:line="360" w:lineRule="auto"/>
        <w:ind w:firstLine="480" w:firstLineChars="200"/>
        <w:rPr>
          <w:rFonts w:cs="宋体"/>
          <w:sz w:val="24"/>
        </w:rPr>
      </w:pPr>
      <w:r>
        <w:rPr>
          <w:rFonts w:hint="eastAsia" w:cs="宋体"/>
          <w:sz w:val="24"/>
        </w:rPr>
        <w:t>投标人应仔细阅读招标文件的所有内容，按照招标文件的要求提交投标文件。投标文件应对招标文件的要求作出实质性响应，并保证所提供的全部资料的真实性，否则其投标将被拒绝。</w:t>
      </w:r>
    </w:p>
    <w:p>
      <w:pPr>
        <w:numPr>
          <w:ilvl w:val="1"/>
          <w:numId w:val="2"/>
        </w:numPr>
        <w:tabs>
          <w:tab w:val="left" w:pos="964"/>
        </w:tabs>
        <w:spacing w:line="360" w:lineRule="auto"/>
        <w:ind w:firstLine="480" w:firstLineChars="200"/>
        <w:rPr>
          <w:rFonts w:cs="宋体"/>
          <w:sz w:val="24"/>
        </w:rPr>
      </w:pPr>
      <w:r>
        <w:rPr>
          <w:rFonts w:hint="eastAsia" w:cs="宋体"/>
          <w:sz w:val="24"/>
        </w:rPr>
        <w:t>除非有另外的规定，投标人可对招标项目一览表所列的全部合同包或部分合同包进行投标。招标代理机构不接受有任何可选择性的报价，每个合同包只能有一个报价。</w:t>
      </w:r>
    </w:p>
    <w:p>
      <w:pPr>
        <w:numPr>
          <w:ilvl w:val="1"/>
          <w:numId w:val="2"/>
        </w:numPr>
        <w:tabs>
          <w:tab w:val="left" w:pos="964"/>
        </w:tabs>
        <w:spacing w:line="360" w:lineRule="auto"/>
        <w:ind w:firstLine="480" w:firstLineChars="200"/>
        <w:rPr>
          <w:rFonts w:cs="宋体"/>
          <w:sz w:val="24"/>
        </w:rPr>
      </w:pPr>
      <w:r>
        <w:rPr>
          <w:rFonts w:hint="eastAsia" w:cs="宋体"/>
          <w:sz w:val="24"/>
        </w:rPr>
        <w:t>分包</w:t>
      </w:r>
    </w:p>
    <w:p>
      <w:pPr>
        <w:tabs>
          <w:tab w:val="left" w:pos="425"/>
          <w:tab w:val="left" w:pos="964"/>
        </w:tabs>
        <w:spacing w:line="360" w:lineRule="auto"/>
        <w:ind w:firstLine="420" w:firstLineChars="175"/>
        <w:rPr>
          <w:rFonts w:cs="宋体"/>
          <w:sz w:val="24"/>
        </w:rPr>
      </w:pPr>
      <w:r>
        <w:rPr>
          <w:rFonts w:hint="eastAsia" w:cs="宋体"/>
          <w:sz w:val="24"/>
        </w:rPr>
        <w:t>8.3.1 是否允许中标人将本项目的非主体、非关键性工作进行分包：详见投标人须知前附表。</w:t>
      </w:r>
    </w:p>
    <w:p>
      <w:pPr>
        <w:tabs>
          <w:tab w:val="left" w:pos="425"/>
          <w:tab w:val="left" w:pos="964"/>
        </w:tabs>
        <w:spacing w:line="360" w:lineRule="auto"/>
        <w:ind w:firstLine="420" w:firstLineChars="175"/>
        <w:rPr>
          <w:rFonts w:cs="宋体"/>
          <w:sz w:val="24"/>
        </w:rPr>
      </w:pPr>
      <w:r>
        <w:rPr>
          <w:rFonts w:hint="eastAsia" w:cs="宋体"/>
          <w:sz w:val="24"/>
        </w:rPr>
        <w:t>8.3.2 招标文件允许中标人将非主体、非关键性工作进行分包的项目，有下列情形之一的，中标人不得分包：</w:t>
      </w:r>
    </w:p>
    <w:p>
      <w:pPr>
        <w:tabs>
          <w:tab w:val="left" w:pos="425"/>
          <w:tab w:val="left" w:pos="964"/>
        </w:tabs>
        <w:spacing w:line="360" w:lineRule="auto"/>
        <w:ind w:left="420" w:leftChars="200"/>
        <w:rPr>
          <w:rFonts w:cs="宋体"/>
          <w:sz w:val="24"/>
        </w:rPr>
      </w:pPr>
      <w:r>
        <w:rPr>
          <w:rFonts w:hint="eastAsia" w:cs="宋体"/>
          <w:sz w:val="24"/>
        </w:rPr>
        <w:t>①投标文件中未载明分包承担主体；</w:t>
      </w:r>
    </w:p>
    <w:p>
      <w:pPr>
        <w:tabs>
          <w:tab w:val="left" w:pos="425"/>
          <w:tab w:val="left" w:pos="964"/>
        </w:tabs>
        <w:spacing w:line="360" w:lineRule="auto"/>
        <w:ind w:left="420" w:leftChars="200"/>
        <w:rPr>
          <w:rFonts w:cs="宋体"/>
          <w:sz w:val="24"/>
        </w:rPr>
      </w:pPr>
      <w:r>
        <w:rPr>
          <w:rFonts w:hint="eastAsia" w:cs="宋体"/>
          <w:sz w:val="24"/>
        </w:rPr>
        <w:t>②投标文件载明的分包承担主体不具备相应资质条件；</w:t>
      </w:r>
    </w:p>
    <w:p>
      <w:pPr>
        <w:tabs>
          <w:tab w:val="left" w:pos="425"/>
          <w:tab w:val="left" w:pos="964"/>
        </w:tabs>
        <w:spacing w:line="360" w:lineRule="auto"/>
        <w:ind w:left="420" w:leftChars="200"/>
        <w:rPr>
          <w:rFonts w:hint="eastAsia" w:cs="宋体"/>
          <w:sz w:val="24"/>
        </w:rPr>
      </w:pPr>
      <w:r>
        <w:rPr>
          <w:rFonts w:hint="eastAsia" w:cs="宋体"/>
          <w:sz w:val="24"/>
        </w:rPr>
        <w:t>③投标文件载明的分包承担主体拟再次分包。</w:t>
      </w:r>
    </w:p>
    <w:p>
      <w:pPr>
        <w:numPr>
          <w:ilvl w:val="1"/>
          <w:numId w:val="2"/>
        </w:numPr>
        <w:tabs>
          <w:tab w:val="left" w:pos="964"/>
        </w:tabs>
        <w:spacing w:line="360" w:lineRule="auto"/>
        <w:ind w:firstLine="480" w:firstLineChars="200"/>
        <w:rPr>
          <w:rFonts w:hint="eastAsia" w:eastAsia="宋体" w:cs="宋体"/>
          <w:sz w:val="24"/>
          <w:szCs w:val="22"/>
          <w:lang w:val="en-US" w:eastAsia="zh-CN"/>
        </w:rPr>
      </w:pPr>
      <w:r>
        <w:rPr>
          <w:rFonts w:hint="eastAsia" w:cs="宋体"/>
          <w:sz w:val="24"/>
          <w:szCs w:val="22"/>
          <w:lang w:val="en-US" w:eastAsia="zh-CN"/>
        </w:rPr>
        <w:t>投标方须提供投标截止日前的全国企业信用信息公示系统和“信用中国”等其他企业认为应当提供的资信证明。</w:t>
      </w:r>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91" w:name="_Toc15543"/>
      <w:bookmarkEnd w:id="291"/>
      <w:bookmarkStart w:id="292" w:name="_Toc14620"/>
      <w:bookmarkEnd w:id="292"/>
      <w:bookmarkStart w:id="293" w:name="_Toc3884"/>
      <w:bookmarkEnd w:id="293"/>
      <w:bookmarkStart w:id="294" w:name="_Toc10257"/>
      <w:bookmarkEnd w:id="294"/>
      <w:bookmarkStart w:id="295" w:name="_Toc34137389"/>
      <w:bookmarkEnd w:id="295"/>
      <w:bookmarkStart w:id="296" w:name="_Toc10705"/>
      <w:bookmarkEnd w:id="296"/>
      <w:bookmarkStart w:id="297" w:name="_Toc9861"/>
      <w:bookmarkEnd w:id="297"/>
      <w:bookmarkStart w:id="298" w:name="_Toc27070"/>
      <w:bookmarkEnd w:id="298"/>
      <w:bookmarkStart w:id="299" w:name="_Toc51751171"/>
      <w:bookmarkStart w:id="300" w:name="_Toc3732"/>
      <w:bookmarkStart w:id="301" w:name="_Toc12474"/>
      <w:bookmarkStart w:id="302" w:name="_Toc17250"/>
      <w:bookmarkStart w:id="303" w:name="_Toc3700"/>
      <w:bookmarkStart w:id="304" w:name="_Toc10564"/>
      <w:bookmarkStart w:id="305" w:name="_Toc22560"/>
      <w:bookmarkStart w:id="306" w:name="_Toc7656"/>
      <w:r>
        <w:rPr>
          <w:rFonts w:hint="eastAsia" w:ascii="宋体" w:hAnsi="宋体" w:cs="宋体"/>
          <w:sz w:val="24"/>
          <w:szCs w:val="24"/>
        </w:rPr>
        <w:t>投标文件语言</w:t>
      </w:r>
      <w:bookmarkEnd w:id="299"/>
      <w:bookmarkEnd w:id="300"/>
      <w:bookmarkEnd w:id="301"/>
      <w:bookmarkEnd w:id="302"/>
      <w:bookmarkEnd w:id="303"/>
      <w:bookmarkEnd w:id="304"/>
      <w:bookmarkEnd w:id="305"/>
      <w:bookmarkEnd w:id="306"/>
    </w:p>
    <w:p>
      <w:pPr>
        <w:numPr>
          <w:ilvl w:val="1"/>
          <w:numId w:val="2"/>
        </w:numPr>
        <w:tabs>
          <w:tab w:val="left" w:pos="964"/>
        </w:tabs>
        <w:spacing w:line="360" w:lineRule="auto"/>
        <w:ind w:firstLine="480" w:firstLineChars="200"/>
        <w:rPr>
          <w:rFonts w:cs="宋体"/>
          <w:sz w:val="24"/>
        </w:rPr>
      </w:pPr>
      <w:r>
        <w:rPr>
          <w:rFonts w:hint="eastAsia" w:cs="宋体"/>
          <w:sz w:val="24"/>
        </w:rPr>
        <w:t>投标文件应用中文书写。投标文件中所附或所引用的原件不是中文时，应附中文译本。各种计量单位及符号应采用国际上统一使用的公制计量单位和符号。</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07" w:name="_Toc26737"/>
      <w:bookmarkEnd w:id="307"/>
      <w:bookmarkStart w:id="308" w:name="_Toc34137390"/>
      <w:bookmarkEnd w:id="308"/>
      <w:bookmarkStart w:id="309" w:name="_Toc22427"/>
      <w:bookmarkEnd w:id="309"/>
      <w:bookmarkStart w:id="310" w:name="_Toc17619"/>
      <w:bookmarkEnd w:id="310"/>
      <w:bookmarkStart w:id="311" w:name="_Toc3905"/>
      <w:bookmarkEnd w:id="311"/>
      <w:bookmarkStart w:id="312" w:name="_Toc18208"/>
      <w:bookmarkEnd w:id="312"/>
      <w:bookmarkStart w:id="313" w:name="_Toc7937"/>
      <w:bookmarkEnd w:id="313"/>
      <w:bookmarkStart w:id="314" w:name="_Toc21493"/>
      <w:bookmarkEnd w:id="314"/>
      <w:bookmarkStart w:id="315" w:name="_Toc14809"/>
      <w:bookmarkStart w:id="316" w:name="_Toc20950"/>
      <w:bookmarkStart w:id="317" w:name="_Toc1482"/>
      <w:bookmarkStart w:id="318" w:name="_Toc16941"/>
      <w:bookmarkStart w:id="319" w:name="_Toc16669"/>
      <w:bookmarkStart w:id="320" w:name="_Toc28592"/>
      <w:bookmarkStart w:id="321" w:name="_Toc51751172"/>
      <w:bookmarkStart w:id="322" w:name="_Toc30303"/>
      <w:r>
        <w:rPr>
          <w:rFonts w:hint="eastAsia" w:ascii="宋体" w:hAnsi="宋体" w:cs="宋体"/>
          <w:sz w:val="24"/>
          <w:szCs w:val="24"/>
        </w:rPr>
        <w:t>投标文件的组成</w:t>
      </w:r>
      <w:bookmarkEnd w:id="315"/>
      <w:bookmarkEnd w:id="316"/>
      <w:bookmarkEnd w:id="317"/>
      <w:bookmarkEnd w:id="318"/>
      <w:bookmarkEnd w:id="319"/>
      <w:bookmarkEnd w:id="320"/>
      <w:bookmarkEnd w:id="321"/>
      <w:bookmarkEnd w:id="322"/>
    </w:p>
    <w:p>
      <w:pPr>
        <w:numPr>
          <w:ilvl w:val="1"/>
          <w:numId w:val="2"/>
        </w:numPr>
        <w:tabs>
          <w:tab w:val="left" w:pos="964"/>
        </w:tabs>
        <w:spacing w:line="360" w:lineRule="auto"/>
        <w:ind w:firstLine="480" w:firstLineChars="200"/>
        <w:rPr>
          <w:rFonts w:cs="宋体"/>
          <w:sz w:val="24"/>
        </w:rPr>
      </w:pPr>
      <w:r>
        <w:rPr>
          <w:rFonts w:hint="eastAsia" w:cs="宋体"/>
          <w:sz w:val="24"/>
        </w:rPr>
        <w:t>投标文件应包括但不限于下列部分：</w:t>
      </w:r>
    </w:p>
    <w:p>
      <w:pPr>
        <w:spacing w:line="360" w:lineRule="auto"/>
        <w:ind w:left="69" w:firstLine="470" w:firstLineChars="196"/>
        <w:rPr>
          <w:rFonts w:cs="宋体"/>
          <w:sz w:val="24"/>
        </w:rPr>
      </w:pPr>
      <w:r>
        <w:rPr>
          <w:rFonts w:hint="eastAsia" w:cs="宋体"/>
          <w:sz w:val="24"/>
        </w:rPr>
        <w:t>10.1.1资格文件</w:t>
      </w:r>
    </w:p>
    <w:p>
      <w:pPr>
        <w:spacing w:line="360" w:lineRule="auto"/>
        <w:ind w:left="69" w:firstLine="470" w:firstLineChars="196"/>
        <w:rPr>
          <w:rFonts w:cs="宋体"/>
          <w:sz w:val="24"/>
        </w:rPr>
      </w:pPr>
      <w:r>
        <w:rPr>
          <w:rFonts w:hint="eastAsia" w:cs="宋体"/>
          <w:sz w:val="24"/>
        </w:rPr>
        <w:t>10.1.2技术文件</w:t>
      </w:r>
    </w:p>
    <w:p>
      <w:pPr>
        <w:spacing w:line="360" w:lineRule="auto"/>
        <w:ind w:left="69" w:firstLine="470" w:firstLineChars="196"/>
        <w:rPr>
          <w:rFonts w:cs="宋体"/>
          <w:sz w:val="24"/>
        </w:rPr>
      </w:pPr>
      <w:r>
        <w:rPr>
          <w:rFonts w:hint="eastAsia" w:cs="宋体"/>
          <w:sz w:val="24"/>
        </w:rPr>
        <w:t>10.1.3商务文件</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23" w:name="_Toc5428"/>
      <w:bookmarkEnd w:id="323"/>
      <w:bookmarkStart w:id="324" w:name="_Toc11308"/>
      <w:bookmarkEnd w:id="324"/>
      <w:bookmarkStart w:id="325" w:name="_Toc34137391"/>
      <w:bookmarkEnd w:id="325"/>
      <w:bookmarkStart w:id="326" w:name="_Toc20809"/>
      <w:bookmarkEnd w:id="326"/>
      <w:bookmarkStart w:id="327" w:name="_Toc6104"/>
      <w:bookmarkEnd w:id="327"/>
      <w:bookmarkStart w:id="328" w:name="_Toc2942"/>
      <w:bookmarkEnd w:id="328"/>
      <w:bookmarkStart w:id="329" w:name="_Toc13474"/>
      <w:bookmarkEnd w:id="329"/>
      <w:bookmarkStart w:id="330" w:name="_Toc26229"/>
      <w:bookmarkEnd w:id="330"/>
      <w:bookmarkStart w:id="331" w:name="_Toc23108"/>
      <w:bookmarkStart w:id="332" w:name="_Toc51751173"/>
      <w:bookmarkStart w:id="333" w:name="_Toc29791"/>
      <w:bookmarkStart w:id="334" w:name="_Toc1463"/>
      <w:bookmarkStart w:id="335" w:name="_Toc12853"/>
      <w:bookmarkStart w:id="336" w:name="_Toc5759"/>
      <w:bookmarkStart w:id="337" w:name="_Toc4315"/>
      <w:bookmarkStart w:id="338" w:name="_Toc24027"/>
      <w:r>
        <w:rPr>
          <w:rFonts w:hint="eastAsia" w:ascii="宋体" w:hAnsi="宋体" w:cs="宋体"/>
          <w:sz w:val="24"/>
          <w:szCs w:val="24"/>
        </w:rPr>
        <w:t>投标有效期</w:t>
      </w:r>
      <w:bookmarkEnd w:id="331"/>
      <w:bookmarkEnd w:id="332"/>
      <w:bookmarkEnd w:id="333"/>
      <w:bookmarkEnd w:id="334"/>
      <w:bookmarkEnd w:id="335"/>
      <w:bookmarkEnd w:id="336"/>
      <w:bookmarkEnd w:id="337"/>
      <w:bookmarkEnd w:id="338"/>
    </w:p>
    <w:p>
      <w:pPr>
        <w:numPr>
          <w:ilvl w:val="1"/>
          <w:numId w:val="2"/>
        </w:numPr>
        <w:tabs>
          <w:tab w:val="left" w:pos="964"/>
        </w:tabs>
        <w:spacing w:line="360" w:lineRule="auto"/>
        <w:ind w:firstLine="480" w:firstLineChars="200"/>
        <w:rPr>
          <w:rFonts w:cs="宋体"/>
          <w:sz w:val="24"/>
        </w:rPr>
      </w:pPr>
      <w:r>
        <w:rPr>
          <w:rFonts w:hint="eastAsia" w:cs="宋体"/>
          <w:sz w:val="24"/>
        </w:rPr>
        <w:t>投标文件从招标文件所规定的投标截止期之后开始生效，在《投标人须知前附表1》所规定的期限内保持有效。有效期不足将导致其投标文件被拒绝。</w:t>
      </w:r>
    </w:p>
    <w:p>
      <w:pPr>
        <w:numPr>
          <w:ilvl w:val="1"/>
          <w:numId w:val="2"/>
        </w:numPr>
        <w:tabs>
          <w:tab w:val="left" w:pos="964"/>
        </w:tabs>
        <w:spacing w:line="360" w:lineRule="auto"/>
        <w:ind w:firstLine="480" w:firstLineChars="200"/>
        <w:rPr>
          <w:rFonts w:cs="宋体"/>
          <w:sz w:val="24"/>
        </w:rPr>
      </w:pPr>
      <w:r>
        <w:rPr>
          <w:rFonts w:hint="eastAsia" w:cs="宋体"/>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39" w:name="_Toc34137392"/>
      <w:bookmarkEnd w:id="339"/>
      <w:bookmarkStart w:id="340" w:name="_Toc32096"/>
      <w:bookmarkEnd w:id="340"/>
      <w:bookmarkStart w:id="341" w:name="_Toc2387"/>
      <w:bookmarkEnd w:id="341"/>
      <w:bookmarkStart w:id="342" w:name="_Toc28495"/>
      <w:bookmarkEnd w:id="342"/>
      <w:bookmarkStart w:id="343" w:name="_Toc3486"/>
      <w:bookmarkEnd w:id="343"/>
      <w:bookmarkStart w:id="344" w:name="_Toc18300"/>
      <w:bookmarkEnd w:id="344"/>
      <w:bookmarkStart w:id="345" w:name="_Toc9651"/>
      <w:bookmarkEnd w:id="345"/>
      <w:bookmarkStart w:id="346" w:name="_Toc2664"/>
      <w:bookmarkEnd w:id="346"/>
      <w:bookmarkStart w:id="347" w:name="_Toc5741"/>
      <w:bookmarkStart w:id="348" w:name="_Toc15185"/>
      <w:bookmarkStart w:id="349" w:name="_Toc25391"/>
      <w:bookmarkStart w:id="350" w:name="_Toc26410"/>
      <w:bookmarkStart w:id="351" w:name="_Toc51751174"/>
      <w:bookmarkStart w:id="352" w:name="_Toc9521"/>
      <w:bookmarkStart w:id="353" w:name="_Toc9448"/>
      <w:bookmarkStart w:id="354" w:name="_Toc23755"/>
      <w:r>
        <w:rPr>
          <w:rFonts w:hint="eastAsia" w:ascii="宋体" w:hAnsi="宋体" w:cs="宋体"/>
          <w:sz w:val="24"/>
          <w:szCs w:val="24"/>
        </w:rPr>
        <w:t>投标保证金</w:t>
      </w:r>
      <w:bookmarkEnd w:id="347"/>
      <w:bookmarkEnd w:id="348"/>
      <w:bookmarkEnd w:id="349"/>
      <w:bookmarkEnd w:id="350"/>
      <w:bookmarkEnd w:id="351"/>
      <w:bookmarkEnd w:id="352"/>
      <w:bookmarkEnd w:id="353"/>
      <w:bookmarkEnd w:id="354"/>
    </w:p>
    <w:p>
      <w:pPr>
        <w:numPr>
          <w:ilvl w:val="1"/>
          <w:numId w:val="2"/>
        </w:numPr>
        <w:tabs>
          <w:tab w:val="left" w:pos="964"/>
        </w:tabs>
        <w:spacing w:line="360" w:lineRule="auto"/>
        <w:ind w:firstLine="480" w:firstLineChars="200"/>
        <w:rPr>
          <w:rFonts w:cs="宋体"/>
          <w:sz w:val="24"/>
        </w:rPr>
      </w:pPr>
      <w:r>
        <w:rPr>
          <w:rFonts w:hint="eastAsia" w:cs="宋体"/>
          <w:sz w:val="24"/>
        </w:rPr>
        <w:t xml:space="preserve"> 投标保证金</w:t>
      </w:r>
    </w:p>
    <w:p>
      <w:pPr>
        <w:numPr>
          <w:ilvl w:val="2"/>
          <w:numId w:val="2"/>
        </w:numPr>
        <w:tabs>
          <w:tab w:val="left" w:pos="964"/>
        </w:tabs>
        <w:spacing w:line="360" w:lineRule="auto"/>
        <w:ind w:firstLine="480" w:firstLineChars="200"/>
        <w:rPr>
          <w:rFonts w:cs="宋体"/>
          <w:sz w:val="24"/>
        </w:rPr>
      </w:pPr>
      <w:r>
        <w:rPr>
          <w:rFonts w:hint="eastAsia" w:cs="宋体"/>
          <w:sz w:val="24"/>
        </w:rPr>
        <w:t>投标保证金为投标文件的组成部分之一。</w:t>
      </w:r>
    </w:p>
    <w:p>
      <w:pPr>
        <w:numPr>
          <w:ilvl w:val="2"/>
          <w:numId w:val="2"/>
        </w:numPr>
        <w:tabs>
          <w:tab w:val="left" w:pos="964"/>
        </w:tabs>
        <w:spacing w:line="360" w:lineRule="auto"/>
        <w:ind w:firstLine="480" w:firstLineChars="200"/>
        <w:rPr>
          <w:rFonts w:cs="宋体"/>
          <w:sz w:val="24"/>
        </w:rPr>
      </w:pPr>
      <w:r>
        <w:rPr>
          <w:rFonts w:hint="eastAsia" w:cs="宋体"/>
          <w:sz w:val="24"/>
        </w:rPr>
        <w:t>投标人应在提交投标文件之前向招标人或招标代理机构指定的保证金专户缴交《投标人须知前附表1》要求的投标保证金。</w:t>
      </w:r>
    </w:p>
    <w:p>
      <w:pPr>
        <w:numPr>
          <w:ilvl w:val="2"/>
          <w:numId w:val="2"/>
        </w:numPr>
        <w:tabs>
          <w:tab w:val="left" w:pos="964"/>
        </w:tabs>
        <w:spacing w:line="360" w:lineRule="auto"/>
        <w:ind w:firstLine="480" w:firstLineChars="200"/>
        <w:rPr>
          <w:rFonts w:cs="宋体"/>
          <w:sz w:val="24"/>
        </w:rPr>
      </w:pPr>
      <w:r>
        <w:rPr>
          <w:rFonts w:hint="eastAsia" w:cs="宋体"/>
          <w:sz w:val="24"/>
        </w:rPr>
        <w:t>投标保证金用于保护本次招标活动免受投标人的行为而引起的风险。</w:t>
      </w:r>
    </w:p>
    <w:p>
      <w:pPr>
        <w:numPr>
          <w:ilvl w:val="2"/>
          <w:numId w:val="2"/>
        </w:numPr>
        <w:tabs>
          <w:tab w:val="left" w:pos="964"/>
        </w:tabs>
        <w:spacing w:line="360" w:lineRule="auto"/>
        <w:ind w:firstLine="480" w:firstLineChars="200"/>
        <w:rPr>
          <w:rFonts w:cs="宋体"/>
          <w:sz w:val="24"/>
        </w:rPr>
      </w:pPr>
      <w:r>
        <w:rPr>
          <w:rFonts w:hint="eastAsia" w:cs="宋体"/>
          <w:sz w:val="24"/>
        </w:rPr>
        <w:t>投标保证金采用转账方式提交，须从投标人账户转出，必须在投标截止时间前到达指定账户。</w:t>
      </w:r>
    </w:p>
    <w:p>
      <w:pPr>
        <w:numPr>
          <w:ilvl w:val="2"/>
          <w:numId w:val="2"/>
        </w:numPr>
        <w:tabs>
          <w:tab w:val="left" w:pos="964"/>
        </w:tabs>
        <w:spacing w:line="360" w:lineRule="auto"/>
        <w:ind w:firstLine="480" w:firstLineChars="200"/>
        <w:rPr>
          <w:rFonts w:cs="宋体"/>
          <w:sz w:val="24"/>
        </w:rPr>
      </w:pPr>
      <w:r>
        <w:rPr>
          <w:rFonts w:hint="eastAsia" w:cs="宋体"/>
          <w:sz w:val="24"/>
        </w:rPr>
        <w:t>未按规定缴交投标保证金的投标，将被视为无效投标。</w:t>
      </w:r>
    </w:p>
    <w:p>
      <w:pPr>
        <w:numPr>
          <w:ilvl w:val="2"/>
          <w:numId w:val="2"/>
        </w:numPr>
        <w:tabs>
          <w:tab w:val="left" w:pos="964"/>
        </w:tabs>
        <w:spacing w:line="360" w:lineRule="auto"/>
        <w:ind w:firstLine="480" w:firstLineChars="200"/>
        <w:rPr>
          <w:rFonts w:cs="宋体"/>
          <w:sz w:val="24"/>
        </w:rPr>
      </w:pPr>
      <w:r>
        <w:rPr>
          <w:rFonts w:hint="eastAsia" w:cs="宋体"/>
          <w:sz w:val="24"/>
        </w:rPr>
        <w:t>招标单位将在招标人与中标人签订书面合同后5个日历日内向未中标的投标人退还投标保证金。</w:t>
      </w:r>
    </w:p>
    <w:p>
      <w:pPr>
        <w:numPr>
          <w:ilvl w:val="2"/>
          <w:numId w:val="2"/>
        </w:numPr>
        <w:tabs>
          <w:tab w:val="left" w:pos="964"/>
        </w:tabs>
        <w:spacing w:line="360" w:lineRule="auto"/>
        <w:ind w:firstLine="480" w:firstLineChars="200"/>
        <w:rPr>
          <w:rFonts w:cs="宋体"/>
          <w:sz w:val="24"/>
        </w:rPr>
      </w:pPr>
      <w:r>
        <w:rPr>
          <w:rFonts w:hint="eastAsia" w:cs="宋体"/>
          <w:sz w:val="24"/>
        </w:rPr>
        <w:t>招标单位将在中标人签订书面合同（招标人如有要求中标人支付履约保证金的，则增加：并向招标人支付履约保证金）后，且中标人提交采购合同等有关资料之日起的5个日历日内向中标人退还投标保证金。</w:t>
      </w:r>
    </w:p>
    <w:p>
      <w:pPr>
        <w:numPr>
          <w:ilvl w:val="2"/>
          <w:numId w:val="2"/>
        </w:numPr>
        <w:tabs>
          <w:tab w:val="left" w:pos="964"/>
        </w:tabs>
        <w:spacing w:line="360" w:lineRule="auto"/>
        <w:ind w:firstLine="480" w:firstLineChars="200"/>
        <w:rPr>
          <w:rFonts w:cs="宋体"/>
          <w:sz w:val="24"/>
        </w:rPr>
      </w:pPr>
      <w:r>
        <w:rPr>
          <w:rFonts w:hint="eastAsia" w:cs="宋体"/>
          <w:sz w:val="24"/>
        </w:rPr>
        <w:t>投标保证金有效期与投标有效期一致。</w:t>
      </w:r>
    </w:p>
    <w:p>
      <w:pPr>
        <w:numPr>
          <w:ilvl w:val="2"/>
          <w:numId w:val="2"/>
        </w:numPr>
        <w:tabs>
          <w:tab w:val="left" w:pos="964"/>
        </w:tabs>
        <w:spacing w:line="360" w:lineRule="auto"/>
        <w:ind w:firstLine="480" w:firstLineChars="200"/>
        <w:rPr>
          <w:rFonts w:cs="宋体"/>
          <w:sz w:val="24"/>
        </w:rPr>
      </w:pPr>
      <w:r>
        <w:rPr>
          <w:rFonts w:hint="eastAsia" w:cs="宋体"/>
          <w:sz w:val="24"/>
        </w:rPr>
        <w:t>发生以下情形之一的，投标保证金将不予退还：</w:t>
      </w:r>
    </w:p>
    <w:p>
      <w:pPr>
        <w:numPr>
          <w:ilvl w:val="3"/>
          <w:numId w:val="2"/>
        </w:numPr>
        <w:tabs>
          <w:tab w:val="left" w:pos="964"/>
        </w:tabs>
        <w:spacing w:line="360" w:lineRule="auto"/>
        <w:ind w:firstLine="480" w:firstLineChars="200"/>
        <w:rPr>
          <w:rFonts w:cs="宋体"/>
          <w:sz w:val="24"/>
        </w:rPr>
      </w:pPr>
      <w:r>
        <w:rPr>
          <w:rFonts w:hint="eastAsia" w:cs="宋体"/>
          <w:sz w:val="24"/>
        </w:rPr>
        <w:t>投标人在投标截止时间后，投标有效期内撤回投标；</w:t>
      </w:r>
    </w:p>
    <w:p>
      <w:pPr>
        <w:numPr>
          <w:ilvl w:val="3"/>
          <w:numId w:val="2"/>
        </w:numPr>
        <w:tabs>
          <w:tab w:val="left" w:pos="964"/>
        </w:tabs>
        <w:spacing w:line="360" w:lineRule="auto"/>
        <w:ind w:firstLine="480" w:firstLineChars="200"/>
        <w:rPr>
          <w:rFonts w:cs="宋体"/>
          <w:sz w:val="24"/>
        </w:rPr>
      </w:pPr>
      <w:r>
        <w:rPr>
          <w:rFonts w:hint="eastAsia" w:cs="宋体"/>
          <w:sz w:val="24"/>
        </w:rPr>
        <w:t>中标人未能按本须知第22条规定签订合同；</w:t>
      </w:r>
    </w:p>
    <w:p>
      <w:pPr>
        <w:numPr>
          <w:ilvl w:val="3"/>
          <w:numId w:val="2"/>
        </w:numPr>
        <w:tabs>
          <w:tab w:val="left" w:pos="964"/>
        </w:tabs>
        <w:spacing w:line="360" w:lineRule="auto"/>
        <w:ind w:firstLine="480" w:firstLineChars="200"/>
        <w:rPr>
          <w:rFonts w:cs="宋体"/>
          <w:sz w:val="24"/>
        </w:rPr>
      </w:pPr>
      <w:r>
        <w:rPr>
          <w:rFonts w:hint="eastAsia" w:cs="宋体"/>
          <w:sz w:val="24"/>
        </w:rPr>
        <w:t>以他人名义投标或者以其他方式弄虚作假，骗取中标；</w:t>
      </w:r>
    </w:p>
    <w:p>
      <w:pPr>
        <w:numPr>
          <w:ilvl w:val="3"/>
          <w:numId w:val="2"/>
        </w:numPr>
        <w:tabs>
          <w:tab w:val="left" w:pos="964"/>
        </w:tabs>
        <w:spacing w:line="360" w:lineRule="auto"/>
        <w:ind w:firstLine="480" w:firstLineChars="200"/>
        <w:rPr>
          <w:rFonts w:cs="宋体"/>
          <w:sz w:val="24"/>
        </w:rPr>
      </w:pPr>
      <w:r>
        <w:rPr>
          <w:rFonts w:hint="eastAsia" w:cs="宋体"/>
          <w:sz w:val="24"/>
        </w:rPr>
        <w:t>本招标文件或法律法规中规定的其他没收投标保证金的情形。</w:t>
      </w:r>
    </w:p>
    <w:p>
      <w:pPr>
        <w:spacing w:line="360" w:lineRule="auto"/>
        <w:ind w:firstLine="480" w:firstLineChars="200"/>
        <w:rPr>
          <w:rFonts w:cs="宋体"/>
          <w:sz w:val="24"/>
        </w:rPr>
      </w:pPr>
      <w:r>
        <w:rPr>
          <w:rFonts w:hint="eastAsia" w:cs="宋体"/>
          <w:sz w:val="24"/>
        </w:rPr>
        <w:t>上述不予退还投标保证金的情形给招标采购单位造成损失的，相关责任人还应当承担赔偿责任。</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55" w:name="_Toc23777"/>
      <w:bookmarkEnd w:id="355"/>
      <w:bookmarkStart w:id="356" w:name="_Toc11748"/>
      <w:bookmarkEnd w:id="356"/>
      <w:bookmarkStart w:id="357" w:name="_Toc22911"/>
      <w:bookmarkEnd w:id="357"/>
      <w:bookmarkStart w:id="358" w:name="_Toc26679"/>
      <w:bookmarkEnd w:id="358"/>
      <w:bookmarkStart w:id="359" w:name="_Toc21132"/>
      <w:bookmarkEnd w:id="359"/>
      <w:bookmarkStart w:id="360" w:name="_Toc34137393"/>
      <w:bookmarkEnd w:id="360"/>
      <w:bookmarkStart w:id="361" w:name="_Toc4995"/>
      <w:bookmarkEnd w:id="361"/>
      <w:bookmarkStart w:id="362" w:name="_Toc14221"/>
      <w:bookmarkEnd w:id="362"/>
      <w:bookmarkStart w:id="363" w:name="_Toc23386"/>
      <w:bookmarkStart w:id="364" w:name="_Toc51751175"/>
      <w:bookmarkStart w:id="365" w:name="_Toc26444"/>
      <w:bookmarkStart w:id="366" w:name="_Toc24130"/>
      <w:bookmarkStart w:id="367" w:name="_Toc13487"/>
      <w:bookmarkStart w:id="368" w:name="_Toc12911"/>
      <w:bookmarkStart w:id="369" w:name="_Toc27021"/>
      <w:bookmarkStart w:id="370" w:name="_Toc3623"/>
      <w:r>
        <w:rPr>
          <w:rFonts w:hint="eastAsia" w:ascii="宋体" w:hAnsi="宋体" w:cs="宋体"/>
          <w:sz w:val="24"/>
          <w:szCs w:val="24"/>
        </w:rPr>
        <w:t>投标文件的格式</w:t>
      </w:r>
      <w:bookmarkEnd w:id="363"/>
      <w:bookmarkEnd w:id="364"/>
      <w:bookmarkEnd w:id="365"/>
      <w:bookmarkEnd w:id="366"/>
      <w:bookmarkEnd w:id="367"/>
      <w:bookmarkEnd w:id="368"/>
      <w:bookmarkEnd w:id="369"/>
      <w:bookmarkEnd w:id="370"/>
    </w:p>
    <w:p>
      <w:pPr>
        <w:numPr>
          <w:ilvl w:val="1"/>
          <w:numId w:val="2"/>
        </w:numPr>
        <w:tabs>
          <w:tab w:val="left" w:pos="964"/>
        </w:tabs>
        <w:spacing w:line="360" w:lineRule="auto"/>
        <w:ind w:firstLine="480" w:firstLineChars="200"/>
        <w:rPr>
          <w:rFonts w:cs="宋体"/>
          <w:sz w:val="24"/>
        </w:rPr>
      </w:pPr>
      <w:r>
        <w:rPr>
          <w:rFonts w:hint="eastAsia" w:cs="宋体"/>
          <w:sz w:val="24"/>
          <w:szCs w:val="24"/>
        </w:rPr>
        <w:t>投标人须编制由本须知第10条规定文件组成的投标文件正本一份，副本一份，正本必须用A4幅面纸张打印装订，副本可以用正本的完整复印件。图纸可用A3幅面纸打印并单独装订（一正一副）。并在封面标明“正本”、“副本”字样。正本、副本、电子档如有不一致，则以正本为准。</w:t>
      </w:r>
    </w:p>
    <w:p>
      <w:pPr>
        <w:numPr>
          <w:ilvl w:val="1"/>
          <w:numId w:val="2"/>
        </w:numPr>
        <w:tabs>
          <w:tab w:val="left" w:pos="964"/>
        </w:tabs>
        <w:spacing w:line="360" w:lineRule="auto"/>
        <w:ind w:firstLine="480" w:firstLineChars="200"/>
        <w:rPr>
          <w:rFonts w:cs="宋体"/>
          <w:sz w:val="24"/>
        </w:rPr>
      </w:pPr>
      <w:r>
        <w:rPr>
          <w:rFonts w:hint="eastAsia" w:cs="宋体"/>
          <w:sz w:val="24"/>
        </w:rPr>
        <w:t>投标文件应由投标人的法定代表人或者其授权代表签字并加盖公章，如由后者签字，应提供“法定代表人授权委托书”。</w:t>
      </w:r>
    </w:p>
    <w:p>
      <w:pPr>
        <w:numPr>
          <w:ilvl w:val="1"/>
          <w:numId w:val="2"/>
        </w:numPr>
        <w:tabs>
          <w:tab w:val="left" w:pos="964"/>
        </w:tabs>
        <w:spacing w:line="360" w:lineRule="auto"/>
        <w:ind w:firstLine="480" w:firstLineChars="200"/>
        <w:rPr>
          <w:rFonts w:cs="宋体"/>
          <w:sz w:val="24"/>
        </w:rPr>
      </w:pPr>
      <w:r>
        <w:rPr>
          <w:rFonts w:hint="eastAsia" w:cs="宋体"/>
          <w:sz w:val="24"/>
        </w:rPr>
        <w:t>除非有另外的规定或许可，投标使用货币为人民币。</w:t>
      </w:r>
    </w:p>
    <w:p>
      <w:pPr>
        <w:numPr>
          <w:ilvl w:val="1"/>
          <w:numId w:val="2"/>
        </w:numPr>
        <w:tabs>
          <w:tab w:val="left" w:pos="964"/>
        </w:tabs>
        <w:spacing w:line="360" w:lineRule="auto"/>
        <w:ind w:firstLine="480" w:firstLineChars="200"/>
        <w:rPr>
          <w:rFonts w:cs="宋体"/>
          <w:sz w:val="24"/>
        </w:rPr>
      </w:pPr>
      <w:r>
        <w:rPr>
          <w:rFonts w:hint="eastAsia" w:cs="宋体"/>
          <w:sz w:val="24"/>
        </w:rPr>
        <w:t>投标人应提交证明其拟供货物符合招标文件要求的技术响应文件，该文件可以是文字资料、图纸和数据，并须提供货物主要技术性能的详细描述。</w:t>
      </w:r>
    </w:p>
    <w:p>
      <w:pPr>
        <w:numPr>
          <w:ilvl w:val="1"/>
          <w:numId w:val="2"/>
        </w:numPr>
        <w:tabs>
          <w:tab w:val="left" w:pos="964"/>
        </w:tabs>
        <w:spacing w:line="360" w:lineRule="auto"/>
        <w:ind w:firstLine="480" w:firstLineChars="200"/>
        <w:rPr>
          <w:rFonts w:cs="宋体"/>
          <w:sz w:val="24"/>
        </w:rPr>
      </w:pPr>
      <w:r>
        <w:rPr>
          <w:rFonts w:hint="eastAsia" w:cs="宋体"/>
          <w:sz w:val="24"/>
        </w:rPr>
        <w:t>未按本须知规定的格式填写投标文件、投标文件字迹模糊不清的，其投标可能被承担不利的评标结果。</w:t>
      </w:r>
    </w:p>
    <w:p>
      <w:pPr>
        <w:numPr>
          <w:ilvl w:val="1"/>
          <w:numId w:val="2"/>
        </w:numPr>
        <w:tabs>
          <w:tab w:val="left" w:pos="964"/>
        </w:tabs>
        <w:spacing w:line="360" w:lineRule="auto"/>
        <w:ind w:firstLine="480" w:firstLineChars="200"/>
        <w:rPr>
          <w:rFonts w:cs="宋体"/>
          <w:sz w:val="24"/>
        </w:rPr>
      </w:pPr>
      <w:r>
        <w:rPr>
          <w:rFonts w:hint="eastAsia" w:cs="宋体"/>
          <w:sz w:val="24"/>
        </w:rPr>
        <w:t>项目为多个合同包的，每个合同包均须单独递交投标文件。</w:t>
      </w:r>
    </w:p>
    <w:p>
      <w:pPr>
        <w:pStyle w:val="3"/>
        <w:spacing w:before="0" w:after="0" w:line="360" w:lineRule="auto"/>
        <w:jc w:val="center"/>
        <w:rPr>
          <w:rFonts w:hint="eastAsia" w:ascii="宋体" w:hAnsi="宋体"/>
          <w:sz w:val="28"/>
          <w:szCs w:val="28"/>
        </w:rPr>
      </w:pPr>
      <w:bookmarkStart w:id="371" w:name="_Toc8993"/>
      <w:bookmarkEnd w:id="371"/>
      <w:bookmarkStart w:id="372" w:name="_Toc2289"/>
      <w:bookmarkEnd w:id="372"/>
      <w:bookmarkStart w:id="373" w:name="_Toc5230"/>
      <w:bookmarkEnd w:id="373"/>
      <w:bookmarkStart w:id="374" w:name="_Toc34137394"/>
      <w:bookmarkEnd w:id="374"/>
      <w:bookmarkStart w:id="375" w:name="_Toc4782_WPSOffice_Level2"/>
      <w:bookmarkEnd w:id="375"/>
      <w:bookmarkStart w:id="376" w:name="_Toc29250"/>
      <w:bookmarkEnd w:id="376"/>
      <w:bookmarkStart w:id="377" w:name="_Toc15725"/>
      <w:bookmarkEnd w:id="377"/>
      <w:bookmarkStart w:id="378" w:name="_Toc17421"/>
      <w:bookmarkEnd w:id="378"/>
      <w:bookmarkStart w:id="379" w:name="_Toc20673"/>
      <w:bookmarkEnd w:id="379"/>
      <w:bookmarkStart w:id="380" w:name="_Toc51751176"/>
      <w:bookmarkStart w:id="381" w:name="_Toc11905"/>
      <w:bookmarkStart w:id="382" w:name="_Toc7208"/>
      <w:bookmarkStart w:id="383" w:name="_Toc20019"/>
      <w:bookmarkStart w:id="384" w:name="_Toc29678"/>
      <w:bookmarkStart w:id="385" w:name="_Toc19845"/>
      <w:bookmarkStart w:id="386" w:name="_Toc148459128"/>
      <w:bookmarkStart w:id="387" w:name="_Toc17214"/>
      <w:bookmarkStart w:id="388" w:name="_Toc3954"/>
      <w:bookmarkStart w:id="389" w:name="_Toc16116"/>
      <w:bookmarkStart w:id="390" w:name="_Toc27945"/>
      <w:r>
        <w:rPr>
          <w:rFonts w:hint="eastAsia" w:ascii="宋体" w:hAnsi="宋体"/>
          <w:sz w:val="28"/>
          <w:szCs w:val="28"/>
        </w:rPr>
        <w:t>第</w:t>
      </w:r>
      <w:bookmarkEnd w:id="380"/>
      <w:r>
        <w:rPr>
          <w:rFonts w:hint="eastAsia" w:ascii="宋体" w:hAnsi="宋体"/>
          <w:sz w:val="28"/>
          <w:szCs w:val="28"/>
        </w:rPr>
        <w:t>四节  投标文件的提交</w:t>
      </w:r>
      <w:bookmarkEnd w:id="381"/>
      <w:bookmarkEnd w:id="382"/>
      <w:bookmarkEnd w:id="383"/>
      <w:bookmarkEnd w:id="384"/>
      <w:bookmarkEnd w:id="385"/>
      <w:bookmarkEnd w:id="386"/>
      <w:bookmarkEnd w:id="387"/>
      <w:bookmarkEnd w:id="388"/>
      <w:bookmarkEnd w:id="389"/>
      <w:bookmarkEnd w:id="390"/>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91" w:name="_Toc26401"/>
      <w:bookmarkEnd w:id="391"/>
      <w:bookmarkStart w:id="392" w:name="_Toc875"/>
      <w:bookmarkEnd w:id="392"/>
      <w:bookmarkStart w:id="393" w:name="_Toc25023"/>
      <w:bookmarkEnd w:id="393"/>
      <w:bookmarkStart w:id="394" w:name="_Toc6276"/>
      <w:bookmarkEnd w:id="394"/>
      <w:bookmarkStart w:id="395" w:name="_Toc10347"/>
      <w:bookmarkEnd w:id="395"/>
      <w:bookmarkStart w:id="396" w:name="_Toc30030"/>
      <w:bookmarkEnd w:id="396"/>
      <w:bookmarkStart w:id="397" w:name="_Toc11589"/>
      <w:bookmarkEnd w:id="397"/>
      <w:bookmarkStart w:id="398" w:name="_Toc34137395"/>
      <w:bookmarkEnd w:id="398"/>
      <w:bookmarkStart w:id="399" w:name="_Toc31869"/>
      <w:bookmarkStart w:id="400" w:name="_Toc4621"/>
      <w:bookmarkStart w:id="401" w:name="_Toc16803"/>
      <w:bookmarkStart w:id="402" w:name="_Toc27803"/>
      <w:bookmarkStart w:id="403" w:name="_Toc7673"/>
      <w:bookmarkStart w:id="404" w:name="_Toc30211"/>
      <w:bookmarkStart w:id="405" w:name="_Toc51751177"/>
      <w:bookmarkStart w:id="406" w:name="_Toc11351"/>
      <w:bookmarkStart w:id="407" w:name="_Toc29023"/>
      <w:r>
        <w:rPr>
          <w:rFonts w:hint="eastAsia" w:ascii="宋体" w:hAnsi="宋体" w:cs="宋体"/>
          <w:sz w:val="24"/>
          <w:szCs w:val="24"/>
        </w:rPr>
        <w:t>投标文件的密封、标记和递交</w:t>
      </w:r>
      <w:bookmarkEnd w:id="399"/>
      <w:bookmarkEnd w:id="400"/>
      <w:bookmarkEnd w:id="401"/>
      <w:bookmarkEnd w:id="402"/>
      <w:bookmarkEnd w:id="403"/>
      <w:bookmarkEnd w:id="404"/>
      <w:bookmarkEnd w:id="405"/>
      <w:bookmarkEnd w:id="406"/>
      <w:bookmarkEnd w:id="407"/>
    </w:p>
    <w:p>
      <w:pPr>
        <w:numPr>
          <w:ilvl w:val="1"/>
          <w:numId w:val="2"/>
        </w:numPr>
        <w:tabs>
          <w:tab w:val="left" w:pos="964"/>
        </w:tabs>
        <w:spacing w:line="360" w:lineRule="auto"/>
        <w:ind w:firstLine="480" w:firstLineChars="200"/>
        <w:rPr>
          <w:rFonts w:cs="宋体"/>
          <w:sz w:val="24"/>
        </w:rPr>
      </w:pPr>
      <w:r>
        <w:rPr>
          <w:rFonts w:hint="eastAsia" w:cs="宋体"/>
          <w:sz w:val="24"/>
        </w:rPr>
        <w:t>投标人应将投标文件正本和全部副本分别用信封密封，标明招标编号、投标人名称、投标货物名称及“正本”或“副本”字样，并在封口处加盖投标人公章。投标文件未密封将导致其投标被拒绝。</w:t>
      </w:r>
    </w:p>
    <w:p>
      <w:pPr>
        <w:numPr>
          <w:ilvl w:val="1"/>
          <w:numId w:val="2"/>
        </w:numPr>
        <w:tabs>
          <w:tab w:val="left" w:pos="964"/>
        </w:tabs>
        <w:spacing w:line="360" w:lineRule="auto"/>
        <w:ind w:firstLine="480" w:firstLineChars="200"/>
        <w:rPr>
          <w:rFonts w:cs="宋体"/>
          <w:sz w:val="24"/>
        </w:rPr>
      </w:pPr>
      <w:r>
        <w:rPr>
          <w:rFonts w:hint="eastAsia" w:cs="宋体"/>
          <w:sz w:val="24"/>
        </w:rPr>
        <w:t>每一信封密封处应加盖投标人公章。</w:t>
      </w:r>
    </w:p>
    <w:p>
      <w:pPr>
        <w:numPr>
          <w:ilvl w:val="1"/>
          <w:numId w:val="2"/>
        </w:numPr>
        <w:tabs>
          <w:tab w:val="left" w:pos="964"/>
        </w:tabs>
        <w:spacing w:line="360" w:lineRule="auto"/>
        <w:ind w:firstLine="480" w:firstLineChars="200"/>
        <w:rPr>
          <w:rFonts w:cs="宋体"/>
          <w:sz w:val="24"/>
        </w:rPr>
      </w:pPr>
      <w:r>
        <w:rPr>
          <w:rFonts w:hint="eastAsia" w:cs="宋体"/>
          <w:sz w:val="24"/>
        </w:rPr>
        <w:t>如果投标文件由邮局或专人送交，投标人应将投标文件按照本须知第14.1条至第14.2条的规定进行密封和标记后，按投标人须知前附表1注明的地址送至接收人。</w:t>
      </w:r>
    </w:p>
    <w:p>
      <w:pPr>
        <w:numPr>
          <w:ilvl w:val="1"/>
          <w:numId w:val="2"/>
        </w:numPr>
        <w:tabs>
          <w:tab w:val="left" w:pos="964"/>
        </w:tabs>
        <w:spacing w:line="360" w:lineRule="auto"/>
        <w:ind w:firstLine="480" w:firstLineChars="200"/>
        <w:rPr>
          <w:rFonts w:cs="宋体"/>
          <w:sz w:val="24"/>
        </w:rPr>
      </w:pPr>
      <w:r>
        <w:rPr>
          <w:rFonts w:hint="eastAsia" w:cs="宋体"/>
          <w:sz w:val="24"/>
        </w:rPr>
        <w:t>如果未按上述规定进行密封和标记，招标单位将不承担由此造成的对投标文件的误投或提前拆封的责任。</w:t>
      </w:r>
    </w:p>
    <w:p>
      <w:pPr>
        <w:numPr>
          <w:ilvl w:val="1"/>
          <w:numId w:val="2"/>
        </w:numPr>
        <w:tabs>
          <w:tab w:val="left" w:pos="964"/>
        </w:tabs>
        <w:spacing w:line="360" w:lineRule="auto"/>
        <w:ind w:firstLine="480" w:firstLineChars="200"/>
        <w:rPr>
          <w:rFonts w:cs="宋体"/>
          <w:sz w:val="24"/>
        </w:rPr>
      </w:pPr>
      <w:r>
        <w:rPr>
          <w:rFonts w:hint="eastAsia" w:cs="宋体"/>
          <w:sz w:val="24"/>
        </w:rPr>
        <w:t>投标文件应在投标邀请中规定的截止时间前送达，迟到的投标文件为无效投标文件, 将被拒收。</w:t>
      </w:r>
    </w:p>
    <w:p>
      <w:pPr>
        <w:numPr>
          <w:ilvl w:val="1"/>
          <w:numId w:val="2"/>
        </w:numPr>
        <w:tabs>
          <w:tab w:val="left" w:pos="964"/>
        </w:tabs>
        <w:spacing w:line="360" w:lineRule="auto"/>
        <w:ind w:firstLine="480" w:firstLineChars="200"/>
        <w:rPr>
          <w:rFonts w:cs="宋体"/>
          <w:sz w:val="24"/>
        </w:rPr>
      </w:pPr>
      <w:r>
        <w:rPr>
          <w:rFonts w:hint="eastAsia" w:cs="宋体"/>
          <w:sz w:val="24"/>
        </w:rPr>
        <w:t>投标人在投标截止时间前，可以对所提交的投标文件进行修改或者撤回，并书面通知招标单位。修改的内容和撤回通知应当按本须知要求签署、盖章、密封，并作为投标文件的组成部分。</w:t>
      </w:r>
    </w:p>
    <w:p>
      <w:pPr>
        <w:numPr>
          <w:ilvl w:val="1"/>
          <w:numId w:val="2"/>
        </w:numPr>
        <w:tabs>
          <w:tab w:val="left" w:pos="964"/>
        </w:tabs>
        <w:spacing w:line="360" w:lineRule="auto"/>
        <w:ind w:firstLine="480" w:firstLineChars="200"/>
        <w:rPr>
          <w:rFonts w:cs="宋体"/>
          <w:sz w:val="24"/>
        </w:rPr>
      </w:pPr>
      <w:r>
        <w:rPr>
          <w:rFonts w:hint="eastAsia" w:cs="宋体"/>
          <w:sz w:val="24"/>
        </w:rPr>
        <w:t>投标人在投标截止时间后不得修改、撤回投标文件。投标人在投标截止时间后修改投标文件的，其投标将被拒绝。</w:t>
      </w:r>
    </w:p>
    <w:p>
      <w:pPr>
        <w:numPr>
          <w:ilvl w:val="1"/>
          <w:numId w:val="2"/>
        </w:numPr>
        <w:tabs>
          <w:tab w:val="left" w:pos="964"/>
        </w:tabs>
        <w:spacing w:line="360" w:lineRule="auto"/>
        <w:ind w:firstLine="480" w:firstLineChars="200"/>
        <w:rPr>
          <w:rFonts w:cs="宋体"/>
          <w:sz w:val="24"/>
        </w:rPr>
      </w:pPr>
      <w:r>
        <w:rPr>
          <w:rFonts w:hint="eastAsia" w:cs="宋体"/>
          <w:sz w:val="24"/>
        </w:rPr>
        <w:t>投标截止时间结束后参加投标的投标人不足3家的，除采购任务取消情形外，招标采购单位将依法重新组织招标或者采用其他方式进行采购。</w:t>
      </w:r>
    </w:p>
    <w:p>
      <w:pPr>
        <w:pStyle w:val="3"/>
        <w:spacing w:before="0" w:after="0" w:line="360" w:lineRule="auto"/>
        <w:jc w:val="center"/>
        <w:rPr>
          <w:rFonts w:hint="eastAsia" w:ascii="宋体" w:hAnsi="宋体"/>
          <w:sz w:val="28"/>
          <w:szCs w:val="28"/>
        </w:rPr>
      </w:pPr>
      <w:bookmarkStart w:id="408" w:name="_Toc13887"/>
      <w:bookmarkEnd w:id="408"/>
      <w:bookmarkStart w:id="409" w:name="_Toc22725"/>
      <w:bookmarkEnd w:id="409"/>
      <w:bookmarkStart w:id="410" w:name="_Toc24549"/>
      <w:bookmarkEnd w:id="410"/>
      <w:bookmarkStart w:id="411" w:name="_Toc13422"/>
      <w:bookmarkEnd w:id="411"/>
      <w:bookmarkStart w:id="412" w:name="_Toc15566_WPSOffice_Level2"/>
      <w:bookmarkEnd w:id="412"/>
      <w:bookmarkStart w:id="413" w:name="_Toc5693"/>
      <w:bookmarkEnd w:id="413"/>
      <w:bookmarkStart w:id="414" w:name="_Toc28609"/>
      <w:bookmarkEnd w:id="414"/>
      <w:bookmarkStart w:id="415" w:name="_Toc15703"/>
      <w:bookmarkEnd w:id="415"/>
      <w:bookmarkStart w:id="416" w:name="_Toc34137396"/>
      <w:bookmarkEnd w:id="416"/>
      <w:bookmarkStart w:id="417" w:name="_Toc51751178"/>
      <w:bookmarkStart w:id="418" w:name="_Toc2382"/>
      <w:bookmarkStart w:id="419" w:name="_Toc13662"/>
      <w:bookmarkStart w:id="420" w:name="_Toc26981"/>
      <w:bookmarkStart w:id="421" w:name="_Toc148459129"/>
      <w:bookmarkStart w:id="422" w:name="_Toc17736"/>
      <w:bookmarkStart w:id="423" w:name="_Toc16870"/>
      <w:bookmarkStart w:id="424" w:name="_Toc20837"/>
      <w:bookmarkStart w:id="425" w:name="_Toc28377"/>
      <w:bookmarkStart w:id="426" w:name="_Toc4365"/>
      <w:bookmarkStart w:id="427" w:name="_Toc31115"/>
      <w:r>
        <w:rPr>
          <w:rFonts w:hint="eastAsia" w:ascii="宋体" w:hAnsi="宋体"/>
          <w:sz w:val="28"/>
          <w:szCs w:val="28"/>
        </w:rPr>
        <w:t>第</w:t>
      </w:r>
      <w:bookmarkEnd w:id="417"/>
      <w:r>
        <w:rPr>
          <w:rFonts w:hint="eastAsia" w:ascii="宋体" w:hAnsi="宋体"/>
          <w:sz w:val="28"/>
          <w:szCs w:val="28"/>
        </w:rPr>
        <w:t xml:space="preserve">五节  </w:t>
      </w:r>
      <w:bookmarkEnd w:id="418"/>
      <w:bookmarkEnd w:id="419"/>
      <w:r>
        <w:rPr>
          <w:rFonts w:hint="eastAsia" w:ascii="宋体" w:hAnsi="宋体"/>
          <w:sz w:val="28"/>
          <w:szCs w:val="28"/>
        </w:rPr>
        <w:t>开标和评标</w:t>
      </w:r>
      <w:bookmarkEnd w:id="420"/>
      <w:bookmarkEnd w:id="421"/>
      <w:bookmarkEnd w:id="422"/>
      <w:bookmarkEnd w:id="423"/>
      <w:bookmarkEnd w:id="424"/>
      <w:bookmarkEnd w:id="425"/>
      <w:bookmarkEnd w:id="426"/>
      <w:bookmarkEnd w:id="427"/>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28" w:name="_Toc8342"/>
      <w:bookmarkEnd w:id="428"/>
      <w:bookmarkStart w:id="429" w:name="_Toc34137397"/>
      <w:bookmarkEnd w:id="429"/>
      <w:bookmarkStart w:id="430" w:name="_Toc10864"/>
      <w:bookmarkEnd w:id="430"/>
      <w:bookmarkStart w:id="431" w:name="_Toc28109"/>
      <w:bookmarkEnd w:id="431"/>
      <w:bookmarkStart w:id="432" w:name="_Toc26681"/>
      <w:bookmarkEnd w:id="432"/>
      <w:bookmarkStart w:id="433" w:name="_Toc13648"/>
      <w:bookmarkEnd w:id="433"/>
      <w:bookmarkStart w:id="434" w:name="_Toc2770"/>
      <w:bookmarkEnd w:id="434"/>
      <w:bookmarkStart w:id="435" w:name="_Toc32132"/>
      <w:bookmarkEnd w:id="435"/>
      <w:bookmarkStart w:id="436" w:name="_Toc4473"/>
      <w:bookmarkStart w:id="437" w:name="_Toc14968"/>
      <w:bookmarkStart w:id="438" w:name="_Toc11550"/>
      <w:bookmarkStart w:id="439" w:name="_Toc13785"/>
      <w:bookmarkStart w:id="440" w:name="_Toc5479"/>
      <w:bookmarkStart w:id="441" w:name="_Toc22014"/>
      <w:bookmarkStart w:id="442" w:name="_Toc51751179"/>
      <w:bookmarkStart w:id="443" w:name="_Toc11757"/>
      <w:bookmarkStart w:id="444" w:name="_Toc25615"/>
      <w:r>
        <w:rPr>
          <w:rFonts w:hint="eastAsia" w:ascii="宋体" w:hAnsi="宋体" w:cs="宋体"/>
          <w:sz w:val="24"/>
          <w:szCs w:val="24"/>
        </w:rPr>
        <w:t>开标、评标时间</w:t>
      </w:r>
      <w:bookmarkEnd w:id="436"/>
      <w:bookmarkEnd w:id="437"/>
      <w:bookmarkEnd w:id="438"/>
      <w:bookmarkEnd w:id="439"/>
      <w:bookmarkEnd w:id="440"/>
      <w:bookmarkEnd w:id="441"/>
      <w:bookmarkEnd w:id="442"/>
      <w:bookmarkEnd w:id="443"/>
      <w:bookmarkEnd w:id="444"/>
    </w:p>
    <w:p>
      <w:pPr>
        <w:numPr>
          <w:ilvl w:val="1"/>
          <w:numId w:val="2"/>
        </w:numPr>
        <w:tabs>
          <w:tab w:val="left" w:pos="964"/>
        </w:tabs>
        <w:spacing w:line="360" w:lineRule="auto"/>
        <w:ind w:firstLine="480" w:firstLineChars="200"/>
        <w:rPr>
          <w:rFonts w:cs="宋体"/>
          <w:sz w:val="24"/>
        </w:rPr>
      </w:pPr>
      <w:r>
        <w:rPr>
          <w:rFonts w:hint="eastAsia" w:cs="宋体"/>
          <w:sz w:val="24"/>
        </w:rPr>
        <w:t>在《投标人须知前附表1》中所规定的时间、地点开标（如有推迟情形，以推迟后的时间、地点为准）。</w:t>
      </w:r>
    </w:p>
    <w:p>
      <w:pPr>
        <w:numPr>
          <w:ilvl w:val="1"/>
          <w:numId w:val="2"/>
        </w:numPr>
        <w:tabs>
          <w:tab w:val="left" w:pos="964"/>
        </w:tabs>
        <w:spacing w:line="360" w:lineRule="auto"/>
        <w:ind w:firstLine="480" w:firstLineChars="200"/>
        <w:rPr>
          <w:rFonts w:cs="宋体"/>
          <w:sz w:val="24"/>
        </w:rPr>
      </w:pPr>
      <w:r>
        <w:rPr>
          <w:rFonts w:hint="eastAsia" w:cs="宋体"/>
          <w:sz w:val="24"/>
        </w:rPr>
        <w:t>开标由招标单位主持，邀请有关方面代表参加。投标人一般应派授权代表参加开标会，并办理签到手续（如有需要的话）。</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45" w:name="_Toc9773"/>
      <w:bookmarkEnd w:id="445"/>
      <w:bookmarkStart w:id="446" w:name="_Toc18646"/>
      <w:bookmarkEnd w:id="446"/>
      <w:bookmarkStart w:id="447" w:name="_Toc22784"/>
      <w:bookmarkEnd w:id="447"/>
      <w:bookmarkStart w:id="448" w:name="_Toc32327"/>
      <w:bookmarkEnd w:id="448"/>
      <w:bookmarkStart w:id="449" w:name="_Toc21170"/>
      <w:bookmarkEnd w:id="449"/>
      <w:bookmarkStart w:id="450" w:name="_Toc20604"/>
      <w:bookmarkEnd w:id="450"/>
      <w:bookmarkStart w:id="451" w:name="_Toc12182"/>
      <w:bookmarkEnd w:id="451"/>
      <w:bookmarkStart w:id="452" w:name="_Toc34137398"/>
      <w:bookmarkEnd w:id="452"/>
      <w:bookmarkStart w:id="453" w:name="_Toc32174"/>
      <w:bookmarkStart w:id="454" w:name="_Toc18464"/>
      <w:bookmarkStart w:id="455" w:name="_Toc7809"/>
      <w:bookmarkStart w:id="456" w:name="_Toc10650"/>
      <w:bookmarkStart w:id="457" w:name="_Toc1411"/>
      <w:bookmarkStart w:id="458" w:name="_Toc25290"/>
      <w:r>
        <w:rPr>
          <w:rFonts w:hint="eastAsia" w:ascii="宋体" w:hAnsi="宋体" w:cs="宋体"/>
          <w:sz w:val="24"/>
          <w:szCs w:val="24"/>
        </w:rPr>
        <w:t>评标</w:t>
      </w:r>
      <w:bookmarkEnd w:id="453"/>
      <w:bookmarkEnd w:id="454"/>
      <w:bookmarkEnd w:id="455"/>
      <w:bookmarkEnd w:id="456"/>
      <w:bookmarkEnd w:id="457"/>
      <w:bookmarkEnd w:id="458"/>
    </w:p>
    <w:p>
      <w:pPr>
        <w:numPr>
          <w:ilvl w:val="1"/>
          <w:numId w:val="2"/>
        </w:numPr>
        <w:tabs>
          <w:tab w:val="left" w:pos="964"/>
        </w:tabs>
        <w:spacing w:line="360" w:lineRule="auto"/>
        <w:ind w:firstLine="480" w:firstLineChars="200"/>
        <w:rPr>
          <w:rFonts w:cs="宋体"/>
          <w:sz w:val="24"/>
        </w:rPr>
      </w:pPr>
      <w:r>
        <w:rPr>
          <w:rFonts w:hint="eastAsia" w:cs="宋体"/>
          <w:sz w:val="24"/>
        </w:rPr>
        <w:t>评标委员会将按照招标文件第三章“评标办法”的规定进行评标。</w:t>
      </w:r>
    </w:p>
    <w:p>
      <w:pPr>
        <w:pStyle w:val="66"/>
        <w:ind w:firstLine="261"/>
        <w:rPr>
          <w:rFonts w:hint="eastAsia" w:ascii="宋体" w:hAnsi="宋体"/>
        </w:rPr>
      </w:pPr>
    </w:p>
    <w:p>
      <w:pPr>
        <w:pStyle w:val="3"/>
        <w:spacing w:before="0" w:after="0" w:line="360" w:lineRule="auto"/>
        <w:jc w:val="center"/>
        <w:rPr>
          <w:rFonts w:hint="eastAsia" w:ascii="宋体" w:hAnsi="宋体"/>
          <w:sz w:val="28"/>
          <w:szCs w:val="28"/>
        </w:rPr>
      </w:pPr>
      <w:bookmarkStart w:id="459" w:name="_Toc19423"/>
      <w:bookmarkEnd w:id="459"/>
      <w:bookmarkStart w:id="460" w:name="_Toc19702"/>
      <w:bookmarkEnd w:id="460"/>
      <w:bookmarkStart w:id="461" w:name="_Toc34137402"/>
      <w:bookmarkEnd w:id="461"/>
      <w:bookmarkStart w:id="462" w:name="_Toc20398"/>
      <w:bookmarkEnd w:id="462"/>
      <w:bookmarkStart w:id="463" w:name="_Toc26416_WPSOffice_Level2"/>
      <w:bookmarkEnd w:id="463"/>
      <w:bookmarkStart w:id="464" w:name="_Toc7940"/>
      <w:bookmarkEnd w:id="464"/>
      <w:bookmarkStart w:id="465" w:name="_Toc18240"/>
      <w:bookmarkEnd w:id="465"/>
      <w:bookmarkStart w:id="466" w:name="_Toc16858"/>
      <w:bookmarkEnd w:id="466"/>
      <w:bookmarkStart w:id="467" w:name="_Toc18457"/>
      <w:bookmarkEnd w:id="467"/>
      <w:bookmarkStart w:id="468" w:name="_Toc51751184"/>
      <w:bookmarkStart w:id="469" w:name="_Toc23767"/>
      <w:bookmarkStart w:id="470" w:name="_Toc9438"/>
      <w:bookmarkStart w:id="471" w:name="_Toc31649"/>
      <w:bookmarkStart w:id="472" w:name="_Toc23738"/>
      <w:bookmarkStart w:id="473" w:name="_Toc148459130"/>
      <w:bookmarkStart w:id="474" w:name="_Toc513"/>
      <w:bookmarkStart w:id="475" w:name="_Toc6692"/>
      <w:bookmarkStart w:id="476" w:name="_Toc26192"/>
      <w:bookmarkStart w:id="477" w:name="_Toc23159"/>
      <w:bookmarkStart w:id="478" w:name="_Toc7375"/>
      <w:r>
        <w:rPr>
          <w:rFonts w:hint="eastAsia" w:ascii="宋体" w:hAnsi="宋体"/>
          <w:sz w:val="28"/>
          <w:szCs w:val="28"/>
        </w:rPr>
        <w:t>第</w:t>
      </w:r>
      <w:bookmarkEnd w:id="468"/>
      <w:r>
        <w:rPr>
          <w:rFonts w:hint="eastAsia" w:ascii="宋体" w:hAnsi="宋体"/>
          <w:sz w:val="28"/>
          <w:szCs w:val="28"/>
        </w:rPr>
        <w:t>六节  定标与签订合同</w:t>
      </w:r>
      <w:bookmarkEnd w:id="469"/>
      <w:bookmarkEnd w:id="470"/>
      <w:bookmarkEnd w:id="471"/>
      <w:bookmarkEnd w:id="472"/>
      <w:bookmarkEnd w:id="473"/>
      <w:bookmarkEnd w:id="474"/>
      <w:bookmarkEnd w:id="475"/>
      <w:bookmarkEnd w:id="476"/>
      <w:bookmarkEnd w:id="477"/>
      <w:bookmarkEnd w:id="478"/>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79" w:name="_Toc1470"/>
      <w:bookmarkEnd w:id="479"/>
      <w:bookmarkStart w:id="480" w:name="_Toc34137403"/>
      <w:bookmarkEnd w:id="480"/>
      <w:bookmarkStart w:id="481" w:name="_Toc22708"/>
      <w:bookmarkEnd w:id="481"/>
      <w:bookmarkStart w:id="482" w:name="_Toc3332"/>
      <w:bookmarkEnd w:id="482"/>
      <w:bookmarkStart w:id="483" w:name="_Toc16610"/>
      <w:bookmarkEnd w:id="483"/>
      <w:bookmarkStart w:id="484" w:name="_Toc28843"/>
      <w:bookmarkEnd w:id="484"/>
      <w:bookmarkStart w:id="485" w:name="_Toc13322"/>
      <w:bookmarkEnd w:id="485"/>
      <w:bookmarkStart w:id="486" w:name="_Toc29944"/>
      <w:bookmarkEnd w:id="486"/>
      <w:bookmarkStart w:id="487" w:name="_Toc3012"/>
      <w:bookmarkStart w:id="488" w:name="_Toc24162"/>
      <w:bookmarkStart w:id="489" w:name="_Toc13793"/>
      <w:bookmarkStart w:id="490" w:name="_Toc386"/>
      <w:bookmarkStart w:id="491" w:name="_Toc2796"/>
      <w:bookmarkStart w:id="492" w:name="_Toc25375"/>
      <w:bookmarkStart w:id="493" w:name="_Toc8077"/>
      <w:bookmarkStart w:id="494" w:name="_Toc51751185"/>
      <w:r>
        <w:rPr>
          <w:rFonts w:hint="eastAsia" w:ascii="宋体" w:hAnsi="宋体" w:cs="宋体"/>
          <w:sz w:val="24"/>
          <w:szCs w:val="24"/>
        </w:rPr>
        <w:t>定标准则</w:t>
      </w:r>
      <w:bookmarkEnd w:id="487"/>
      <w:bookmarkEnd w:id="488"/>
      <w:bookmarkEnd w:id="489"/>
      <w:bookmarkEnd w:id="490"/>
      <w:bookmarkEnd w:id="491"/>
      <w:bookmarkEnd w:id="492"/>
      <w:bookmarkEnd w:id="493"/>
      <w:bookmarkEnd w:id="494"/>
    </w:p>
    <w:p>
      <w:pPr>
        <w:numPr>
          <w:ilvl w:val="1"/>
          <w:numId w:val="2"/>
        </w:numPr>
        <w:tabs>
          <w:tab w:val="left" w:pos="964"/>
        </w:tabs>
        <w:spacing w:line="360" w:lineRule="auto"/>
        <w:ind w:firstLine="480" w:firstLineChars="200"/>
        <w:rPr>
          <w:rFonts w:cs="宋体"/>
          <w:sz w:val="24"/>
        </w:rPr>
      </w:pPr>
      <w:r>
        <w:rPr>
          <w:rFonts w:hint="eastAsia" w:cs="宋体"/>
          <w:sz w:val="24"/>
        </w:rPr>
        <w:t>最低投标价不作为中标的保证。</w:t>
      </w:r>
    </w:p>
    <w:p>
      <w:pPr>
        <w:numPr>
          <w:ilvl w:val="1"/>
          <w:numId w:val="2"/>
        </w:numPr>
        <w:tabs>
          <w:tab w:val="left" w:pos="964"/>
        </w:tabs>
        <w:spacing w:line="360" w:lineRule="auto"/>
        <w:ind w:firstLine="480" w:firstLineChars="200"/>
        <w:rPr>
          <w:rFonts w:hint="default" w:cs="宋体"/>
          <w:sz w:val="24"/>
          <w:szCs w:val="22"/>
          <w:lang w:val="en-US" w:eastAsia="zh-CN"/>
        </w:rPr>
      </w:pPr>
      <w:r>
        <w:rPr>
          <w:rFonts w:hint="eastAsia" w:cs="宋体"/>
          <w:sz w:val="24"/>
          <w:szCs w:val="22"/>
        </w:rPr>
        <w:t>投标人的投标文件符合招标文件要求，按招标文件确定评标方法、标准，经评委评审并推荐中标候选人。</w:t>
      </w:r>
    </w:p>
    <w:p>
      <w:pPr>
        <w:numPr>
          <w:ilvl w:val="1"/>
          <w:numId w:val="2"/>
        </w:numPr>
        <w:tabs>
          <w:tab w:val="left" w:pos="964"/>
        </w:tabs>
        <w:spacing w:line="360" w:lineRule="auto"/>
        <w:ind w:firstLine="480" w:firstLineChars="200"/>
        <w:rPr>
          <w:rFonts w:hint="default" w:cs="宋体"/>
          <w:color w:val="auto"/>
          <w:sz w:val="24"/>
          <w:szCs w:val="22"/>
          <w:lang w:val="en-US" w:eastAsia="zh-CN"/>
        </w:rPr>
      </w:pPr>
      <w:r>
        <w:rPr>
          <w:rFonts w:hint="eastAsia" w:cs="宋体"/>
          <w:color w:val="auto"/>
          <w:sz w:val="24"/>
          <w:szCs w:val="22"/>
          <w:lang w:val="en-US" w:eastAsia="zh-CN"/>
        </w:rPr>
        <w:t>若出现以下情况，招标人有权要求投标人进行二次报价：</w:t>
      </w:r>
    </w:p>
    <w:p>
      <w:pPr>
        <w:numPr>
          <w:ilvl w:val="2"/>
          <w:numId w:val="2"/>
        </w:numPr>
        <w:tabs>
          <w:tab w:val="left" w:pos="964"/>
        </w:tabs>
        <w:spacing w:line="360" w:lineRule="auto"/>
        <w:ind w:firstLine="480" w:firstLineChars="200"/>
        <w:rPr>
          <w:rFonts w:hint="eastAsia" w:cs="宋体"/>
          <w:color w:val="auto"/>
          <w:sz w:val="24"/>
          <w:szCs w:val="22"/>
        </w:rPr>
      </w:pPr>
      <w:r>
        <w:rPr>
          <w:rFonts w:hint="eastAsia" w:cs="宋体"/>
          <w:color w:val="auto"/>
          <w:sz w:val="24"/>
          <w:szCs w:val="22"/>
          <w:lang w:val="en-US" w:eastAsia="zh-CN"/>
        </w:rPr>
        <w:t>所有有效投标人的初次报价均超出项目预算；</w:t>
      </w:r>
    </w:p>
    <w:p>
      <w:pPr>
        <w:numPr>
          <w:ilvl w:val="2"/>
          <w:numId w:val="2"/>
        </w:numPr>
        <w:tabs>
          <w:tab w:val="left" w:pos="964"/>
        </w:tabs>
        <w:spacing w:line="360" w:lineRule="auto"/>
        <w:ind w:firstLine="480" w:firstLineChars="200"/>
        <w:rPr>
          <w:rFonts w:hint="eastAsia" w:cs="宋体"/>
          <w:color w:val="auto"/>
          <w:sz w:val="24"/>
          <w:szCs w:val="22"/>
        </w:rPr>
      </w:pPr>
      <w:r>
        <w:rPr>
          <w:rFonts w:hint="eastAsia" w:cs="宋体"/>
          <w:color w:val="auto"/>
          <w:sz w:val="24"/>
          <w:szCs w:val="22"/>
          <w:lang w:val="en-US" w:eastAsia="zh-CN"/>
        </w:rPr>
        <w:t>评标小组认为报价存在不合理或需进一步澄清的情况；</w:t>
      </w:r>
    </w:p>
    <w:p>
      <w:pPr>
        <w:numPr>
          <w:ilvl w:val="2"/>
          <w:numId w:val="2"/>
        </w:numPr>
        <w:tabs>
          <w:tab w:val="left" w:pos="964"/>
        </w:tabs>
        <w:spacing w:line="360" w:lineRule="auto"/>
        <w:ind w:firstLine="480" w:firstLineChars="200"/>
        <w:rPr>
          <w:rFonts w:hint="default" w:cs="宋体"/>
          <w:color w:val="auto"/>
          <w:sz w:val="24"/>
          <w:szCs w:val="22"/>
          <w:lang w:val="en-US" w:eastAsia="zh-CN"/>
        </w:rPr>
      </w:pPr>
      <w:r>
        <w:rPr>
          <w:rFonts w:hint="eastAsia" w:cs="宋体"/>
          <w:color w:val="auto"/>
          <w:sz w:val="24"/>
          <w:szCs w:val="22"/>
          <w:lang w:val="en-US" w:eastAsia="zh-CN"/>
        </w:rPr>
        <w:t>二次报价不得高于初次报价，且需基于相同的技术方案和服务承诺。未收到二次报价通知的投标人，其初次报价仍为最终报价。</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95" w:name="_Toc22917"/>
      <w:bookmarkStart w:id="496" w:name="_Toc19512"/>
      <w:bookmarkStart w:id="497" w:name="_Toc7414"/>
      <w:bookmarkStart w:id="498" w:name="_Toc7697"/>
      <w:bookmarkStart w:id="499" w:name="_Toc18820"/>
      <w:bookmarkStart w:id="500" w:name="_Toc958"/>
      <w:r>
        <w:rPr>
          <w:rFonts w:hint="eastAsia" w:ascii="宋体" w:hAnsi="宋体" w:cs="宋体"/>
          <w:sz w:val="24"/>
          <w:szCs w:val="24"/>
        </w:rPr>
        <w:t>接受和拒绝任何或所有投标的权利</w:t>
      </w:r>
      <w:bookmarkEnd w:id="495"/>
      <w:bookmarkEnd w:id="496"/>
      <w:bookmarkEnd w:id="497"/>
      <w:bookmarkEnd w:id="498"/>
      <w:bookmarkEnd w:id="499"/>
      <w:bookmarkEnd w:id="500"/>
    </w:p>
    <w:p>
      <w:pPr>
        <w:numPr>
          <w:ilvl w:val="1"/>
          <w:numId w:val="2"/>
        </w:numPr>
        <w:tabs>
          <w:tab w:val="left" w:pos="964"/>
        </w:tabs>
        <w:spacing w:line="360" w:lineRule="auto"/>
        <w:ind w:firstLine="480" w:firstLineChars="200"/>
        <w:rPr>
          <w:rFonts w:cs="宋体"/>
          <w:sz w:val="24"/>
        </w:rPr>
      </w:pPr>
      <w:r>
        <w:rPr>
          <w:rFonts w:hint="eastAsia" w:cs="宋体"/>
          <w:sz w:val="24"/>
        </w:rPr>
        <w:t>招标单位保留在定标之前任何时候接受或拒绝任何投标，以及宣布招标程序无效或拒绝所有投标的权利，对受影响的投标人不承担任何责任，也无义务向受影响的投标人解释采取这一行动的理由。</w:t>
      </w:r>
    </w:p>
    <w:p>
      <w:pPr>
        <w:pStyle w:val="64"/>
        <w:rPr>
          <w:rFonts w:hint="eastAsia" w:cs="宋体"/>
        </w:rPr>
      </w:pP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501" w:name="_Toc34137404"/>
      <w:bookmarkEnd w:id="501"/>
      <w:bookmarkStart w:id="502" w:name="_Toc5627"/>
      <w:bookmarkEnd w:id="502"/>
      <w:bookmarkStart w:id="503" w:name="_Toc3739"/>
      <w:bookmarkEnd w:id="503"/>
      <w:bookmarkStart w:id="504" w:name="_Toc19932"/>
      <w:bookmarkEnd w:id="504"/>
      <w:bookmarkStart w:id="505" w:name="_Toc12366"/>
      <w:bookmarkEnd w:id="505"/>
      <w:bookmarkStart w:id="506" w:name="_Toc707"/>
      <w:bookmarkEnd w:id="506"/>
      <w:bookmarkStart w:id="507" w:name="_Toc3543"/>
      <w:bookmarkEnd w:id="507"/>
      <w:bookmarkStart w:id="508" w:name="_Toc28490"/>
      <w:bookmarkEnd w:id="508"/>
      <w:bookmarkStart w:id="509" w:name="_Toc8146"/>
      <w:bookmarkStart w:id="510" w:name="_Toc4700"/>
      <w:bookmarkStart w:id="511" w:name="_Toc51751186"/>
      <w:bookmarkStart w:id="512" w:name="_Toc4183"/>
      <w:bookmarkStart w:id="513" w:name="_Toc6499"/>
      <w:bookmarkStart w:id="514" w:name="_Toc32700"/>
      <w:bookmarkStart w:id="515" w:name="_Toc19804"/>
      <w:bookmarkStart w:id="516" w:name="_Toc9803"/>
      <w:r>
        <w:rPr>
          <w:rFonts w:hint="eastAsia" w:ascii="宋体" w:hAnsi="宋体" w:cs="宋体"/>
          <w:sz w:val="24"/>
          <w:szCs w:val="24"/>
        </w:rPr>
        <w:t>中标通知</w:t>
      </w:r>
      <w:bookmarkEnd w:id="509"/>
      <w:bookmarkEnd w:id="510"/>
      <w:bookmarkEnd w:id="511"/>
      <w:bookmarkEnd w:id="512"/>
      <w:bookmarkEnd w:id="513"/>
      <w:bookmarkEnd w:id="514"/>
      <w:bookmarkEnd w:id="515"/>
      <w:bookmarkEnd w:id="516"/>
    </w:p>
    <w:p>
      <w:pPr>
        <w:numPr>
          <w:ilvl w:val="1"/>
          <w:numId w:val="2"/>
        </w:numPr>
        <w:tabs>
          <w:tab w:val="left" w:pos="964"/>
        </w:tabs>
        <w:spacing w:line="360" w:lineRule="auto"/>
        <w:ind w:firstLine="480" w:firstLineChars="200"/>
        <w:rPr>
          <w:rFonts w:cs="宋体"/>
          <w:sz w:val="24"/>
        </w:rPr>
      </w:pPr>
      <w:r>
        <w:rPr>
          <w:rFonts w:hint="eastAsia" w:cs="宋体"/>
          <w:sz w:val="24"/>
        </w:rPr>
        <w:t>评标结束后，评标结果经招标人确认后，招标单位应在刊登本采购项目招标公告的媒介上对中标结果进行公示，公示期满后，招标单位向中标人发出中标通知书。《中标通知书》对招标人和中标人具有同等法律效力。《中标通知书》发出后，招标人改变中标结果，或者中标人放弃中标，应当承担相应的法律责任。</w:t>
      </w:r>
    </w:p>
    <w:p>
      <w:pPr>
        <w:numPr>
          <w:ilvl w:val="1"/>
          <w:numId w:val="2"/>
        </w:numPr>
        <w:tabs>
          <w:tab w:val="left" w:pos="964"/>
        </w:tabs>
        <w:spacing w:line="360" w:lineRule="auto"/>
        <w:ind w:firstLine="480" w:firstLineChars="200"/>
        <w:rPr>
          <w:rFonts w:cs="宋体"/>
          <w:sz w:val="24"/>
        </w:rPr>
      </w:pPr>
      <w:r>
        <w:rPr>
          <w:rFonts w:hint="eastAsia" w:cs="宋体"/>
          <w:sz w:val="24"/>
        </w:rPr>
        <w:t>投标人对评标结果有异议的，应当在中标公示期内，以书面形式向招标代理机构提出质疑。</w:t>
      </w:r>
    </w:p>
    <w:p>
      <w:pPr>
        <w:numPr>
          <w:ilvl w:val="1"/>
          <w:numId w:val="2"/>
        </w:numPr>
        <w:tabs>
          <w:tab w:val="left" w:pos="964"/>
        </w:tabs>
        <w:spacing w:line="360" w:lineRule="auto"/>
        <w:ind w:firstLine="480" w:firstLineChars="200"/>
        <w:rPr>
          <w:rFonts w:cs="宋体"/>
          <w:sz w:val="24"/>
        </w:rPr>
      </w:pPr>
      <w:r>
        <w:rPr>
          <w:rFonts w:hint="eastAsia" w:cs="宋体"/>
          <w:sz w:val="24"/>
        </w:rPr>
        <w:t>《中标通知书》将作为签订合同的依据。合同签订后，《中标通知书》成为合同的一部分。</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517" w:name="_Toc32562"/>
      <w:bookmarkEnd w:id="517"/>
      <w:bookmarkStart w:id="518" w:name="_Toc20573"/>
      <w:bookmarkEnd w:id="518"/>
      <w:bookmarkStart w:id="519" w:name="_Toc1783"/>
      <w:bookmarkEnd w:id="519"/>
      <w:bookmarkStart w:id="520" w:name="_Toc10106"/>
      <w:bookmarkEnd w:id="520"/>
      <w:bookmarkStart w:id="521" w:name="_Toc11570"/>
      <w:bookmarkEnd w:id="521"/>
      <w:bookmarkStart w:id="522" w:name="_Toc24171"/>
      <w:bookmarkEnd w:id="522"/>
      <w:bookmarkStart w:id="523" w:name="_Toc34137405"/>
      <w:bookmarkEnd w:id="523"/>
      <w:bookmarkStart w:id="524" w:name="_Toc19582"/>
      <w:bookmarkEnd w:id="524"/>
      <w:bookmarkStart w:id="525" w:name="_Toc31503"/>
      <w:bookmarkStart w:id="526" w:name="_Toc29987"/>
      <w:bookmarkStart w:id="527" w:name="_Toc14715"/>
      <w:bookmarkStart w:id="528" w:name="_Toc3021"/>
      <w:bookmarkStart w:id="529" w:name="_Toc28678"/>
      <w:bookmarkStart w:id="530" w:name="_Toc13890"/>
      <w:bookmarkStart w:id="531" w:name="_Toc51751187"/>
      <w:bookmarkStart w:id="532" w:name="_Toc3776"/>
      <w:r>
        <w:rPr>
          <w:rFonts w:hint="eastAsia" w:ascii="宋体" w:hAnsi="宋体" w:cs="宋体"/>
          <w:sz w:val="24"/>
          <w:szCs w:val="24"/>
        </w:rPr>
        <w:t>签订合同</w:t>
      </w:r>
      <w:bookmarkEnd w:id="525"/>
      <w:bookmarkEnd w:id="526"/>
      <w:bookmarkEnd w:id="527"/>
      <w:bookmarkEnd w:id="528"/>
      <w:bookmarkEnd w:id="529"/>
      <w:bookmarkEnd w:id="530"/>
      <w:bookmarkEnd w:id="531"/>
      <w:bookmarkEnd w:id="532"/>
    </w:p>
    <w:p>
      <w:pPr>
        <w:numPr>
          <w:ilvl w:val="1"/>
          <w:numId w:val="2"/>
        </w:numPr>
        <w:tabs>
          <w:tab w:val="left" w:pos="964"/>
        </w:tabs>
        <w:spacing w:line="360" w:lineRule="auto"/>
        <w:ind w:firstLine="480" w:firstLineChars="200"/>
        <w:rPr>
          <w:rFonts w:cs="宋体"/>
          <w:sz w:val="24"/>
        </w:rPr>
      </w:pPr>
      <w:r>
        <w:rPr>
          <w:rFonts w:hint="eastAsia" w:cs="宋体"/>
          <w:sz w:val="24"/>
        </w:rPr>
        <w:t>招标人（或招标人指定的合同签订单位）、中标人应当在《中标通知书》发出之日起7日内，根据招标文件确定的事项和中标人的投标文件，参照本招标文件第五章的《合同》文本签订合同。逾期未签订合同，按照有关法律规定承担相应的法律责任。属中标人责任的，招标单位将没收其投标保证金，以抵偿对招标人造成的损失。</w:t>
      </w:r>
    </w:p>
    <w:p>
      <w:pPr>
        <w:numPr>
          <w:ilvl w:val="1"/>
          <w:numId w:val="2"/>
        </w:numPr>
        <w:tabs>
          <w:tab w:val="left" w:pos="964"/>
        </w:tabs>
        <w:spacing w:line="360" w:lineRule="auto"/>
        <w:ind w:firstLine="480" w:firstLineChars="200"/>
        <w:rPr>
          <w:rFonts w:cs="宋体"/>
          <w:sz w:val="24"/>
        </w:rPr>
      </w:pPr>
      <w:r>
        <w:rPr>
          <w:rFonts w:hint="eastAsia" w:cs="宋体"/>
          <w:sz w:val="24"/>
        </w:rPr>
        <w:t>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pPr>
        <w:numPr>
          <w:ilvl w:val="1"/>
          <w:numId w:val="2"/>
        </w:numPr>
        <w:tabs>
          <w:tab w:val="left" w:pos="964"/>
        </w:tabs>
        <w:spacing w:line="360" w:lineRule="auto"/>
        <w:ind w:firstLine="480" w:firstLineChars="200"/>
        <w:rPr>
          <w:rFonts w:cs="宋体"/>
          <w:sz w:val="24"/>
        </w:rPr>
      </w:pPr>
      <w:r>
        <w:rPr>
          <w:rFonts w:hint="eastAsia" w:cs="宋体"/>
          <w:sz w:val="24"/>
        </w:rPr>
        <w:t>中标人因不可抗力或者自身原因不能履行合同的，招标人可以与其他中标候选人签订合同，或重新组织采购。</w:t>
      </w:r>
    </w:p>
    <w:p>
      <w:pPr>
        <w:pStyle w:val="3"/>
        <w:spacing w:line="360" w:lineRule="auto"/>
        <w:jc w:val="center"/>
        <w:rPr>
          <w:rFonts w:hint="eastAsia" w:ascii="宋体" w:hAnsi="宋体"/>
          <w:sz w:val="28"/>
          <w:szCs w:val="28"/>
        </w:rPr>
      </w:pPr>
      <w:bookmarkStart w:id="533" w:name="_Toc672"/>
      <w:bookmarkStart w:id="534" w:name="_Toc29529"/>
      <w:bookmarkStart w:id="535" w:name="_Toc2941"/>
      <w:bookmarkStart w:id="536" w:name="_Toc23835"/>
      <w:bookmarkStart w:id="537" w:name="_Toc148459131"/>
      <w:bookmarkStart w:id="538" w:name="_Toc12412"/>
      <w:bookmarkStart w:id="539" w:name="_Toc31326"/>
      <w:bookmarkStart w:id="540" w:name="_Toc30387"/>
      <w:r>
        <w:rPr>
          <w:rFonts w:hint="eastAsia" w:ascii="宋体" w:hAnsi="宋体"/>
          <w:sz w:val="28"/>
          <w:szCs w:val="28"/>
        </w:rPr>
        <w:t>第七节  询问与异议</w:t>
      </w:r>
      <w:bookmarkEnd w:id="533"/>
      <w:bookmarkEnd w:id="534"/>
      <w:bookmarkEnd w:id="535"/>
      <w:bookmarkEnd w:id="536"/>
      <w:bookmarkEnd w:id="537"/>
      <w:bookmarkEnd w:id="538"/>
      <w:bookmarkEnd w:id="539"/>
      <w:bookmarkEnd w:id="540"/>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541" w:name="_Toc20626"/>
      <w:bookmarkStart w:id="542" w:name="_Toc5548"/>
      <w:bookmarkStart w:id="543" w:name="_Toc26697"/>
      <w:bookmarkStart w:id="544" w:name="_Toc20160"/>
      <w:bookmarkStart w:id="545" w:name="_Toc23518"/>
      <w:bookmarkStart w:id="546" w:name="_Toc28881"/>
      <w:r>
        <w:rPr>
          <w:rFonts w:hint="eastAsia" w:ascii="宋体" w:hAnsi="宋体" w:cs="宋体"/>
          <w:sz w:val="24"/>
          <w:szCs w:val="24"/>
        </w:rPr>
        <w:t>询问</w:t>
      </w:r>
      <w:bookmarkEnd w:id="541"/>
      <w:bookmarkEnd w:id="542"/>
      <w:bookmarkEnd w:id="543"/>
      <w:bookmarkEnd w:id="544"/>
      <w:bookmarkEnd w:id="545"/>
      <w:bookmarkEnd w:id="546"/>
    </w:p>
    <w:p>
      <w:pPr>
        <w:numPr>
          <w:ilvl w:val="1"/>
          <w:numId w:val="2"/>
        </w:numPr>
        <w:tabs>
          <w:tab w:val="left" w:pos="964"/>
        </w:tabs>
        <w:spacing w:line="360" w:lineRule="auto"/>
        <w:ind w:firstLine="480" w:firstLineChars="200"/>
        <w:rPr>
          <w:rFonts w:cs="宋体"/>
          <w:sz w:val="24"/>
          <w:szCs w:val="24"/>
        </w:rPr>
      </w:pPr>
      <w:r>
        <w:rPr>
          <w:rFonts w:hint="eastAsia" w:cs="宋体"/>
          <w:sz w:val="24"/>
        </w:rPr>
        <w:t xml:space="preserve"> 潜在投标人或投标人对本次招标活动的有关事项若有疑问，可向招标单位提出询问，招标单位将按照有关规定进行答复。</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547" w:name="_Toc8373"/>
      <w:bookmarkStart w:id="548" w:name="_Toc31729"/>
      <w:bookmarkStart w:id="549" w:name="_Toc23640"/>
      <w:bookmarkStart w:id="550" w:name="_Toc6677"/>
      <w:bookmarkStart w:id="551" w:name="_Toc24339"/>
      <w:bookmarkStart w:id="552" w:name="_Toc9881"/>
      <w:r>
        <w:rPr>
          <w:rFonts w:hint="eastAsia" w:ascii="宋体" w:hAnsi="宋体" w:cs="宋体"/>
          <w:sz w:val="24"/>
          <w:szCs w:val="24"/>
        </w:rPr>
        <w:t>异议</w:t>
      </w:r>
      <w:bookmarkEnd w:id="547"/>
      <w:bookmarkEnd w:id="548"/>
      <w:bookmarkEnd w:id="549"/>
      <w:bookmarkEnd w:id="550"/>
      <w:bookmarkEnd w:id="551"/>
      <w:bookmarkEnd w:id="552"/>
    </w:p>
    <w:p>
      <w:pPr>
        <w:numPr>
          <w:ilvl w:val="1"/>
          <w:numId w:val="2"/>
        </w:numPr>
        <w:tabs>
          <w:tab w:val="left" w:pos="964"/>
        </w:tabs>
        <w:spacing w:line="360" w:lineRule="auto"/>
        <w:ind w:firstLine="480" w:firstLineChars="200"/>
        <w:rPr>
          <w:rFonts w:cs="宋体"/>
          <w:sz w:val="24"/>
        </w:rPr>
      </w:pPr>
      <w:r>
        <w:rPr>
          <w:rFonts w:hint="eastAsia" w:cs="宋体"/>
          <w:sz w:val="24"/>
        </w:rPr>
        <w:t>投标人对本项目提出的异议应符合招标投标相关法律法规的规定。超过法定期限提出的异议，招标人可不予受理。</w:t>
      </w:r>
    </w:p>
    <w:p>
      <w:pPr>
        <w:numPr>
          <w:ilvl w:val="1"/>
          <w:numId w:val="2"/>
        </w:numPr>
        <w:tabs>
          <w:tab w:val="left" w:pos="964"/>
        </w:tabs>
        <w:spacing w:line="360" w:lineRule="auto"/>
        <w:ind w:firstLine="480" w:firstLineChars="200"/>
        <w:rPr>
          <w:rFonts w:cs="宋体"/>
          <w:sz w:val="24"/>
        </w:rPr>
      </w:pPr>
      <w:r>
        <w:rPr>
          <w:rFonts w:hint="eastAsia" w:cs="宋体"/>
          <w:sz w:val="24"/>
        </w:rPr>
        <w:t>除针对开标提出的异议外，针对招标文件、招标过程、结果的异议应符合下列条件：</w:t>
      </w:r>
    </w:p>
    <w:p>
      <w:pPr>
        <w:spacing w:line="360" w:lineRule="auto"/>
        <w:ind w:firstLine="420" w:firstLineChars="175"/>
        <w:rPr>
          <w:rFonts w:cs="宋体"/>
          <w:sz w:val="24"/>
        </w:rPr>
      </w:pPr>
      <w:r>
        <w:rPr>
          <w:rFonts w:hint="eastAsia" w:cs="宋体"/>
          <w:sz w:val="24"/>
        </w:rPr>
        <w:t>（1）对招标文件提出异议的，异议人应为潜在投标人或者其他利害关系人。对招标过程、结果提出异议的，异议人应为投标人或者其他利害关系人。</w:t>
      </w:r>
    </w:p>
    <w:p>
      <w:pPr>
        <w:spacing w:line="360" w:lineRule="auto"/>
        <w:ind w:firstLine="420" w:firstLineChars="175"/>
        <w:rPr>
          <w:rFonts w:cs="宋体"/>
          <w:sz w:val="24"/>
        </w:rPr>
      </w:pPr>
      <w:r>
        <w:rPr>
          <w:rFonts w:hint="eastAsia" w:cs="宋体"/>
          <w:sz w:val="24"/>
        </w:rPr>
        <w:t>（2）异议人应按照招标文件规定的方式递交异议函。</w:t>
      </w:r>
    </w:p>
    <w:p>
      <w:pPr>
        <w:spacing w:line="360" w:lineRule="auto"/>
        <w:ind w:firstLine="420" w:firstLineChars="175"/>
        <w:rPr>
          <w:rFonts w:cs="宋体"/>
          <w:sz w:val="24"/>
        </w:rPr>
      </w:pPr>
      <w:r>
        <w:rPr>
          <w:rFonts w:hint="eastAsia" w:cs="宋体"/>
          <w:sz w:val="24"/>
        </w:rPr>
        <w:t>（3）异议函应包括下列主要内容：</w:t>
      </w:r>
    </w:p>
    <w:p>
      <w:pPr>
        <w:spacing w:line="360" w:lineRule="auto"/>
        <w:ind w:firstLine="480" w:firstLineChars="200"/>
        <w:rPr>
          <w:rFonts w:cs="宋体"/>
          <w:sz w:val="24"/>
        </w:rPr>
      </w:pPr>
      <w:r>
        <w:rPr>
          <w:rFonts w:hint="eastAsia" w:cs="宋体"/>
          <w:sz w:val="24"/>
        </w:rPr>
        <w:t>①异议人的基本信息，联系方式；</w:t>
      </w:r>
    </w:p>
    <w:p>
      <w:pPr>
        <w:spacing w:line="360" w:lineRule="auto"/>
        <w:ind w:firstLine="480" w:firstLineChars="200"/>
        <w:rPr>
          <w:rFonts w:cs="宋体"/>
          <w:sz w:val="24"/>
        </w:rPr>
      </w:pPr>
      <w:r>
        <w:rPr>
          <w:rFonts w:hint="eastAsia" w:cs="宋体"/>
          <w:sz w:val="24"/>
        </w:rPr>
        <w:t>②所异议项目的基本信息，至少包括：招标编号、项目名称等；</w:t>
      </w:r>
    </w:p>
    <w:p>
      <w:pPr>
        <w:spacing w:line="360" w:lineRule="auto"/>
        <w:ind w:firstLine="480" w:firstLineChars="200"/>
        <w:rPr>
          <w:rFonts w:cs="宋体"/>
          <w:sz w:val="24"/>
        </w:rPr>
      </w:pPr>
      <w:r>
        <w:rPr>
          <w:rFonts w:hint="eastAsia" w:cs="宋体"/>
          <w:sz w:val="24"/>
        </w:rPr>
        <w:t>③所异议的具体事项；</w:t>
      </w:r>
    </w:p>
    <w:p>
      <w:pPr>
        <w:spacing w:line="360" w:lineRule="auto"/>
        <w:ind w:firstLine="480" w:firstLineChars="200"/>
        <w:rPr>
          <w:rFonts w:cs="宋体"/>
          <w:sz w:val="24"/>
        </w:rPr>
      </w:pPr>
      <w:r>
        <w:rPr>
          <w:rFonts w:hint="eastAsia" w:cs="宋体"/>
          <w:sz w:val="24"/>
        </w:rPr>
        <w:t>④针对异议事项提出的明确请求；</w:t>
      </w:r>
    </w:p>
    <w:p>
      <w:pPr>
        <w:spacing w:line="360" w:lineRule="auto"/>
        <w:ind w:firstLine="480" w:firstLineChars="200"/>
        <w:rPr>
          <w:rFonts w:cs="宋体"/>
          <w:sz w:val="24"/>
        </w:rPr>
      </w:pPr>
      <w:r>
        <w:rPr>
          <w:rFonts w:hint="eastAsia" w:cs="宋体"/>
          <w:sz w:val="24"/>
        </w:rPr>
        <w:t>⑤相关证明材料：</w:t>
      </w:r>
    </w:p>
    <w:p>
      <w:pPr>
        <w:spacing w:line="360" w:lineRule="auto"/>
        <w:ind w:firstLine="480" w:firstLineChars="200"/>
        <w:rPr>
          <w:rFonts w:cs="宋体"/>
          <w:sz w:val="24"/>
        </w:rPr>
      </w:pPr>
      <w:r>
        <w:rPr>
          <w:rFonts w:hint="eastAsia" w:cs="宋体"/>
          <w:sz w:val="24"/>
        </w:rPr>
        <w:t>⑥提出异议的日期。</w:t>
      </w:r>
    </w:p>
    <w:p>
      <w:pPr>
        <w:spacing w:line="360" w:lineRule="auto"/>
        <w:ind w:firstLine="480" w:firstLineChars="200"/>
        <w:rPr>
          <w:rFonts w:cs="宋体"/>
          <w:sz w:val="24"/>
        </w:rPr>
      </w:pPr>
      <w:r>
        <w:rPr>
          <w:rFonts w:hint="eastAsia" w:cs="宋体"/>
          <w:sz w:val="24"/>
        </w:rPr>
        <w:t>注：异议人为法人或其他组织的，异议函应由单位负责人或委托代理人签字或盖章，并加盖投标人的单位公章。异议人为自然人的，异议函应由本人签字。</w:t>
      </w:r>
    </w:p>
    <w:p>
      <w:pPr>
        <w:numPr>
          <w:ilvl w:val="1"/>
          <w:numId w:val="2"/>
        </w:numPr>
        <w:tabs>
          <w:tab w:val="left" w:pos="964"/>
        </w:tabs>
        <w:spacing w:line="360" w:lineRule="auto"/>
        <w:ind w:firstLine="480" w:firstLineChars="200"/>
        <w:rPr>
          <w:rFonts w:cs="宋体"/>
          <w:sz w:val="24"/>
        </w:rPr>
      </w:pPr>
      <w:r>
        <w:rPr>
          <w:rFonts w:hint="eastAsia" w:cs="宋体"/>
          <w:sz w:val="24"/>
        </w:rPr>
        <w:t>对符合本章第22.1、22.2条规定的异议，招标人将按照有关规定进行答复。</w:t>
      </w:r>
    </w:p>
    <w:p>
      <w:pPr>
        <w:pStyle w:val="15"/>
        <w:spacing w:line="360" w:lineRule="auto"/>
        <w:jc w:val="center"/>
        <w:outlineLvl w:val="0"/>
        <w:rPr>
          <w:rFonts w:hint="eastAsia" w:hAnsi="宋体"/>
          <w:sz w:val="28"/>
        </w:rPr>
      </w:pPr>
      <w:r>
        <w:rPr>
          <w:rFonts w:hint="eastAsia" w:hAnsi="宋体"/>
          <w:b/>
          <w:bCs/>
          <w:sz w:val="36"/>
          <w:szCs w:val="36"/>
        </w:rPr>
        <w:br w:type="page"/>
      </w:r>
      <w:bookmarkStart w:id="553" w:name="_Toc5774"/>
      <w:bookmarkEnd w:id="553"/>
      <w:bookmarkStart w:id="554" w:name="_Toc23385"/>
      <w:bookmarkEnd w:id="554"/>
      <w:bookmarkStart w:id="555" w:name="_Toc25462_WPSOffice_Level1"/>
      <w:bookmarkEnd w:id="555"/>
      <w:bookmarkStart w:id="556" w:name="_Toc23183"/>
      <w:bookmarkEnd w:id="556"/>
      <w:bookmarkStart w:id="557" w:name="_Toc7630"/>
      <w:bookmarkEnd w:id="557"/>
      <w:bookmarkStart w:id="558" w:name="_Toc27195"/>
      <w:bookmarkEnd w:id="558"/>
      <w:bookmarkStart w:id="559" w:name="_Toc34137406"/>
      <w:bookmarkEnd w:id="559"/>
      <w:bookmarkStart w:id="560" w:name="_Toc3310"/>
      <w:bookmarkEnd w:id="560"/>
      <w:bookmarkStart w:id="561" w:name="_Toc3919"/>
      <w:bookmarkEnd w:id="561"/>
      <w:bookmarkStart w:id="562" w:name="_Toc10340"/>
      <w:bookmarkEnd w:id="562"/>
      <w:bookmarkStart w:id="563" w:name="_Toc18908"/>
      <w:bookmarkStart w:id="564" w:name="_Toc21075"/>
      <w:bookmarkStart w:id="565" w:name="_Toc19560"/>
      <w:bookmarkStart w:id="566" w:name="_Toc29092"/>
      <w:bookmarkStart w:id="567" w:name="_Toc148459132"/>
      <w:bookmarkStart w:id="568" w:name="_Toc3822"/>
      <w:bookmarkStart w:id="569" w:name="_Toc17473"/>
      <w:bookmarkStart w:id="570" w:name="_Toc4258"/>
      <w:r>
        <w:rPr>
          <w:rFonts w:hint="eastAsia" w:hAnsi="宋体"/>
          <w:b/>
          <w:bCs/>
          <w:sz w:val="36"/>
          <w:szCs w:val="36"/>
        </w:rPr>
        <w:t>第三章  评标办法</w:t>
      </w:r>
      <w:bookmarkEnd w:id="563"/>
      <w:bookmarkEnd w:id="564"/>
      <w:bookmarkEnd w:id="565"/>
      <w:bookmarkEnd w:id="566"/>
      <w:bookmarkEnd w:id="567"/>
      <w:bookmarkEnd w:id="568"/>
      <w:bookmarkEnd w:id="569"/>
      <w:bookmarkEnd w:id="570"/>
    </w:p>
    <w:p>
      <w:pPr>
        <w:pStyle w:val="3"/>
        <w:spacing w:before="0" w:after="0" w:line="360" w:lineRule="auto"/>
        <w:rPr>
          <w:rFonts w:hint="eastAsia" w:ascii="宋体" w:hAnsi="宋体"/>
          <w:sz w:val="24"/>
          <w:szCs w:val="24"/>
        </w:rPr>
      </w:pPr>
      <w:bookmarkStart w:id="571" w:name="_Toc23037"/>
      <w:bookmarkStart w:id="572" w:name="_Toc27960"/>
      <w:bookmarkStart w:id="573" w:name="_Toc148459133"/>
      <w:bookmarkStart w:id="574" w:name="_Toc17617"/>
      <w:bookmarkStart w:id="575" w:name="_Toc37226784"/>
      <w:bookmarkStart w:id="576" w:name="_Toc31239"/>
      <w:bookmarkStart w:id="577" w:name="_Toc27354"/>
      <w:bookmarkStart w:id="578" w:name="_Toc27230"/>
      <w:bookmarkStart w:id="579" w:name="_Toc32572"/>
      <w:bookmarkStart w:id="580" w:name="_Toc9544"/>
      <w:bookmarkStart w:id="581" w:name="_Toc8449"/>
      <w:bookmarkStart w:id="582" w:name="_Toc11752"/>
      <w:bookmarkStart w:id="583" w:name="_Toc25525"/>
      <w:bookmarkStart w:id="584" w:name="_Toc455125365"/>
      <w:bookmarkStart w:id="585" w:name="_Toc77862888"/>
      <w:bookmarkStart w:id="586" w:name="_Toc520722221"/>
      <w:bookmarkStart w:id="587" w:name="_Toc9731"/>
      <w:r>
        <w:rPr>
          <w:rFonts w:hint="eastAsia" w:ascii="宋体" w:hAnsi="宋体"/>
          <w:sz w:val="24"/>
          <w:szCs w:val="24"/>
        </w:rPr>
        <w:t>1、总则</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360" w:lineRule="auto"/>
        <w:ind w:firstLine="480" w:firstLineChars="200"/>
        <w:rPr>
          <w:rFonts w:cs="宋体"/>
          <w:sz w:val="24"/>
          <w:szCs w:val="24"/>
        </w:rPr>
      </w:pPr>
      <w:r>
        <w:rPr>
          <w:rFonts w:hint="eastAsia" w:cs="宋体"/>
          <w:sz w:val="24"/>
          <w:szCs w:val="24"/>
        </w:rPr>
        <w:t>1.1本评标办法为招标项目的招标文件的组成部分。评标委员会应当按照有关法律法规和招标文件的规定进行评标，招标文件没有规定的评标办法和标准不得作为评标依据。</w:t>
      </w:r>
    </w:p>
    <w:p>
      <w:pPr>
        <w:spacing w:line="360" w:lineRule="auto"/>
        <w:ind w:firstLine="480" w:firstLineChars="200"/>
        <w:rPr>
          <w:rFonts w:cs="宋体"/>
          <w:sz w:val="24"/>
          <w:szCs w:val="24"/>
        </w:rPr>
      </w:pPr>
      <w:r>
        <w:rPr>
          <w:rFonts w:hint="eastAsia" w:cs="宋体"/>
          <w:sz w:val="24"/>
          <w:szCs w:val="24"/>
        </w:rPr>
        <w:t>1.2评标委员会对投标人递交的投标文件，按照本评标办法规定的评标程序及评标办法和标准进行评审，推荐中标候选人。招标人根据评标委员会的评标结果和推荐的中标候选人依法确定中标人。</w:t>
      </w:r>
    </w:p>
    <w:p>
      <w:pPr>
        <w:pStyle w:val="3"/>
        <w:spacing w:before="0" w:after="0" w:line="360" w:lineRule="auto"/>
        <w:rPr>
          <w:rFonts w:hint="eastAsia" w:ascii="宋体" w:hAnsi="宋体"/>
          <w:sz w:val="24"/>
          <w:szCs w:val="24"/>
        </w:rPr>
      </w:pPr>
      <w:bookmarkStart w:id="588" w:name="_Toc24249"/>
      <w:bookmarkStart w:id="589" w:name="_Toc10476"/>
      <w:bookmarkStart w:id="590" w:name="_Toc27412"/>
      <w:bookmarkStart w:id="591" w:name="_Toc5942"/>
      <w:bookmarkStart w:id="592" w:name="_Toc10166"/>
      <w:bookmarkStart w:id="593" w:name="_Toc148459134"/>
      <w:bookmarkStart w:id="594" w:name="_Toc15447"/>
      <w:bookmarkStart w:id="595" w:name="_Toc990"/>
      <w:r>
        <w:rPr>
          <w:rFonts w:hint="eastAsia" w:ascii="宋体" w:hAnsi="宋体"/>
          <w:sz w:val="24"/>
          <w:szCs w:val="24"/>
        </w:rPr>
        <w:t>2、评标委员会的组建</w:t>
      </w:r>
      <w:bookmarkEnd w:id="588"/>
      <w:bookmarkEnd w:id="589"/>
      <w:bookmarkEnd w:id="590"/>
      <w:bookmarkEnd w:id="591"/>
      <w:bookmarkEnd w:id="592"/>
      <w:bookmarkEnd w:id="593"/>
      <w:bookmarkEnd w:id="594"/>
      <w:bookmarkEnd w:id="595"/>
    </w:p>
    <w:p>
      <w:pPr>
        <w:spacing w:line="360" w:lineRule="auto"/>
        <w:ind w:left="69" w:firstLine="480" w:firstLineChars="200"/>
        <w:rPr>
          <w:rFonts w:cs="宋体"/>
          <w:sz w:val="24"/>
          <w:szCs w:val="24"/>
        </w:rPr>
      </w:pPr>
      <w:r>
        <w:rPr>
          <w:rFonts w:hint="eastAsia" w:cs="宋体"/>
          <w:sz w:val="24"/>
          <w:szCs w:val="24"/>
        </w:rPr>
        <w:t>2.1评标委员会由招标人依法组建，负责评标活动，在开标后的适当时间里由评标委员会对投标文件进行审查、质疑、评估和比较，并做出授予合同的建议。</w:t>
      </w:r>
    </w:p>
    <w:p>
      <w:pPr>
        <w:spacing w:line="360" w:lineRule="auto"/>
        <w:ind w:left="69" w:firstLine="480" w:firstLineChars="200"/>
        <w:rPr>
          <w:rFonts w:cs="宋体"/>
          <w:sz w:val="24"/>
          <w:szCs w:val="24"/>
        </w:rPr>
      </w:pPr>
      <w:r>
        <w:rPr>
          <w:rFonts w:hint="eastAsia" w:cs="宋体"/>
          <w:sz w:val="24"/>
          <w:szCs w:val="24"/>
        </w:rPr>
        <w:t>2.2评标委员会构成：评标委员会由有关专业的技术、经济专家和招标人等方面代表组成。</w:t>
      </w:r>
    </w:p>
    <w:p>
      <w:pPr>
        <w:pStyle w:val="3"/>
        <w:spacing w:before="0" w:after="0"/>
        <w:rPr>
          <w:rFonts w:hint="eastAsia" w:ascii="宋体" w:hAnsi="宋体"/>
          <w:sz w:val="24"/>
          <w:szCs w:val="24"/>
        </w:rPr>
      </w:pPr>
      <w:bookmarkStart w:id="596" w:name="_Toc2661"/>
      <w:bookmarkStart w:id="597" w:name="_Toc21878"/>
      <w:bookmarkStart w:id="598" w:name="_Toc16164"/>
      <w:bookmarkStart w:id="599" w:name="_Toc8516"/>
      <w:bookmarkStart w:id="600" w:name="_Toc14993"/>
      <w:bookmarkStart w:id="601" w:name="_Toc520722222"/>
      <w:bookmarkStart w:id="602" w:name="_Toc6934"/>
      <w:bookmarkStart w:id="603" w:name="_Toc77862889"/>
      <w:bookmarkStart w:id="604" w:name="_Toc37226785"/>
      <w:bookmarkStart w:id="605" w:name="_Toc18422"/>
      <w:bookmarkStart w:id="606" w:name="_Toc31017"/>
      <w:bookmarkStart w:id="607" w:name="_Toc7525"/>
      <w:bookmarkStart w:id="608" w:name="_Toc27856"/>
      <w:bookmarkStart w:id="609" w:name="_Toc2208"/>
      <w:bookmarkStart w:id="610" w:name="_Toc148459135"/>
      <w:bookmarkStart w:id="611" w:name="_Toc27017"/>
      <w:bookmarkStart w:id="612" w:name="_Toc455125366"/>
      <w:r>
        <w:rPr>
          <w:rFonts w:hint="eastAsia" w:ascii="宋体" w:hAnsi="宋体"/>
          <w:sz w:val="24"/>
          <w:szCs w:val="24"/>
        </w:rPr>
        <w:t>3、评标原则和评标纪律</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360" w:lineRule="auto"/>
        <w:ind w:firstLine="540" w:firstLineChars="225"/>
        <w:rPr>
          <w:rFonts w:cs="宋体"/>
          <w:sz w:val="24"/>
          <w:szCs w:val="24"/>
        </w:rPr>
      </w:pPr>
      <w:r>
        <w:rPr>
          <w:rFonts w:hint="eastAsia" w:cs="宋体"/>
          <w:sz w:val="24"/>
          <w:szCs w:val="24"/>
        </w:rPr>
        <w:t>3.1 评标活动遵循公平、公正、科学和择优的原则。</w:t>
      </w:r>
    </w:p>
    <w:p>
      <w:pPr>
        <w:spacing w:line="360" w:lineRule="auto"/>
        <w:ind w:firstLine="540" w:firstLineChars="225"/>
        <w:rPr>
          <w:rFonts w:cs="宋体"/>
          <w:sz w:val="24"/>
          <w:szCs w:val="24"/>
        </w:rPr>
      </w:pPr>
      <w:r>
        <w:rPr>
          <w:rFonts w:hint="eastAsia" w:cs="宋体"/>
          <w:sz w:val="24"/>
          <w:szCs w:val="24"/>
        </w:rPr>
        <w:t>3.2 评标委员会及其成员的权利、义务和评标纪律：</w:t>
      </w:r>
    </w:p>
    <w:p>
      <w:pPr>
        <w:spacing w:line="360" w:lineRule="auto"/>
        <w:ind w:firstLine="540" w:firstLineChars="225"/>
        <w:rPr>
          <w:rFonts w:cs="宋体"/>
          <w:sz w:val="24"/>
          <w:szCs w:val="24"/>
        </w:rPr>
      </w:pPr>
      <w:r>
        <w:rPr>
          <w:rFonts w:hint="eastAsia" w:cs="宋体"/>
          <w:sz w:val="24"/>
          <w:szCs w:val="24"/>
        </w:rPr>
        <w:t>3.2.1 评标委员会成员享有依据招标文件规定的评标办法和标准对投标文件进行评审、充分发表自己的评审意见或保留自己的评审意见的权利，但招标文件没有规定的评标办法和标准，不得作为评标依据。</w:t>
      </w:r>
    </w:p>
    <w:p>
      <w:pPr>
        <w:spacing w:line="360" w:lineRule="auto"/>
        <w:ind w:firstLine="540" w:firstLineChars="225"/>
        <w:rPr>
          <w:rFonts w:cs="宋体"/>
          <w:sz w:val="24"/>
          <w:szCs w:val="24"/>
        </w:rPr>
      </w:pPr>
      <w:r>
        <w:rPr>
          <w:rFonts w:hint="eastAsia" w:cs="宋体"/>
          <w:sz w:val="24"/>
          <w:szCs w:val="24"/>
        </w:rPr>
        <w:t>3.2.2 评标委员会主任与评标委员会其他成员享有同等的表决权。</w:t>
      </w:r>
    </w:p>
    <w:p>
      <w:pPr>
        <w:spacing w:line="360" w:lineRule="auto"/>
        <w:ind w:firstLine="540" w:firstLineChars="225"/>
        <w:rPr>
          <w:rFonts w:cs="宋体"/>
          <w:sz w:val="24"/>
          <w:szCs w:val="24"/>
        </w:rPr>
      </w:pPr>
      <w:r>
        <w:rPr>
          <w:rFonts w:hint="eastAsia" w:cs="宋体"/>
          <w:sz w:val="24"/>
          <w:szCs w:val="24"/>
        </w:rPr>
        <w:t>3.2.3 评标委员会成员应在评标前认真审阅招标文件。</w:t>
      </w:r>
    </w:p>
    <w:p>
      <w:pPr>
        <w:spacing w:line="360" w:lineRule="auto"/>
        <w:ind w:firstLine="540" w:firstLineChars="225"/>
        <w:rPr>
          <w:rFonts w:cs="宋体"/>
          <w:sz w:val="24"/>
          <w:szCs w:val="24"/>
        </w:rPr>
      </w:pPr>
      <w:r>
        <w:rPr>
          <w:rFonts w:hint="eastAsia" w:cs="宋体"/>
          <w:sz w:val="24"/>
          <w:szCs w:val="24"/>
        </w:rPr>
        <w:t>3.2.4 评标委员会对同一招标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作出书面说明并存档。</w:t>
      </w:r>
    </w:p>
    <w:p>
      <w:pPr>
        <w:spacing w:line="360" w:lineRule="auto"/>
        <w:ind w:firstLine="540" w:firstLineChars="225"/>
        <w:rPr>
          <w:rFonts w:cs="宋体"/>
          <w:sz w:val="24"/>
          <w:szCs w:val="24"/>
        </w:rPr>
      </w:pPr>
      <w:r>
        <w:rPr>
          <w:rFonts w:hint="eastAsia" w:cs="宋体"/>
          <w:sz w:val="24"/>
          <w:szCs w:val="24"/>
        </w:rPr>
        <w:t>3.2.5 评标委员会成员应当客观公正地履行职责，遵守职业道德，并对所提出的评审意见承担个人责任。</w:t>
      </w:r>
    </w:p>
    <w:p>
      <w:pPr>
        <w:spacing w:line="360" w:lineRule="auto"/>
        <w:ind w:firstLine="540" w:firstLineChars="225"/>
        <w:rPr>
          <w:rFonts w:cs="宋体"/>
          <w:sz w:val="24"/>
          <w:szCs w:val="24"/>
        </w:rPr>
      </w:pPr>
      <w:r>
        <w:rPr>
          <w:rFonts w:hint="eastAsia" w:cs="宋体"/>
          <w:sz w:val="24"/>
          <w:szCs w:val="24"/>
        </w:rPr>
        <w:t>3.2.6 评标委员会成员不得与任何投标人或者与招标结果有利害关系的人进行私下接触，不得收受投标人、中介人、其他利害关系人的财物或者其他好处。</w:t>
      </w:r>
    </w:p>
    <w:p>
      <w:pPr>
        <w:spacing w:line="360" w:lineRule="auto"/>
        <w:ind w:firstLine="540" w:firstLineChars="225"/>
        <w:rPr>
          <w:rFonts w:cs="宋体"/>
          <w:sz w:val="24"/>
          <w:szCs w:val="24"/>
        </w:rPr>
      </w:pPr>
      <w:r>
        <w:rPr>
          <w:rFonts w:hint="eastAsia" w:cs="宋体"/>
          <w:sz w:val="24"/>
          <w:szCs w:val="24"/>
        </w:rPr>
        <w:t>3.2.7 评标委员会成员以及与评标活动有关的工作人员不得对外透露评标委员会对投标文件的评审和比较情况、中标候选人的推荐情况以及与评标有关的其他情况。</w:t>
      </w:r>
    </w:p>
    <w:p>
      <w:pPr>
        <w:spacing w:line="360" w:lineRule="auto"/>
        <w:ind w:firstLine="540" w:firstLineChars="225"/>
        <w:rPr>
          <w:rFonts w:cs="宋体"/>
          <w:sz w:val="24"/>
          <w:szCs w:val="24"/>
        </w:rPr>
      </w:pPr>
      <w:r>
        <w:rPr>
          <w:rFonts w:hint="eastAsia" w:cs="宋体"/>
          <w:sz w:val="24"/>
          <w:szCs w:val="24"/>
        </w:rPr>
        <w:t>3.2.8 评标委员会成员在评标过程中不得擅离职守影响评标程序正常进行，评审活动未结束，无正当理由不得中途退出评标委员会。</w:t>
      </w:r>
    </w:p>
    <w:p>
      <w:pPr>
        <w:spacing w:line="360" w:lineRule="auto"/>
        <w:ind w:firstLine="540" w:firstLineChars="225"/>
        <w:rPr>
          <w:rFonts w:cs="宋体"/>
          <w:sz w:val="24"/>
          <w:szCs w:val="24"/>
        </w:rPr>
      </w:pPr>
      <w:r>
        <w:rPr>
          <w:rFonts w:hint="eastAsia" w:cs="宋体"/>
          <w:sz w:val="24"/>
          <w:szCs w:val="24"/>
        </w:rPr>
        <w:t>3.2.9 评标委员会及其成员还享有并应遵守有关法律、法规、规章等政策法规文件规定的权力、义务和评标纪律。</w:t>
      </w:r>
    </w:p>
    <w:p>
      <w:pPr>
        <w:spacing w:line="360" w:lineRule="auto"/>
        <w:ind w:firstLine="540" w:firstLineChars="225"/>
        <w:rPr>
          <w:rFonts w:cs="宋体"/>
          <w:sz w:val="24"/>
          <w:szCs w:val="24"/>
        </w:rPr>
      </w:pPr>
      <w:r>
        <w:rPr>
          <w:rFonts w:hint="eastAsia" w:cs="宋体"/>
          <w:sz w:val="24"/>
          <w:szCs w:val="24"/>
        </w:rPr>
        <w:t>3.2.10 评标委员会成员有违反以上行为的，将由违反者承担道德、纪律或法律责任。</w:t>
      </w:r>
    </w:p>
    <w:p>
      <w:pPr>
        <w:pStyle w:val="3"/>
        <w:spacing w:before="0" w:after="0" w:line="360" w:lineRule="auto"/>
        <w:rPr>
          <w:rFonts w:hint="eastAsia" w:ascii="宋体" w:hAnsi="宋体"/>
          <w:sz w:val="24"/>
          <w:szCs w:val="24"/>
        </w:rPr>
      </w:pPr>
      <w:bookmarkStart w:id="613" w:name="_Toc520722223"/>
      <w:bookmarkStart w:id="614" w:name="_Toc4455"/>
      <w:bookmarkStart w:id="615" w:name="_Toc22099"/>
      <w:bookmarkStart w:id="616" w:name="_Toc6671"/>
      <w:bookmarkStart w:id="617" w:name="_Toc30348"/>
      <w:bookmarkStart w:id="618" w:name="_Toc10958"/>
      <w:bookmarkStart w:id="619" w:name="_Toc21625"/>
      <w:bookmarkStart w:id="620" w:name="_Toc77862890"/>
      <w:bookmarkStart w:id="621" w:name="_Toc21903"/>
      <w:bookmarkStart w:id="622" w:name="_Toc148459136"/>
      <w:bookmarkStart w:id="623" w:name="_Toc37226786"/>
      <w:bookmarkStart w:id="624" w:name="_Toc23896"/>
      <w:bookmarkStart w:id="625" w:name="_Toc25582"/>
      <w:bookmarkStart w:id="626" w:name="_Toc455125367"/>
      <w:bookmarkStart w:id="627" w:name="_Toc17791"/>
      <w:bookmarkStart w:id="628" w:name="_Toc2832"/>
      <w:bookmarkStart w:id="629" w:name="_Toc19392"/>
      <w:r>
        <w:rPr>
          <w:rFonts w:hint="eastAsia" w:ascii="宋体" w:hAnsi="宋体"/>
          <w:sz w:val="24"/>
          <w:szCs w:val="24"/>
        </w:rPr>
        <w:t>4、评标程序、评标办法和标准</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tabs>
          <w:tab w:val="left" w:pos="425"/>
        </w:tabs>
        <w:spacing w:line="360" w:lineRule="auto"/>
        <w:ind w:firstLine="540" w:firstLineChars="225"/>
        <w:rPr>
          <w:rFonts w:cs="宋体"/>
          <w:sz w:val="24"/>
          <w:szCs w:val="24"/>
        </w:rPr>
      </w:pPr>
      <w:r>
        <w:rPr>
          <w:rFonts w:hint="eastAsia" w:cs="宋体"/>
          <w:sz w:val="24"/>
          <w:szCs w:val="24"/>
        </w:rPr>
        <w:t>4.1投标文件的初审</w:t>
      </w:r>
    </w:p>
    <w:p>
      <w:pPr>
        <w:tabs>
          <w:tab w:val="left" w:pos="425"/>
          <w:tab w:val="left" w:pos="964"/>
        </w:tabs>
        <w:spacing w:line="360" w:lineRule="auto"/>
        <w:ind w:firstLine="540" w:firstLineChars="225"/>
        <w:rPr>
          <w:rFonts w:cs="宋体"/>
          <w:sz w:val="24"/>
          <w:szCs w:val="24"/>
        </w:rPr>
      </w:pPr>
      <w:r>
        <w:rPr>
          <w:rFonts w:hint="eastAsia" w:cs="宋体"/>
          <w:sz w:val="24"/>
          <w:szCs w:val="24"/>
        </w:rPr>
        <w:t>4.1.1对所有投标人的评估，都采用相同的程序和标准。评议过程将严格按照招标文件的要求和条件进行。</w:t>
      </w:r>
    </w:p>
    <w:p>
      <w:pPr>
        <w:tabs>
          <w:tab w:val="left" w:pos="425"/>
          <w:tab w:val="left" w:pos="964"/>
        </w:tabs>
        <w:spacing w:line="360" w:lineRule="auto"/>
        <w:ind w:firstLine="540" w:firstLineChars="225"/>
        <w:rPr>
          <w:rFonts w:cs="宋体"/>
          <w:sz w:val="24"/>
          <w:szCs w:val="24"/>
        </w:rPr>
      </w:pPr>
      <w:r>
        <w:rPr>
          <w:rFonts w:hint="eastAsia" w:cs="宋体"/>
          <w:sz w:val="24"/>
          <w:szCs w:val="24"/>
        </w:rPr>
        <w:t>4.1.2有关投标文件的审查、澄清、评估和比较以及推荐中标候选人的一切情况都不得透露给任一投标人或与上述评标工作无关的人员。</w:t>
      </w:r>
    </w:p>
    <w:p>
      <w:pPr>
        <w:tabs>
          <w:tab w:val="left" w:pos="425"/>
          <w:tab w:val="left" w:pos="964"/>
        </w:tabs>
        <w:spacing w:line="360" w:lineRule="auto"/>
        <w:ind w:firstLine="540" w:firstLineChars="225"/>
        <w:rPr>
          <w:rFonts w:cs="宋体"/>
          <w:sz w:val="24"/>
          <w:szCs w:val="24"/>
        </w:rPr>
      </w:pPr>
      <w:r>
        <w:rPr>
          <w:rFonts w:hint="eastAsia" w:cs="宋体"/>
          <w:sz w:val="24"/>
          <w:szCs w:val="24"/>
        </w:rPr>
        <w:t>4.1.3投标人任何试图影响评委会对投标文件的评估、比较或者推荐候选人的行为，都将导致其投标被拒绝，并被没收投标保证金。</w:t>
      </w:r>
    </w:p>
    <w:p>
      <w:pPr>
        <w:tabs>
          <w:tab w:val="left" w:pos="425"/>
          <w:tab w:val="left" w:pos="964"/>
        </w:tabs>
        <w:spacing w:line="360" w:lineRule="auto"/>
        <w:ind w:firstLine="540" w:firstLineChars="225"/>
        <w:rPr>
          <w:rFonts w:cs="宋体"/>
          <w:sz w:val="24"/>
          <w:szCs w:val="24"/>
        </w:rPr>
      </w:pPr>
      <w:r>
        <w:rPr>
          <w:rFonts w:hint="eastAsia" w:cs="宋体"/>
          <w:sz w:val="24"/>
          <w:szCs w:val="24"/>
        </w:rPr>
        <w:t xml:space="preserve">4.1.4评委会将对投标文件进行审查，以确定投标文件是否完整、有无计算上的错误、是否提交了投标保证金、文件是否已正确签署。 </w:t>
      </w:r>
    </w:p>
    <w:p>
      <w:pPr>
        <w:tabs>
          <w:tab w:val="left" w:pos="425"/>
          <w:tab w:val="left" w:pos="964"/>
        </w:tabs>
        <w:spacing w:line="360" w:lineRule="auto"/>
        <w:ind w:firstLine="540" w:firstLineChars="225"/>
        <w:rPr>
          <w:rFonts w:cs="宋体"/>
          <w:sz w:val="24"/>
          <w:szCs w:val="24"/>
        </w:rPr>
      </w:pPr>
      <w:r>
        <w:rPr>
          <w:rFonts w:hint="eastAsia" w:cs="宋体"/>
          <w:sz w:val="24"/>
          <w:szCs w:val="24"/>
        </w:rPr>
        <w:t>4.1.5算术错误将按以下方法更正：</w:t>
      </w:r>
    </w:p>
    <w:p>
      <w:pPr>
        <w:tabs>
          <w:tab w:val="left" w:pos="425"/>
          <w:tab w:val="left" w:pos="964"/>
        </w:tabs>
        <w:spacing w:line="360" w:lineRule="auto"/>
        <w:ind w:firstLine="540" w:firstLineChars="225"/>
        <w:rPr>
          <w:rFonts w:cs="宋体"/>
          <w:sz w:val="24"/>
          <w:szCs w:val="24"/>
        </w:rPr>
      </w:pPr>
      <w:r>
        <w:rPr>
          <w:rFonts w:hint="eastAsia" w:cs="宋体"/>
          <w:sz w:val="24"/>
          <w:szCs w:val="24"/>
        </w:rPr>
        <w:t>（1）投标文件中“开标一览表(报价表)”内容与投标文件中明细表内容不一致的，以“开标一览表(报价表)”为准。</w:t>
      </w:r>
    </w:p>
    <w:p>
      <w:pPr>
        <w:tabs>
          <w:tab w:val="left" w:pos="425"/>
          <w:tab w:val="left" w:pos="964"/>
        </w:tabs>
        <w:spacing w:line="360" w:lineRule="auto"/>
        <w:ind w:firstLine="540" w:firstLineChars="225"/>
        <w:rPr>
          <w:rFonts w:cs="宋体"/>
          <w:sz w:val="24"/>
          <w:szCs w:val="24"/>
        </w:rPr>
      </w:pPr>
      <w:r>
        <w:rPr>
          <w:rFonts w:hint="eastAsia" w:cs="宋体"/>
          <w:sz w:val="24"/>
          <w:szCs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uto"/>
        <w:ind w:firstLine="540" w:firstLineChars="225"/>
        <w:rPr>
          <w:rFonts w:cs="宋体"/>
          <w:sz w:val="24"/>
          <w:szCs w:val="24"/>
        </w:rPr>
      </w:pPr>
      <w:r>
        <w:rPr>
          <w:rFonts w:hint="eastAsia" w:cs="宋体"/>
          <w:sz w:val="24"/>
          <w:szCs w:val="24"/>
        </w:rPr>
        <w:t>如果投标人不接受按上述方法对投标文件中的算术错误进行更正，其投标将被拒绝并不退还其投标保证金。</w:t>
      </w:r>
    </w:p>
    <w:p>
      <w:pPr>
        <w:tabs>
          <w:tab w:val="left" w:pos="425"/>
          <w:tab w:val="left" w:pos="964"/>
        </w:tabs>
        <w:spacing w:line="360" w:lineRule="auto"/>
        <w:ind w:firstLine="540" w:firstLineChars="225"/>
        <w:rPr>
          <w:rFonts w:cs="宋体"/>
          <w:sz w:val="24"/>
          <w:szCs w:val="24"/>
        </w:rPr>
      </w:pPr>
      <w:r>
        <w:rPr>
          <w:rFonts w:hint="eastAsia" w:cs="宋体"/>
          <w:sz w:val="24"/>
          <w:szCs w:val="24"/>
        </w:rPr>
        <w:t>4.2资格性检查和符合性检查</w:t>
      </w:r>
    </w:p>
    <w:p>
      <w:pPr>
        <w:tabs>
          <w:tab w:val="left" w:pos="425"/>
          <w:tab w:val="left" w:pos="964"/>
        </w:tabs>
        <w:spacing w:line="360" w:lineRule="auto"/>
        <w:ind w:firstLine="540" w:firstLineChars="225"/>
        <w:rPr>
          <w:rFonts w:cs="宋体"/>
          <w:sz w:val="24"/>
          <w:szCs w:val="24"/>
        </w:rPr>
      </w:pPr>
      <w:r>
        <w:rPr>
          <w:rFonts w:hint="eastAsia" w:cs="宋体"/>
          <w:sz w:val="24"/>
          <w:szCs w:val="24"/>
        </w:rPr>
        <w:t>4.2.1</w:t>
      </w:r>
      <w:r>
        <w:rPr>
          <w:rFonts w:hint="eastAsia" w:cs="宋体"/>
          <w:b/>
          <w:sz w:val="24"/>
          <w:szCs w:val="24"/>
        </w:rPr>
        <w:t>资格性检查</w:t>
      </w:r>
      <w:r>
        <w:rPr>
          <w:rFonts w:hint="eastAsia" w:cs="宋体"/>
          <w:sz w:val="24"/>
          <w:szCs w:val="24"/>
        </w:rPr>
        <w:t>。依据法律法规和招标文件的规定，在对投标文件详细评估之前，评标委员会将依据投标人提交的投标文件按招标文件所述的资格性要求对投标人进行资格审查，以确定其是否具备投标资格。如果投标人不具备投标资格，不满足招标文件所规定的资格标准或提供资格证明文件不全的， 其投标将被拒绝。</w:t>
      </w:r>
    </w:p>
    <w:p>
      <w:pPr>
        <w:tabs>
          <w:tab w:val="left" w:pos="425"/>
          <w:tab w:val="left" w:pos="964"/>
        </w:tabs>
        <w:spacing w:line="360" w:lineRule="auto"/>
        <w:ind w:firstLine="540" w:firstLineChars="225"/>
        <w:rPr>
          <w:rFonts w:cs="宋体"/>
          <w:sz w:val="24"/>
          <w:szCs w:val="24"/>
        </w:rPr>
      </w:pPr>
      <w:r>
        <w:rPr>
          <w:rFonts w:hint="eastAsia" w:cs="宋体"/>
          <w:sz w:val="24"/>
          <w:szCs w:val="24"/>
        </w:rPr>
        <w:t>4.2.2</w:t>
      </w:r>
      <w:r>
        <w:rPr>
          <w:rFonts w:hint="eastAsia" w:cs="宋体"/>
          <w:b/>
          <w:sz w:val="24"/>
          <w:szCs w:val="24"/>
        </w:rPr>
        <w:t>符合性检查</w:t>
      </w:r>
      <w:r>
        <w:rPr>
          <w:rFonts w:hint="eastAsia" w:cs="宋体"/>
          <w:sz w:val="24"/>
          <w:szCs w:val="24"/>
        </w:rPr>
        <w:t>。依据招标文件的规定，评标委员会还将从投标文件的</w:t>
      </w:r>
      <w:r>
        <w:rPr>
          <w:rFonts w:hint="eastAsia" w:cs="宋体"/>
          <w:b/>
          <w:sz w:val="24"/>
          <w:szCs w:val="24"/>
        </w:rPr>
        <w:t>有效性、完整性</w:t>
      </w:r>
      <w:r>
        <w:rPr>
          <w:rFonts w:hint="eastAsia" w:cs="宋体"/>
          <w:sz w:val="24"/>
          <w:szCs w:val="24"/>
        </w:rPr>
        <w:t>和对招标文件的</w:t>
      </w:r>
      <w:r>
        <w:rPr>
          <w:rFonts w:hint="eastAsia" w:cs="宋体"/>
          <w:b/>
          <w:sz w:val="24"/>
          <w:szCs w:val="24"/>
        </w:rPr>
        <w:t>响应程度</w:t>
      </w:r>
      <w:r>
        <w:rPr>
          <w:rFonts w:hint="eastAsia" w:cs="宋体"/>
          <w:sz w:val="24"/>
          <w:szCs w:val="24"/>
        </w:rPr>
        <w:t>进行审查，以确定是否符合对招标文件的实质性要求。评标委员会将依据投标人提交的投标文件按招标文件所述要求对投标人进行审查，对没有实质性响应的投标文件将不进行评估，其投标将被作为无效投标处理。</w:t>
      </w:r>
    </w:p>
    <w:p>
      <w:pPr>
        <w:spacing w:line="360" w:lineRule="auto"/>
        <w:ind w:firstLine="542" w:firstLineChars="225"/>
        <w:rPr>
          <w:rFonts w:cs="宋体"/>
        </w:rPr>
      </w:pPr>
      <w:r>
        <w:rPr>
          <w:rFonts w:hint="eastAsia" w:cs="宋体"/>
          <w:b/>
          <w:sz w:val="24"/>
          <w:szCs w:val="24"/>
        </w:rPr>
        <w:t>评标委员会确定投标的响应情况，只根据投标文件本身的内容，而不寻求其他的外部证据</w:t>
      </w:r>
      <w:r>
        <w:rPr>
          <w:rFonts w:hint="eastAsia" w:cs="宋体"/>
          <w:sz w:val="24"/>
          <w:szCs w:val="24"/>
        </w:rPr>
        <w:t>。</w:t>
      </w:r>
    </w:p>
    <w:p>
      <w:pPr>
        <w:tabs>
          <w:tab w:val="left" w:pos="425"/>
        </w:tabs>
        <w:spacing w:line="360" w:lineRule="auto"/>
        <w:ind w:firstLine="540" w:firstLineChars="225"/>
        <w:rPr>
          <w:rFonts w:cs="宋体"/>
          <w:sz w:val="24"/>
          <w:szCs w:val="24"/>
        </w:rPr>
      </w:pPr>
      <w:r>
        <w:rPr>
          <w:rFonts w:hint="eastAsia" w:cs="宋体"/>
          <w:sz w:val="24"/>
          <w:szCs w:val="24"/>
        </w:rPr>
        <w:t>4.3投标文件的澄清</w:t>
      </w:r>
    </w:p>
    <w:p>
      <w:pPr>
        <w:tabs>
          <w:tab w:val="left" w:pos="425"/>
          <w:tab w:val="left" w:pos="964"/>
        </w:tabs>
        <w:spacing w:line="360" w:lineRule="auto"/>
        <w:ind w:firstLine="540" w:firstLineChars="225"/>
        <w:rPr>
          <w:rFonts w:cs="宋体"/>
          <w:sz w:val="24"/>
          <w:szCs w:val="24"/>
        </w:rPr>
      </w:pPr>
      <w:r>
        <w:rPr>
          <w:rFonts w:hint="eastAsia" w:cs="宋体"/>
          <w:sz w:val="24"/>
          <w:szCs w:val="24"/>
        </w:rPr>
        <w:t>4.3.1对投标文件中含义不明确、同类问题表述不一致或者有明显文字和计算错误的内容，评标委员会可以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tabs>
          <w:tab w:val="left" w:pos="425"/>
        </w:tabs>
        <w:spacing w:line="360" w:lineRule="auto"/>
        <w:ind w:firstLine="540" w:firstLineChars="225"/>
        <w:rPr>
          <w:rFonts w:cs="宋体"/>
          <w:sz w:val="24"/>
          <w:szCs w:val="24"/>
        </w:rPr>
      </w:pPr>
      <w:r>
        <w:rPr>
          <w:rFonts w:hint="eastAsia" w:cs="宋体"/>
          <w:sz w:val="24"/>
          <w:szCs w:val="24"/>
        </w:rPr>
        <w:t>4.4比较与评价</w:t>
      </w:r>
    </w:p>
    <w:p>
      <w:pPr>
        <w:tabs>
          <w:tab w:val="left" w:pos="425"/>
          <w:tab w:val="left" w:pos="964"/>
        </w:tabs>
        <w:spacing w:line="360" w:lineRule="auto"/>
        <w:ind w:firstLine="540" w:firstLineChars="225"/>
        <w:rPr>
          <w:rFonts w:cs="宋体"/>
          <w:sz w:val="24"/>
          <w:szCs w:val="24"/>
        </w:rPr>
      </w:pPr>
      <w:r>
        <w:rPr>
          <w:rFonts w:hint="eastAsia" w:cs="宋体"/>
          <w:sz w:val="24"/>
          <w:szCs w:val="24"/>
        </w:rPr>
        <w:t>4.4.1评标委员会将按“5、评标办法”所述评标方法与标准，对资格性检查和符合性检查合格的投标文件进行评审。</w:t>
      </w:r>
    </w:p>
    <w:p>
      <w:pPr>
        <w:tabs>
          <w:tab w:val="left" w:pos="425"/>
          <w:tab w:val="left" w:pos="964"/>
        </w:tabs>
        <w:spacing w:line="360" w:lineRule="auto"/>
        <w:ind w:firstLine="540" w:firstLineChars="225"/>
        <w:rPr>
          <w:rFonts w:cs="宋体"/>
          <w:sz w:val="24"/>
          <w:szCs w:val="24"/>
        </w:rPr>
      </w:pPr>
      <w:r>
        <w:rPr>
          <w:rFonts w:hint="eastAsia" w:cs="宋体"/>
          <w:sz w:val="24"/>
          <w:szCs w:val="24"/>
        </w:rPr>
        <w:t>4.4.2若投标人的报价明显低于通过资格性检查和符合性检查的投标人的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tabs>
          <w:tab w:val="left" w:pos="425"/>
          <w:tab w:val="left" w:pos="964"/>
        </w:tabs>
        <w:spacing w:line="360" w:lineRule="auto"/>
        <w:ind w:firstLine="540" w:firstLineChars="225"/>
        <w:rPr>
          <w:rFonts w:cs="宋体"/>
          <w:sz w:val="24"/>
          <w:szCs w:val="24"/>
        </w:rPr>
      </w:pPr>
      <w:r>
        <w:rPr>
          <w:rFonts w:hint="eastAsia" w:cs="宋体"/>
          <w:sz w:val="24"/>
          <w:szCs w:val="24"/>
        </w:rPr>
        <w:t>4.4.3评标委员会将按比较与评价最优在先原则，排列评价顺序，根据“5、评标办法”中确定的中标候选人数量推荐出中标候选人。</w:t>
      </w:r>
    </w:p>
    <w:p>
      <w:pPr>
        <w:tabs>
          <w:tab w:val="left" w:pos="425"/>
          <w:tab w:val="left" w:pos="964"/>
        </w:tabs>
        <w:spacing w:line="360" w:lineRule="auto"/>
        <w:ind w:firstLine="540" w:firstLineChars="225"/>
        <w:rPr>
          <w:rFonts w:cs="宋体"/>
          <w:sz w:val="24"/>
          <w:szCs w:val="24"/>
        </w:rPr>
      </w:pPr>
      <w:r>
        <w:rPr>
          <w:rFonts w:hint="eastAsia" w:cs="宋体"/>
          <w:sz w:val="24"/>
          <w:szCs w:val="24"/>
        </w:rPr>
        <w:t>4.4.4评标委员会对所有投标人的投标文件的评审，都采用相同的程序和标准。</w:t>
      </w:r>
    </w:p>
    <w:p>
      <w:pPr>
        <w:tabs>
          <w:tab w:val="left" w:pos="425"/>
          <w:tab w:val="left" w:pos="964"/>
        </w:tabs>
        <w:spacing w:line="360" w:lineRule="auto"/>
        <w:ind w:firstLine="540" w:firstLineChars="225"/>
        <w:rPr>
          <w:rFonts w:cs="宋体"/>
          <w:sz w:val="24"/>
          <w:szCs w:val="24"/>
        </w:rPr>
      </w:pPr>
      <w:r>
        <w:rPr>
          <w:rFonts w:hint="eastAsia" w:cs="宋体"/>
          <w:sz w:val="24"/>
          <w:szCs w:val="24"/>
        </w:rPr>
        <w:t>4.4.5参加评标的相关人员，不得将有关投标文件的审查、澄清、评估和比较以及会影响评标工作的一切情况，透露给任何一位投标人或与上述评标工作无关的人员。</w:t>
      </w:r>
    </w:p>
    <w:p>
      <w:pPr>
        <w:tabs>
          <w:tab w:val="left" w:pos="425"/>
          <w:tab w:val="left" w:pos="964"/>
        </w:tabs>
        <w:spacing w:line="360" w:lineRule="auto"/>
        <w:ind w:firstLine="540" w:firstLineChars="225"/>
        <w:rPr>
          <w:rFonts w:cs="宋体"/>
          <w:sz w:val="24"/>
          <w:szCs w:val="24"/>
        </w:rPr>
      </w:pPr>
      <w:r>
        <w:rPr>
          <w:rFonts w:hint="eastAsia" w:cs="宋体"/>
          <w:sz w:val="24"/>
          <w:szCs w:val="24"/>
        </w:rPr>
        <w:t>4.4.6在评标或授标期间，若评标委员会否决一部分投标后其他有效投标不足三个使得投标明显缺乏竞争，决定否决全部投标；或所有投标都不符合招标文件实质性要求的，则本项目招标失败，将重新组织招标或者采取其他方式采购。</w:t>
      </w:r>
    </w:p>
    <w:p>
      <w:pPr>
        <w:pStyle w:val="3"/>
        <w:tabs>
          <w:tab w:val="left" w:pos="0"/>
          <w:tab w:val="left" w:pos="420"/>
          <w:tab w:val="left" w:pos="630"/>
        </w:tabs>
        <w:spacing w:before="0" w:after="0"/>
        <w:rPr>
          <w:rFonts w:hint="eastAsia" w:ascii="宋体" w:hAnsi="宋体"/>
          <w:sz w:val="24"/>
          <w:szCs w:val="24"/>
        </w:rPr>
      </w:pPr>
      <w:bookmarkStart w:id="630" w:name="_Toc29473"/>
      <w:bookmarkStart w:id="631" w:name="_Toc32274"/>
      <w:bookmarkStart w:id="632" w:name="_Toc8186"/>
      <w:bookmarkStart w:id="633" w:name="_Toc13365"/>
      <w:bookmarkStart w:id="634" w:name="_Toc22481"/>
      <w:bookmarkStart w:id="635" w:name="_Toc27624"/>
      <w:bookmarkStart w:id="636" w:name="_Toc31093"/>
      <w:bookmarkStart w:id="637" w:name="_Toc148459137"/>
      <w:r>
        <w:rPr>
          <w:rFonts w:hint="eastAsia" w:ascii="宋体" w:hAnsi="宋体"/>
          <w:sz w:val="24"/>
          <w:szCs w:val="24"/>
        </w:rPr>
        <w:t>5、评标方法</w:t>
      </w:r>
      <w:bookmarkEnd w:id="630"/>
      <w:bookmarkEnd w:id="631"/>
      <w:bookmarkEnd w:id="632"/>
      <w:bookmarkEnd w:id="633"/>
      <w:bookmarkEnd w:id="634"/>
      <w:bookmarkEnd w:id="635"/>
      <w:bookmarkEnd w:id="636"/>
      <w:bookmarkEnd w:id="637"/>
    </w:p>
    <w:p>
      <w:pPr>
        <w:tabs>
          <w:tab w:val="left" w:pos="0"/>
          <w:tab w:val="left" w:pos="420"/>
          <w:tab w:val="left" w:pos="630"/>
        </w:tabs>
        <w:ind w:firstLine="482" w:firstLineChars="200"/>
        <w:rPr>
          <w:rFonts w:cs="宋体"/>
          <w:b/>
          <w:bCs/>
          <w:sz w:val="24"/>
          <w:szCs w:val="24"/>
        </w:rPr>
      </w:pPr>
      <w:r>
        <w:rPr>
          <w:rFonts w:hint="eastAsia" w:cs="宋体"/>
          <w:b/>
          <w:bCs/>
          <w:sz w:val="24"/>
          <w:szCs w:val="24"/>
        </w:rPr>
        <w:t xml:space="preserve">综合评分法 </w:t>
      </w:r>
    </w:p>
    <w:p>
      <w:pPr>
        <w:spacing w:line="360" w:lineRule="auto"/>
        <w:ind w:firstLine="540" w:firstLineChars="225"/>
        <w:rPr>
          <w:rFonts w:cs="宋体"/>
          <w:sz w:val="24"/>
          <w:szCs w:val="24"/>
        </w:rPr>
      </w:pPr>
      <w:r>
        <w:rPr>
          <w:rFonts w:hint="eastAsia" w:cs="宋体"/>
          <w:sz w:val="24"/>
          <w:szCs w:val="24"/>
        </w:rPr>
        <w:t>5.1按照附表1对投标人进行资格审核，按照附表2对投标人进行符合性审查。</w:t>
      </w:r>
    </w:p>
    <w:p>
      <w:pPr>
        <w:spacing w:line="360" w:lineRule="auto"/>
        <w:ind w:firstLine="540" w:firstLineChars="225"/>
        <w:rPr>
          <w:rFonts w:cs="宋体"/>
          <w:sz w:val="24"/>
          <w:szCs w:val="24"/>
        </w:rPr>
      </w:pPr>
      <w:r>
        <w:rPr>
          <w:rFonts w:hint="eastAsia" w:cs="宋体"/>
          <w:sz w:val="24"/>
          <w:szCs w:val="24"/>
        </w:rPr>
        <w:t>5.2对于符合要求的投标人，评标委员会按照附表3技术商务部分评分表进行独立评分。</w:t>
      </w:r>
    </w:p>
    <w:p>
      <w:pPr>
        <w:spacing w:line="360" w:lineRule="auto"/>
        <w:ind w:firstLine="540" w:firstLineChars="225"/>
        <w:rPr>
          <w:rFonts w:cs="宋体"/>
          <w:sz w:val="24"/>
          <w:szCs w:val="24"/>
        </w:rPr>
      </w:pPr>
      <w:r>
        <w:rPr>
          <w:rFonts w:hint="eastAsia" w:cs="宋体"/>
          <w:sz w:val="24"/>
          <w:szCs w:val="24"/>
        </w:rPr>
        <w:t>5.3投标人商务和技术得分计算方法为：汇总评标委员会成员评分后，计算出算术平均值，为投标人商务和技术得分，算术平均值保留至小数点后两位；</w:t>
      </w:r>
    </w:p>
    <w:p>
      <w:pPr>
        <w:spacing w:line="360" w:lineRule="auto"/>
        <w:ind w:firstLine="540" w:firstLineChars="225"/>
        <w:rPr>
          <w:rFonts w:cs="宋体"/>
          <w:sz w:val="24"/>
          <w:szCs w:val="24"/>
        </w:rPr>
      </w:pPr>
      <w:r>
        <w:rPr>
          <w:rFonts w:hint="eastAsia" w:cs="宋体"/>
          <w:sz w:val="24"/>
          <w:szCs w:val="24"/>
        </w:rPr>
        <w:t>5.4对于符合要求的投标人，评标委员会按照附表3报价部分评分表进行评分，分值保留至小数点后两位；</w:t>
      </w:r>
    </w:p>
    <w:p>
      <w:pPr>
        <w:spacing w:line="360" w:lineRule="auto"/>
        <w:ind w:firstLine="540" w:firstLineChars="225"/>
        <w:rPr>
          <w:rFonts w:cs="宋体"/>
          <w:sz w:val="24"/>
          <w:szCs w:val="24"/>
        </w:rPr>
      </w:pPr>
      <w:r>
        <w:rPr>
          <w:rFonts w:hint="eastAsia" w:cs="宋体"/>
          <w:sz w:val="24"/>
          <w:szCs w:val="24"/>
        </w:rPr>
        <w:t>5.5投标人综合得分=商务得分+技术得分+报价得分，保留至小数点后两位。</w:t>
      </w:r>
    </w:p>
    <w:p>
      <w:pPr>
        <w:pStyle w:val="3"/>
        <w:tabs>
          <w:tab w:val="left" w:pos="0"/>
          <w:tab w:val="left" w:pos="420"/>
          <w:tab w:val="left" w:pos="630"/>
        </w:tabs>
        <w:spacing w:before="0" w:after="0"/>
        <w:rPr>
          <w:rFonts w:hint="eastAsia" w:ascii="宋体" w:hAnsi="宋体"/>
          <w:sz w:val="24"/>
          <w:szCs w:val="24"/>
        </w:rPr>
      </w:pPr>
      <w:bookmarkStart w:id="638" w:name="_Toc18967"/>
      <w:bookmarkStart w:id="639" w:name="_Toc18852"/>
      <w:bookmarkStart w:id="640" w:name="_Toc17000"/>
      <w:bookmarkStart w:id="641" w:name="_Toc30892"/>
      <w:bookmarkStart w:id="642" w:name="_Toc2231"/>
      <w:bookmarkStart w:id="643" w:name="_Toc148459138"/>
      <w:bookmarkStart w:id="644" w:name="_Toc29815"/>
      <w:bookmarkStart w:id="645" w:name="_Toc8559"/>
      <w:r>
        <w:rPr>
          <w:rFonts w:hint="eastAsia" w:ascii="宋体" w:hAnsi="宋体"/>
          <w:sz w:val="24"/>
          <w:szCs w:val="24"/>
        </w:rPr>
        <w:t>6、推荐中标候选人名单。</w:t>
      </w:r>
      <w:bookmarkEnd w:id="638"/>
      <w:bookmarkEnd w:id="639"/>
      <w:bookmarkEnd w:id="640"/>
      <w:bookmarkEnd w:id="641"/>
      <w:bookmarkEnd w:id="642"/>
      <w:bookmarkEnd w:id="643"/>
      <w:bookmarkEnd w:id="644"/>
    </w:p>
    <w:p>
      <w:pPr>
        <w:spacing w:line="360" w:lineRule="auto"/>
        <w:ind w:firstLine="480" w:firstLineChars="200"/>
        <w:rPr>
          <w:rFonts w:cs="宋体"/>
          <w:sz w:val="24"/>
        </w:rPr>
      </w:pPr>
      <w:r>
        <w:rPr>
          <w:rFonts w:hint="eastAsia" w:cs="宋体"/>
          <w:sz w:val="24"/>
        </w:rPr>
        <w:t>6.1中标候选人数量：2-3名，合格投标人为3个的，推荐2名中标候选人，合格投标人大于3个的，推荐3名中标候选人。</w:t>
      </w:r>
    </w:p>
    <w:p>
      <w:pPr>
        <w:spacing w:line="360" w:lineRule="auto"/>
        <w:ind w:firstLine="480" w:firstLineChars="200"/>
        <w:rPr>
          <w:rFonts w:cs="宋体"/>
          <w:sz w:val="24"/>
        </w:rPr>
      </w:pPr>
      <w:r>
        <w:rPr>
          <w:rFonts w:hint="eastAsia" w:cs="宋体"/>
          <w:sz w:val="24"/>
        </w:rPr>
        <w:t>6.2中标候选人入围规则</w:t>
      </w:r>
      <w:r>
        <w:rPr>
          <w:rFonts w:hint="eastAsia" w:cs="宋体"/>
          <w:kern w:val="0"/>
          <w:sz w:val="24"/>
        </w:rPr>
        <w:t>：</w:t>
      </w:r>
      <w:r>
        <w:rPr>
          <w:rFonts w:hint="eastAsia" w:cs="宋体"/>
          <w:sz w:val="24"/>
        </w:rPr>
        <w:t>经投标文件初审、澄清有关问题、比较与评价评标程序后，按以下办法推荐中标候选人：评标委员会按评审后的综合得分由高到低顺序进行推荐入围中标候选人，入围后的中标候选人不进行排序；若综合得分相同的，按投标报价由低到高顺序排列；若综合得分且投标报价相同的，按技术因素得分由高到低顺序排列；综合得分、投标报价及技术因素得分均相同的，由评标委员会按少数服从多数原则表决确定排序。</w:t>
      </w:r>
    </w:p>
    <w:p>
      <w:pPr>
        <w:pStyle w:val="3"/>
        <w:tabs>
          <w:tab w:val="left" w:pos="0"/>
          <w:tab w:val="left" w:pos="420"/>
          <w:tab w:val="left" w:pos="630"/>
        </w:tabs>
        <w:spacing w:before="0" w:after="0"/>
        <w:rPr>
          <w:rFonts w:hint="eastAsia" w:ascii="宋体" w:hAnsi="宋体"/>
          <w:sz w:val="24"/>
          <w:szCs w:val="24"/>
        </w:rPr>
      </w:pPr>
      <w:bookmarkStart w:id="646" w:name="_Toc12089"/>
      <w:bookmarkStart w:id="647" w:name="_Toc26086"/>
      <w:bookmarkStart w:id="648" w:name="_Toc17603"/>
      <w:bookmarkStart w:id="649" w:name="_Toc10586"/>
      <w:bookmarkStart w:id="650" w:name="_Toc27005"/>
      <w:bookmarkStart w:id="651" w:name="_Toc148459139"/>
      <w:bookmarkStart w:id="652" w:name="_Toc18554"/>
      <w:r>
        <w:rPr>
          <w:rFonts w:hint="eastAsia" w:ascii="宋体" w:hAnsi="宋体"/>
          <w:sz w:val="24"/>
          <w:szCs w:val="24"/>
        </w:rPr>
        <w:t>7、定标原则</w:t>
      </w:r>
      <w:bookmarkEnd w:id="646"/>
      <w:bookmarkEnd w:id="647"/>
      <w:bookmarkEnd w:id="648"/>
      <w:bookmarkEnd w:id="649"/>
      <w:bookmarkEnd w:id="650"/>
      <w:bookmarkEnd w:id="651"/>
      <w:bookmarkEnd w:id="652"/>
    </w:p>
    <w:p>
      <w:pPr>
        <w:spacing w:line="360" w:lineRule="auto"/>
        <w:ind w:firstLine="480" w:firstLineChars="200"/>
        <w:rPr>
          <w:rFonts w:cs="宋体"/>
          <w:sz w:val="24"/>
        </w:rPr>
      </w:pPr>
      <w:r>
        <w:rPr>
          <w:rFonts w:hint="eastAsia" w:cs="宋体"/>
          <w:sz w:val="24"/>
        </w:rPr>
        <w:t>7.1中标人数量：</w:t>
      </w:r>
      <w:r>
        <w:rPr>
          <w:rFonts w:cs="宋体"/>
          <w:sz w:val="24"/>
        </w:rPr>
        <w:t>1</w:t>
      </w:r>
      <w:r>
        <w:rPr>
          <w:rFonts w:hint="eastAsia" w:cs="宋体"/>
          <w:sz w:val="24"/>
        </w:rPr>
        <w:t>个。</w:t>
      </w:r>
    </w:p>
    <w:p>
      <w:pPr>
        <w:spacing w:line="360" w:lineRule="auto"/>
        <w:ind w:firstLine="480" w:firstLineChars="200"/>
        <w:rPr>
          <w:rFonts w:cs="宋体"/>
          <w:sz w:val="24"/>
        </w:rPr>
      </w:pPr>
      <w:r>
        <w:rPr>
          <w:rFonts w:hint="eastAsia" w:cs="宋体"/>
          <w:sz w:val="24"/>
        </w:rPr>
        <w:t>7.2评标结束后，评标委员会将评标报告报送招标人。</w:t>
      </w:r>
    </w:p>
    <w:p>
      <w:pPr>
        <w:spacing w:line="360" w:lineRule="auto"/>
        <w:ind w:firstLine="480" w:firstLineChars="200"/>
        <w:rPr>
          <w:rFonts w:cs="宋体"/>
          <w:sz w:val="24"/>
        </w:rPr>
      </w:pPr>
      <w:r>
        <w:rPr>
          <w:rFonts w:hint="eastAsia" w:cs="宋体"/>
          <w:sz w:val="24"/>
        </w:rPr>
        <w:t>7.3</w:t>
      </w:r>
      <w:r>
        <w:rPr>
          <w:rFonts w:hint="eastAsia" w:cs="宋体"/>
          <w:color w:val="auto"/>
          <w:sz w:val="24"/>
        </w:rPr>
        <w:t>招标人有权根据需求，与评标委员会推荐中标候选人进一步进行商务谈判</w:t>
      </w:r>
      <w:r>
        <w:rPr>
          <w:rFonts w:hint="eastAsia" w:cs="宋体"/>
          <w:sz w:val="24"/>
          <w:lang w:eastAsia="zh-CN"/>
        </w:rPr>
        <w:t>。</w:t>
      </w:r>
      <w:r>
        <w:rPr>
          <w:rFonts w:hint="eastAsia" w:cs="宋体"/>
          <w:sz w:val="24"/>
        </w:rPr>
        <w:t>具体谈判规则如下：</w:t>
      </w:r>
    </w:p>
    <w:p>
      <w:pPr>
        <w:spacing w:line="360" w:lineRule="auto"/>
        <w:ind w:firstLine="480" w:firstLineChars="200"/>
        <w:rPr>
          <w:rFonts w:cs="宋体"/>
          <w:sz w:val="24"/>
        </w:rPr>
      </w:pPr>
      <w:r>
        <w:rPr>
          <w:rFonts w:hint="eastAsia" w:cs="宋体"/>
          <w:sz w:val="24"/>
        </w:rPr>
        <w:t>（1）招标人组成的谈判小组与已被确定为中标候选人的投标人进行一轮或多轮价格谈判。</w:t>
      </w:r>
    </w:p>
    <w:p>
      <w:pPr>
        <w:spacing w:line="360" w:lineRule="auto"/>
        <w:ind w:firstLine="480" w:firstLineChars="200"/>
        <w:rPr>
          <w:rFonts w:cs="宋体"/>
          <w:sz w:val="24"/>
        </w:rPr>
      </w:pPr>
      <w:r>
        <w:rPr>
          <w:rFonts w:hint="eastAsia" w:cs="宋体"/>
          <w:sz w:val="24"/>
        </w:rPr>
        <w:t>（2）投标人后一次的报价不得高于前一次的报价。若出现后一次的报价高于前一次报价的，则后一次的报价无效，以前一次的报价为准。</w:t>
      </w:r>
    </w:p>
    <w:p>
      <w:pPr>
        <w:spacing w:line="360" w:lineRule="auto"/>
        <w:ind w:firstLine="480" w:firstLineChars="200"/>
        <w:rPr>
          <w:rFonts w:cs="宋体"/>
          <w:sz w:val="24"/>
        </w:rPr>
      </w:pPr>
      <w:r>
        <w:rPr>
          <w:rFonts w:hint="eastAsia" w:cs="宋体"/>
          <w:sz w:val="24"/>
        </w:rPr>
        <w:t>（3）投标人递交的报价文件澄清、更正、承诺文件、最终报价应予单独密封并交至谈判小组。</w:t>
      </w:r>
    </w:p>
    <w:p>
      <w:pPr>
        <w:spacing w:line="360" w:lineRule="auto"/>
        <w:ind w:firstLine="480" w:firstLineChars="200"/>
        <w:rPr>
          <w:rFonts w:cs="宋体"/>
          <w:sz w:val="24"/>
        </w:rPr>
      </w:pPr>
      <w:r>
        <w:rPr>
          <w:rFonts w:hint="eastAsia" w:cs="宋体"/>
          <w:sz w:val="24"/>
        </w:rPr>
        <w:t>（4）参加现场价格谈判并代表投标人签署报价文件的应该是招标文件要求的投标人代表，谈判时应出示身份证原件。</w:t>
      </w:r>
    </w:p>
    <w:p>
      <w:pPr>
        <w:spacing w:line="360" w:lineRule="auto"/>
        <w:ind w:firstLine="480" w:firstLineChars="200"/>
        <w:rPr>
          <w:rFonts w:cs="宋体"/>
          <w:sz w:val="24"/>
        </w:rPr>
      </w:pPr>
      <w:r>
        <w:rPr>
          <w:rFonts w:hint="eastAsia" w:cs="宋体"/>
          <w:sz w:val="24"/>
        </w:rPr>
        <w:t>（</w:t>
      </w:r>
      <w:r>
        <w:rPr>
          <w:rFonts w:hint="eastAsia" w:cs="宋体"/>
          <w:sz w:val="24"/>
          <w:lang w:val="en-US" w:eastAsia="zh-CN"/>
        </w:rPr>
        <w:t>5</w:t>
      </w:r>
      <w:r>
        <w:rPr>
          <w:rFonts w:hint="eastAsia" w:cs="宋体"/>
          <w:sz w:val="24"/>
        </w:rPr>
        <w:t>）中标候选人的现场谈判报价将为作为中标人最终合同签订的依据。</w:t>
      </w:r>
    </w:p>
    <w:p>
      <w:pPr>
        <w:spacing w:line="360" w:lineRule="auto"/>
        <w:ind w:firstLine="480" w:firstLineChars="200"/>
        <w:rPr>
          <w:rFonts w:cs="宋体"/>
          <w:sz w:val="24"/>
        </w:rPr>
      </w:pPr>
      <w:r>
        <w:rPr>
          <w:rFonts w:hint="eastAsia" w:cs="宋体"/>
          <w:sz w:val="24"/>
        </w:rPr>
        <w:t>7.4招标人将审查拟中标人的投标人资格、信誉、技术能力以及其它招标人认为有必要了解的问题。</w:t>
      </w:r>
    </w:p>
    <w:p>
      <w:pPr>
        <w:spacing w:line="360" w:lineRule="auto"/>
        <w:ind w:firstLine="480" w:firstLineChars="200"/>
        <w:rPr>
          <w:rFonts w:cs="宋体"/>
          <w:sz w:val="24"/>
        </w:rPr>
      </w:pPr>
      <w:r>
        <w:rPr>
          <w:rFonts w:hint="eastAsia" w:cs="宋体"/>
          <w:sz w:val="24"/>
        </w:rPr>
        <w:t>7.5如果确定拟中标人无能力履行合同，其投标将被拒绝，招标人将对下一个可能中标的投标人做类似审查。</w:t>
      </w:r>
    </w:p>
    <w:p>
      <w:pPr>
        <w:spacing w:line="360" w:lineRule="auto"/>
        <w:ind w:firstLine="480" w:firstLineChars="200"/>
        <w:rPr>
          <w:rFonts w:cs="宋体"/>
          <w:sz w:val="24"/>
        </w:rPr>
      </w:pPr>
      <w:r>
        <w:rPr>
          <w:rFonts w:hint="eastAsia" w:cs="宋体"/>
          <w:sz w:val="24"/>
        </w:rPr>
        <w:t>7.6接受审查的拟中标人必须如实回答询问或接受招标人的考察，并提供所需的有关资料。</w:t>
      </w:r>
    </w:p>
    <w:p>
      <w:pPr>
        <w:spacing w:line="360" w:lineRule="auto"/>
        <w:ind w:firstLine="480" w:firstLineChars="200"/>
        <w:rPr>
          <w:rFonts w:cs="宋体"/>
          <w:sz w:val="24"/>
        </w:rPr>
      </w:pPr>
      <w:r>
        <w:rPr>
          <w:rFonts w:hint="eastAsia" w:cs="宋体"/>
          <w:sz w:val="24"/>
        </w:rPr>
        <w:t>7.7招标单位当在中标、成交供应商后，在相关指定媒体上发布中标结果公示，请投标人关注。</w:t>
      </w:r>
    </w:p>
    <w:p>
      <w:pPr>
        <w:spacing w:line="360" w:lineRule="auto"/>
        <w:ind w:firstLine="480" w:firstLineChars="200"/>
        <w:rPr>
          <w:rFonts w:cs="宋体"/>
          <w:sz w:val="24"/>
        </w:rPr>
      </w:pPr>
      <w:r>
        <w:rPr>
          <w:rFonts w:hint="eastAsia" w:cs="宋体"/>
          <w:sz w:val="24"/>
        </w:rPr>
        <w:t>7.8中标通知书生效后，如果已中标的投标人不能按投标文件中承诺的条件履行签约行为，招标人有权在评标委员会推荐的中标候选人名单中选择新的合同授予人。</w:t>
      </w:r>
    </w:p>
    <w:bookmarkEnd w:id="645"/>
    <w:p>
      <w:pPr>
        <w:spacing w:line="360" w:lineRule="auto"/>
        <w:ind w:firstLine="562" w:firstLineChars="200"/>
        <w:outlineLvl w:val="1"/>
        <w:rPr>
          <w:rFonts w:cs="宋体"/>
          <w:b/>
          <w:bCs/>
          <w:sz w:val="28"/>
          <w:szCs w:val="28"/>
        </w:rPr>
      </w:pPr>
      <w:r>
        <w:rPr>
          <w:rFonts w:hint="eastAsia" w:cs="宋体"/>
          <w:b/>
          <w:bCs/>
          <w:sz w:val="28"/>
          <w:szCs w:val="28"/>
        </w:rPr>
        <w:br w:type="page"/>
      </w:r>
      <w:bookmarkStart w:id="653" w:name="_Toc27913"/>
      <w:bookmarkStart w:id="654" w:name="_Toc26613"/>
      <w:bookmarkStart w:id="655" w:name="_Toc25197"/>
      <w:bookmarkStart w:id="656" w:name="_Toc148459140"/>
      <w:bookmarkStart w:id="657" w:name="_Toc4869"/>
      <w:bookmarkStart w:id="658" w:name="_Toc14752"/>
      <w:bookmarkStart w:id="659" w:name="_Toc5511"/>
      <w:bookmarkStart w:id="660" w:name="_Toc16297"/>
      <w:r>
        <w:rPr>
          <w:rFonts w:hint="eastAsia" w:cs="宋体"/>
          <w:b/>
          <w:bCs/>
          <w:sz w:val="28"/>
          <w:szCs w:val="28"/>
        </w:rPr>
        <w:t>附表1：资格审查表</w:t>
      </w:r>
      <w:bookmarkEnd w:id="653"/>
      <w:bookmarkEnd w:id="654"/>
      <w:bookmarkEnd w:id="655"/>
      <w:bookmarkEnd w:id="656"/>
      <w:bookmarkEnd w:id="657"/>
      <w:bookmarkEnd w:id="658"/>
      <w:bookmarkEnd w:id="659"/>
      <w:bookmarkEnd w:id="660"/>
    </w:p>
    <w:tbl>
      <w:tblPr>
        <w:tblStyle w:val="28"/>
        <w:tblW w:w="872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81"/>
        <w:gridCol w:w="1524"/>
        <w:gridCol w:w="4976"/>
        <w:gridCol w:w="15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jc w:val="center"/>
        </w:trPr>
        <w:tc>
          <w:tcPr>
            <w:tcW w:w="681" w:type="dxa"/>
            <w:tcBorders>
              <w:top w:val="single" w:color="auto" w:sz="12" w:space="0"/>
              <w:left w:val="single" w:color="auto" w:sz="12" w:space="0"/>
              <w:bottom w:val="single" w:color="auto" w:sz="4" w:space="0"/>
              <w:right w:val="single" w:color="auto" w:sz="4" w:space="0"/>
            </w:tcBorders>
            <w:vAlign w:val="center"/>
          </w:tcPr>
          <w:p>
            <w:pPr>
              <w:spacing w:line="360" w:lineRule="auto"/>
              <w:ind w:left="69"/>
              <w:jc w:val="center"/>
              <w:rPr>
                <w:rFonts w:cs="宋体"/>
                <w:b/>
                <w:bCs/>
                <w:szCs w:val="21"/>
              </w:rPr>
            </w:pPr>
            <w:r>
              <w:rPr>
                <w:rFonts w:hint="eastAsia" w:cs="宋体"/>
                <w:b/>
                <w:bCs/>
              </w:rPr>
              <w:t>序号</w:t>
            </w:r>
          </w:p>
        </w:tc>
        <w:tc>
          <w:tcPr>
            <w:tcW w:w="1524" w:type="dxa"/>
            <w:tcBorders>
              <w:top w:val="single" w:color="auto" w:sz="12" w:space="0"/>
              <w:left w:val="nil"/>
              <w:bottom w:val="single" w:color="auto" w:sz="4" w:space="0"/>
              <w:right w:val="single" w:color="auto" w:sz="4" w:space="0"/>
            </w:tcBorders>
            <w:vAlign w:val="center"/>
          </w:tcPr>
          <w:p>
            <w:pPr>
              <w:spacing w:line="360" w:lineRule="auto"/>
              <w:ind w:left="69"/>
              <w:jc w:val="center"/>
              <w:rPr>
                <w:rFonts w:cs="宋体"/>
                <w:b/>
                <w:bCs/>
                <w:szCs w:val="21"/>
              </w:rPr>
            </w:pPr>
            <w:r>
              <w:rPr>
                <w:rFonts w:hint="eastAsia" w:cs="宋体"/>
                <w:b/>
                <w:bCs/>
              </w:rPr>
              <w:t>评审因素</w:t>
            </w:r>
          </w:p>
        </w:tc>
        <w:tc>
          <w:tcPr>
            <w:tcW w:w="4976" w:type="dxa"/>
            <w:tcBorders>
              <w:top w:val="single" w:color="auto" w:sz="12" w:space="0"/>
              <w:left w:val="nil"/>
              <w:bottom w:val="single" w:color="auto" w:sz="4" w:space="0"/>
              <w:right w:val="single" w:color="auto" w:sz="4" w:space="0"/>
            </w:tcBorders>
            <w:vAlign w:val="center"/>
          </w:tcPr>
          <w:p>
            <w:pPr>
              <w:spacing w:line="360" w:lineRule="auto"/>
              <w:ind w:left="69" w:right="271" w:rightChars="129"/>
              <w:jc w:val="center"/>
              <w:rPr>
                <w:rFonts w:cs="宋体"/>
                <w:b/>
                <w:bCs/>
                <w:szCs w:val="21"/>
              </w:rPr>
            </w:pPr>
            <w:r>
              <w:rPr>
                <w:rFonts w:hint="eastAsia" w:cs="宋体"/>
                <w:b/>
                <w:bCs/>
              </w:rPr>
              <w:t>评审标准</w:t>
            </w:r>
          </w:p>
        </w:tc>
        <w:tc>
          <w:tcPr>
            <w:tcW w:w="1539" w:type="dxa"/>
            <w:tcBorders>
              <w:top w:val="single" w:color="auto" w:sz="12" w:space="0"/>
              <w:left w:val="nil"/>
              <w:bottom w:val="single" w:color="auto" w:sz="4" w:space="0"/>
              <w:right w:val="single" w:color="auto" w:sz="12" w:space="0"/>
            </w:tcBorders>
            <w:vAlign w:val="center"/>
          </w:tcPr>
          <w:p>
            <w:pPr>
              <w:spacing w:line="360" w:lineRule="auto"/>
              <w:ind w:left="69" w:right="271" w:rightChars="129"/>
              <w:jc w:val="center"/>
              <w:rPr>
                <w:rFonts w:cs="宋体"/>
                <w:b/>
                <w:bCs/>
                <w:szCs w:val="21"/>
              </w:rPr>
            </w:pPr>
            <w:r>
              <w:rPr>
                <w:rFonts w:hint="eastAsia" w:cs="宋体"/>
                <w:b/>
                <w:bCs/>
              </w:rPr>
              <w:t>评审结果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681" w:type="dxa"/>
            <w:tcBorders>
              <w:top w:val="single" w:color="auto" w:sz="4" w:space="0"/>
              <w:left w:val="single" w:color="auto" w:sz="12" w:space="0"/>
              <w:bottom w:val="single" w:color="auto" w:sz="4" w:space="0"/>
              <w:right w:val="single" w:color="auto" w:sz="4" w:space="0"/>
            </w:tcBorders>
            <w:vAlign w:val="center"/>
          </w:tcPr>
          <w:p>
            <w:pPr>
              <w:spacing w:line="360" w:lineRule="auto"/>
              <w:ind w:left="69"/>
              <w:jc w:val="center"/>
              <w:rPr>
                <w:rFonts w:cs="宋体"/>
                <w:szCs w:val="21"/>
              </w:rPr>
            </w:pPr>
            <w:r>
              <w:rPr>
                <w:rFonts w:hint="eastAsia" w:cs="宋体"/>
                <w:szCs w:val="21"/>
              </w:rPr>
              <w:t>1</w:t>
            </w:r>
          </w:p>
        </w:tc>
        <w:tc>
          <w:tcPr>
            <w:tcW w:w="1524" w:type="dxa"/>
            <w:tcBorders>
              <w:top w:val="single" w:color="auto" w:sz="4" w:space="0"/>
              <w:left w:val="nil"/>
              <w:bottom w:val="single" w:color="auto" w:sz="4" w:space="0"/>
              <w:right w:val="single" w:color="auto" w:sz="4" w:space="0"/>
            </w:tcBorders>
            <w:vAlign w:val="center"/>
          </w:tcPr>
          <w:p>
            <w:pPr>
              <w:snapToGrid w:val="0"/>
              <w:spacing w:line="360" w:lineRule="exact"/>
              <w:ind w:left="69"/>
              <w:rPr>
                <w:rFonts w:cs="宋体"/>
                <w:bCs/>
                <w:szCs w:val="21"/>
              </w:rPr>
            </w:pPr>
            <w:r>
              <w:rPr>
                <w:rFonts w:hint="eastAsia" w:cs="宋体"/>
                <w:bCs/>
                <w:szCs w:val="21"/>
              </w:rPr>
              <w:t>投标有效期</w:t>
            </w:r>
          </w:p>
        </w:tc>
        <w:tc>
          <w:tcPr>
            <w:tcW w:w="4976" w:type="dxa"/>
            <w:tcBorders>
              <w:top w:val="single" w:color="auto" w:sz="4" w:space="0"/>
              <w:left w:val="nil"/>
              <w:bottom w:val="single" w:color="auto" w:sz="4" w:space="0"/>
              <w:right w:val="single" w:color="auto" w:sz="4" w:space="0"/>
            </w:tcBorders>
            <w:vAlign w:val="center"/>
          </w:tcPr>
          <w:p>
            <w:pPr>
              <w:snapToGrid w:val="0"/>
              <w:spacing w:line="360" w:lineRule="exact"/>
              <w:rPr>
                <w:rFonts w:cs="宋体"/>
                <w:bCs/>
                <w:szCs w:val="21"/>
              </w:rPr>
            </w:pPr>
            <w:r>
              <w:rPr>
                <w:rFonts w:hint="eastAsia" w:cs="宋体"/>
                <w:bCs/>
                <w:sz w:val="21"/>
                <w:szCs w:val="21"/>
              </w:rPr>
              <w:t xml:space="preserve">投标有效期：投标截止之日后 </w:t>
            </w:r>
            <w:r>
              <w:rPr>
                <w:rFonts w:hint="eastAsia" w:cs="宋体"/>
                <w:bCs/>
                <w:sz w:val="21"/>
                <w:szCs w:val="21"/>
                <w:u w:val="none"/>
              </w:rPr>
              <w:t>90个日历日</w:t>
            </w:r>
            <w:r>
              <w:rPr>
                <w:rFonts w:hint="eastAsia" w:cs="宋体"/>
                <w:bCs/>
                <w:sz w:val="21"/>
                <w:szCs w:val="21"/>
              </w:rPr>
              <w:t>内保持有效。</w:t>
            </w:r>
          </w:p>
        </w:tc>
        <w:tc>
          <w:tcPr>
            <w:tcW w:w="1539" w:type="dxa"/>
            <w:tcBorders>
              <w:top w:val="single" w:color="auto" w:sz="4" w:space="0"/>
              <w:left w:val="nil"/>
              <w:bottom w:val="single" w:color="auto" w:sz="4" w:space="0"/>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jc w:val="center"/>
              <w:rPr>
                <w:rFonts w:cs="宋体"/>
                <w:szCs w:val="21"/>
              </w:rPr>
            </w:pPr>
            <w:r>
              <w:rPr>
                <w:rFonts w:hint="eastAsia" w:cs="宋体"/>
                <w:szCs w:val="21"/>
              </w:rPr>
              <w:t>2</w:t>
            </w:r>
          </w:p>
        </w:tc>
        <w:tc>
          <w:tcPr>
            <w:tcW w:w="1524" w:type="dxa"/>
            <w:tcBorders>
              <w:top w:val="single" w:color="auto" w:sz="4" w:space="0"/>
              <w:left w:val="nil"/>
              <w:bottom w:val="nil"/>
              <w:right w:val="single" w:color="auto" w:sz="4" w:space="0"/>
            </w:tcBorders>
            <w:vAlign w:val="center"/>
          </w:tcPr>
          <w:p>
            <w:pPr>
              <w:snapToGrid w:val="0"/>
              <w:spacing w:line="360" w:lineRule="exact"/>
              <w:ind w:left="69"/>
              <w:rPr>
                <w:rFonts w:cs="宋体"/>
                <w:bCs/>
                <w:szCs w:val="21"/>
              </w:rPr>
            </w:pPr>
            <w:r>
              <w:rPr>
                <w:rFonts w:hint="eastAsia" w:cs="宋体"/>
                <w:bCs/>
                <w:szCs w:val="21"/>
              </w:rPr>
              <w:t>投标保证金</w:t>
            </w:r>
          </w:p>
        </w:tc>
        <w:tc>
          <w:tcPr>
            <w:tcW w:w="4976" w:type="dxa"/>
            <w:tcBorders>
              <w:top w:val="single" w:color="auto" w:sz="4" w:space="0"/>
              <w:left w:val="nil"/>
              <w:bottom w:val="nil"/>
              <w:right w:val="single" w:color="auto" w:sz="4" w:space="0"/>
            </w:tcBorders>
            <w:vAlign w:val="center"/>
          </w:tcPr>
          <w:p>
            <w:pPr>
              <w:rPr>
                <w:rFonts w:cs="宋体"/>
                <w:bCs/>
                <w:szCs w:val="21"/>
              </w:rPr>
            </w:pPr>
            <w:r>
              <w:rPr>
                <w:rFonts w:hint="eastAsia" w:cs="宋体"/>
                <w:bCs/>
                <w:szCs w:val="21"/>
                <w:lang w:val="en-US" w:eastAsia="zh-CN"/>
              </w:rPr>
              <w:t>投标保证金转账凭证</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jc w:val="center"/>
              <w:rPr>
                <w:rFonts w:hint="eastAsia" w:eastAsia="宋体" w:cs="宋体"/>
                <w:szCs w:val="21"/>
                <w:lang w:eastAsia="zh-CN"/>
              </w:rPr>
            </w:pPr>
            <w:r>
              <w:rPr>
                <w:rFonts w:hint="eastAsia" w:cs="宋体"/>
                <w:szCs w:val="21"/>
                <w:lang w:val="en-US" w:eastAsia="zh-CN"/>
              </w:rPr>
              <w:t>3</w:t>
            </w:r>
          </w:p>
        </w:tc>
        <w:tc>
          <w:tcPr>
            <w:tcW w:w="1524" w:type="dxa"/>
            <w:tcBorders>
              <w:top w:val="single" w:color="auto" w:sz="4" w:space="0"/>
              <w:left w:val="nil"/>
              <w:bottom w:val="nil"/>
              <w:right w:val="single" w:color="auto" w:sz="4" w:space="0"/>
            </w:tcBorders>
            <w:vAlign w:val="center"/>
          </w:tcPr>
          <w:p>
            <w:pPr>
              <w:snapToGrid w:val="0"/>
              <w:jc w:val="center"/>
              <w:rPr>
                <w:rFonts w:cs="宋体"/>
                <w:szCs w:val="21"/>
              </w:rPr>
            </w:pPr>
            <w:r>
              <w:rPr>
                <w:rFonts w:hint="eastAsia" w:cs="宋体"/>
                <w:bCs/>
                <w:szCs w:val="21"/>
              </w:rPr>
              <w:t>无效投标情形</w:t>
            </w:r>
          </w:p>
        </w:tc>
        <w:tc>
          <w:tcPr>
            <w:tcW w:w="4976" w:type="dxa"/>
            <w:tcBorders>
              <w:top w:val="single" w:color="auto" w:sz="4" w:space="0"/>
              <w:left w:val="nil"/>
              <w:bottom w:val="nil"/>
              <w:right w:val="single" w:color="auto" w:sz="4" w:space="0"/>
            </w:tcBorders>
            <w:vAlign w:val="center"/>
          </w:tcPr>
          <w:p>
            <w:pPr>
              <w:jc w:val="left"/>
              <w:rPr>
                <w:rFonts w:cs="宋体"/>
                <w:szCs w:val="21"/>
              </w:rPr>
            </w:pPr>
            <w:r>
              <w:rPr>
                <w:rFonts w:hint="eastAsia" w:cs="宋体"/>
                <w:bCs/>
                <w:szCs w:val="21"/>
              </w:rPr>
              <w:t>不存在招标文件第二章“投标人须知” 第3.3项规定的任何一种情形。（由评标委员会进行判定，投标人投标时无须提供相应的响应资料）</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63"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jc w:val="center"/>
              <w:rPr>
                <w:rFonts w:hint="eastAsia" w:eastAsia="宋体" w:cs="宋体"/>
                <w:szCs w:val="21"/>
                <w:lang w:eastAsia="zh-CN"/>
              </w:rPr>
            </w:pPr>
            <w:r>
              <w:rPr>
                <w:rFonts w:hint="eastAsia" w:cs="宋体"/>
                <w:szCs w:val="21"/>
                <w:lang w:val="en-US" w:eastAsia="zh-CN"/>
              </w:rPr>
              <w:t>4</w:t>
            </w:r>
          </w:p>
        </w:tc>
        <w:tc>
          <w:tcPr>
            <w:tcW w:w="1524" w:type="dxa"/>
            <w:tcBorders>
              <w:top w:val="single" w:color="auto" w:sz="4" w:space="0"/>
              <w:left w:val="nil"/>
              <w:bottom w:val="nil"/>
              <w:right w:val="single" w:color="auto" w:sz="4" w:space="0"/>
            </w:tcBorders>
            <w:vAlign w:val="center"/>
          </w:tcPr>
          <w:p>
            <w:pPr>
              <w:snapToGrid w:val="0"/>
              <w:ind w:left="69"/>
              <w:jc w:val="center"/>
              <w:rPr>
                <w:rFonts w:cs="宋体"/>
                <w:bCs/>
                <w:szCs w:val="21"/>
              </w:rPr>
            </w:pPr>
            <w:r>
              <w:rPr>
                <w:rFonts w:hint="eastAsia" w:cs="宋体"/>
                <w:bCs/>
                <w:szCs w:val="21"/>
              </w:rPr>
              <w:t>串通投标情形</w:t>
            </w:r>
          </w:p>
        </w:tc>
        <w:tc>
          <w:tcPr>
            <w:tcW w:w="4976" w:type="dxa"/>
            <w:tcBorders>
              <w:top w:val="single" w:color="auto" w:sz="4" w:space="0"/>
              <w:left w:val="nil"/>
              <w:bottom w:val="nil"/>
              <w:right w:val="single" w:color="auto" w:sz="4" w:space="0"/>
            </w:tcBorders>
            <w:vAlign w:val="center"/>
          </w:tcPr>
          <w:p>
            <w:pPr>
              <w:snapToGrid w:val="0"/>
              <w:spacing w:line="360" w:lineRule="exact"/>
              <w:ind w:left="69"/>
              <w:rPr>
                <w:rFonts w:cs="宋体"/>
                <w:szCs w:val="21"/>
              </w:rPr>
            </w:pPr>
            <w:r>
              <w:rPr>
                <w:rFonts w:hint="eastAsia" w:cs="宋体"/>
                <w:bCs/>
                <w:szCs w:val="21"/>
              </w:rPr>
              <w:t>不存在招标文件第二章“投标人须知” 第3.4项规定的任何一种情形。（由评标委员会进行判定，投标人投标时无须提供相应的响应资料）</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jc w:val="center"/>
              <w:rPr>
                <w:rFonts w:hint="eastAsia" w:eastAsia="宋体" w:cs="宋体"/>
                <w:szCs w:val="21"/>
                <w:lang w:eastAsia="zh-CN"/>
              </w:rPr>
            </w:pPr>
            <w:r>
              <w:rPr>
                <w:rFonts w:hint="eastAsia" w:cs="宋体"/>
                <w:szCs w:val="21"/>
                <w:lang w:val="en-US" w:eastAsia="zh-CN"/>
              </w:rPr>
              <w:t>5</w:t>
            </w:r>
          </w:p>
        </w:tc>
        <w:tc>
          <w:tcPr>
            <w:tcW w:w="1524" w:type="dxa"/>
            <w:vMerge w:val="restart"/>
            <w:tcBorders>
              <w:top w:val="single" w:color="auto" w:sz="4" w:space="0"/>
              <w:left w:val="nil"/>
              <w:right w:val="single" w:color="auto" w:sz="4" w:space="0"/>
            </w:tcBorders>
            <w:vAlign w:val="center"/>
          </w:tcPr>
          <w:p>
            <w:pPr>
              <w:snapToGrid w:val="0"/>
              <w:ind w:left="69"/>
              <w:jc w:val="center"/>
              <w:rPr>
                <w:rFonts w:cs="宋体"/>
                <w:bCs/>
                <w:szCs w:val="21"/>
              </w:rPr>
            </w:pPr>
            <w:r>
              <w:rPr>
                <w:rFonts w:hint="eastAsia" w:cs="宋体"/>
                <w:bCs/>
                <w:szCs w:val="21"/>
              </w:rPr>
              <w:t>资格要求</w:t>
            </w:r>
          </w:p>
        </w:tc>
        <w:tc>
          <w:tcPr>
            <w:tcW w:w="4976" w:type="dxa"/>
            <w:tcBorders>
              <w:top w:val="single" w:color="auto" w:sz="4" w:space="0"/>
              <w:left w:val="nil"/>
              <w:bottom w:val="nil"/>
              <w:right w:val="single" w:color="auto" w:sz="4" w:space="0"/>
            </w:tcBorders>
            <w:vAlign w:val="center"/>
          </w:tcPr>
          <w:p>
            <w:pPr>
              <w:jc w:val="left"/>
              <w:rPr>
                <w:rFonts w:cs="宋体"/>
                <w:bCs/>
                <w:szCs w:val="21"/>
              </w:rPr>
            </w:pPr>
            <w:r>
              <w:rPr>
                <w:rFonts w:hint="eastAsia" w:cs="宋体"/>
                <w:bCs/>
                <w:szCs w:val="21"/>
              </w:rPr>
              <w:t>1、投标人应具备独立的法人资格，并提供加载有统一社会征信代码的营业执照的复印件。</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jc w:val="center"/>
              <w:rPr>
                <w:rFonts w:hint="default" w:cs="宋体"/>
                <w:szCs w:val="21"/>
                <w:lang w:val="en-US"/>
              </w:rPr>
            </w:pPr>
            <w:r>
              <w:rPr>
                <w:rFonts w:hint="eastAsia" w:cs="宋体"/>
                <w:szCs w:val="21"/>
                <w:lang w:val="en-US" w:eastAsia="zh-CN"/>
              </w:rPr>
              <w:t>6</w:t>
            </w:r>
          </w:p>
        </w:tc>
        <w:tc>
          <w:tcPr>
            <w:tcW w:w="1524" w:type="dxa"/>
            <w:vMerge w:val="continue"/>
            <w:tcBorders>
              <w:left w:val="nil"/>
              <w:right w:val="single" w:color="auto" w:sz="4" w:space="0"/>
            </w:tcBorders>
            <w:vAlign w:val="center"/>
          </w:tcPr>
          <w:p>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pPr>
              <w:jc w:val="left"/>
              <w:rPr>
                <w:rFonts w:cs="宋体"/>
                <w:bCs/>
                <w:szCs w:val="21"/>
              </w:rPr>
            </w:pPr>
            <w:r>
              <w:rPr>
                <w:rFonts w:hint="eastAsia" w:cs="宋体"/>
                <w:bCs/>
                <w:szCs w:val="21"/>
              </w:rPr>
              <w:t>2、投标人代表若不是法定代表人的，应提供法人授权书原件，并加盖投标人公章。</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jc w:val="center"/>
        </w:trPr>
        <w:tc>
          <w:tcPr>
            <w:tcW w:w="681" w:type="dxa"/>
            <w:tcBorders>
              <w:top w:val="single" w:color="auto" w:sz="4" w:space="0"/>
              <w:left w:val="single" w:color="auto" w:sz="12" w:space="0"/>
              <w:right w:val="single" w:color="auto" w:sz="4" w:space="0"/>
            </w:tcBorders>
            <w:vAlign w:val="center"/>
          </w:tcPr>
          <w:p>
            <w:pPr>
              <w:spacing w:line="360" w:lineRule="auto"/>
              <w:ind w:left="69" w:leftChars="0"/>
              <w:jc w:val="center"/>
              <w:rPr>
                <w:rFonts w:cs="宋体"/>
                <w:szCs w:val="21"/>
              </w:rPr>
            </w:pPr>
            <w:r>
              <w:rPr>
                <w:rFonts w:hint="eastAsia" w:cs="宋体"/>
                <w:szCs w:val="21"/>
              </w:rPr>
              <w:t>7</w:t>
            </w:r>
          </w:p>
        </w:tc>
        <w:tc>
          <w:tcPr>
            <w:tcW w:w="1524" w:type="dxa"/>
            <w:vMerge w:val="continue"/>
            <w:tcBorders>
              <w:left w:val="nil"/>
              <w:right w:val="single" w:color="auto" w:sz="4" w:space="0"/>
            </w:tcBorders>
            <w:vAlign w:val="center"/>
          </w:tcPr>
          <w:p>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pPr>
              <w:jc w:val="left"/>
              <w:rPr>
                <w:rFonts w:cs="宋体"/>
                <w:bCs/>
                <w:szCs w:val="21"/>
              </w:rPr>
            </w:pPr>
            <w:r>
              <w:rPr>
                <w:rFonts w:hint="eastAsia" w:cs="宋体"/>
                <w:bCs/>
                <w:szCs w:val="21"/>
              </w:rPr>
              <w:t>3、投标人若非投标设备的制造商，则须提供制造商或国外制造商在国内合法的分支机构出具的授权函，原件备查。</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leftChars="0"/>
              <w:jc w:val="center"/>
              <w:rPr>
                <w:rFonts w:hint="eastAsia" w:eastAsia="宋体" w:cs="宋体"/>
                <w:szCs w:val="21"/>
                <w:lang w:eastAsia="zh-CN"/>
              </w:rPr>
            </w:pPr>
            <w:r>
              <w:rPr>
                <w:rFonts w:hint="eastAsia" w:cs="宋体"/>
                <w:szCs w:val="21"/>
              </w:rPr>
              <w:t>8</w:t>
            </w:r>
          </w:p>
        </w:tc>
        <w:tc>
          <w:tcPr>
            <w:tcW w:w="1524" w:type="dxa"/>
            <w:vMerge w:val="continue"/>
            <w:tcBorders>
              <w:left w:val="nil"/>
              <w:right w:val="single" w:color="auto" w:sz="4" w:space="0"/>
            </w:tcBorders>
            <w:vAlign w:val="center"/>
          </w:tcPr>
          <w:p>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pPr>
              <w:snapToGrid w:val="0"/>
              <w:spacing w:line="360" w:lineRule="auto"/>
              <w:rPr>
                <w:rFonts w:cs="宋体"/>
                <w:b/>
                <w:szCs w:val="21"/>
              </w:rPr>
            </w:pPr>
            <w:r>
              <w:rPr>
                <w:rFonts w:hint="eastAsia"/>
                <w:bCs/>
                <w:szCs w:val="21"/>
                <w:lang w:val="en-US" w:eastAsia="zh-CN"/>
              </w:rPr>
              <w:t>4</w:t>
            </w:r>
            <w:r>
              <w:rPr>
                <w:rFonts w:hint="eastAsia"/>
                <w:bCs/>
                <w:szCs w:val="21"/>
              </w:rPr>
              <w:t>、本项目</w:t>
            </w:r>
            <w:r>
              <w:rPr>
                <w:rStyle w:val="33"/>
                <w:rFonts w:hint="eastAsia"/>
                <w:bCs/>
                <w:kern w:val="0"/>
              </w:rPr>
              <w:t>不</w:t>
            </w:r>
            <w:r>
              <w:rPr>
                <w:rFonts w:hint="eastAsia"/>
                <w:bCs/>
                <w:szCs w:val="21"/>
              </w:rPr>
              <w:t>接受联合体投标</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7181" w:type="dxa"/>
            <w:gridSpan w:val="3"/>
            <w:tcBorders>
              <w:top w:val="single" w:color="auto" w:sz="4" w:space="0"/>
              <w:left w:val="single" w:color="auto" w:sz="12" w:space="0"/>
              <w:bottom w:val="single" w:color="auto" w:sz="12" w:space="0"/>
              <w:right w:val="single" w:color="auto" w:sz="4" w:space="0"/>
            </w:tcBorders>
            <w:vAlign w:val="center"/>
          </w:tcPr>
          <w:p>
            <w:pPr>
              <w:snapToGrid w:val="0"/>
              <w:spacing w:line="360" w:lineRule="auto"/>
              <w:ind w:left="69"/>
              <w:jc w:val="center"/>
              <w:rPr>
                <w:rFonts w:cs="宋体"/>
                <w:szCs w:val="21"/>
              </w:rPr>
            </w:pPr>
            <w:r>
              <w:rPr>
                <w:rFonts w:hint="eastAsia" w:cs="宋体"/>
                <w:szCs w:val="21"/>
              </w:rPr>
              <w:t>评审结果</w:t>
            </w:r>
          </w:p>
        </w:tc>
        <w:tc>
          <w:tcPr>
            <w:tcW w:w="1539" w:type="dxa"/>
            <w:tcBorders>
              <w:top w:val="single" w:color="auto" w:sz="4" w:space="0"/>
              <w:left w:val="nil"/>
              <w:bottom w:val="single" w:color="auto" w:sz="12" w:space="0"/>
              <w:right w:val="single" w:color="auto" w:sz="12" w:space="0"/>
            </w:tcBorders>
            <w:vAlign w:val="center"/>
          </w:tcPr>
          <w:p>
            <w:pPr>
              <w:spacing w:line="360" w:lineRule="auto"/>
              <w:ind w:left="69" w:right="46" w:rightChars="22"/>
              <w:rPr>
                <w:rFonts w:cs="宋体"/>
                <w:szCs w:val="21"/>
              </w:rPr>
            </w:pPr>
          </w:p>
        </w:tc>
      </w:tr>
    </w:tbl>
    <w:p>
      <w:pPr>
        <w:spacing w:line="360" w:lineRule="auto"/>
        <w:rPr>
          <w:rFonts w:cs="宋体"/>
          <w:szCs w:val="21"/>
        </w:rPr>
      </w:pPr>
      <w:r>
        <w:rPr>
          <w:rFonts w:hint="eastAsia" w:cs="宋体"/>
        </w:rPr>
        <w:t>说明：</w:t>
      </w:r>
    </w:p>
    <w:p>
      <w:pPr>
        <w:spacing w:line="360" w:lineRule="auto"/>
        <w:rPr>
          <w:rFonts w:cs="宋体"/>
        </w:rPr>
      </w:pPr>
      <w:r>
        <w:rPr>
          <w:rFonts w:hint="eastAsia" w:cs="宋体"/>
        </w:rPr>
        <w:t>（1）投</w:t>
      </w:r>
      <w:r>
        <w:rPr>
          <w:rFonts w:hint="eastAsia" w:cs="宋体"/>
          <w:bCs/>
          <w:szCs w:val="21"/>
        </w:rPr>
        <w:t>标人不满足上述规定的资格条件或提供资格证明文件不全的，其投标将被拒绝，</w:t>
      </w:r>
      <w:r>
        <w:rPr>
          <w:rFonts w:hint="eastAsia" w:cs="宋体"/>
        </w:rPr>
        <w:t>资格证明材料需提供复印件，并加盖投标单位公章，原件备查。</w:t>
      </w:r>
    </w:p>
    <w:p>
      <w:pPr>
        <w:spacing w:line="360" w:lineRule="auto"/>
        <w:rPr>
          <w:rFonts w:cs="宋体"/>
        </w:rPr>
      </w:pPr>
      <w:r>
        <w:rPr>
          <w:rFonts w:hint="eastAsia" w:cs="宋体"/>
        </w:rPr>
        <w:t>（2）评定结果为“合格”或“不合格”，符合合格条件标准则评定结果为“合格”，不符合合格条件标准则评定结果为“不合格”。</w:t>
      </w:r>
    </w:p>
    <w:p>
      <w:pPr>
        <w:spacing w:line="360" w:lineRule="auto"/>
        <w:ind w:left="31" w:leftChars="15"/>
        <w:rPr>
          <w:rFonts w:cs="宋体"/>
          <w:b/>
          <w:bCs/>
          <w:sz w:val="28"/>
          <w:szCs w:val="28"/>
        </w:rPr>
      </w:pPr>
      <w:r>
        <w:rPr>
          <w:rFonts w:hint="eastAsia" w:cs="宋体"/>
        </w:rPr>
        <w:t>（3）审查内容一项不通过则评审结果为“不合格”。</w:t>
      </w:r>
      <w:bookmarkStart w:id="661" w:name="_Toc16702"/>
    </w:p>
    <w:p>
      <w:pPr>
        <w:spacing w:line="360" w:lineRule="auto"/>
        <w:outlineLvl w:val="1"/>
        <w:rPr>
          <w:rFonts w:cs="宋体"/>
          <w:b/>
          <w:bCs/>
          <w:sz w:val="28"/>
          <w:szCs w:val="28"/>
        </w:rPr>
      </w:pPr>
      <w:r>
        <w:rPr>
          <w:rFonts w:hint="eastAsia" w:cs="宋体"/>
          <w:b/>
          <w:bCs/>
          <w:sz w:val="28"/>
          <w:szCs w:val="28"/>
        </w:rPr>
        <w:br w:type="page"/>
      </w:r>
      <w:bookmarkStart w:id="662" w:name="_Toc21074"/>
      <w:bookmarkStart w:id="663" w:name="_Toc26794"/>
      <w:bookmarkStart w:id="664" w:name="_Toc148459141"/>
      <w:bookmarkStart w:id="665" w:name="_Toc27430"/>
      <w:bookmarkStart w:id="666" w:name="_Toc28079"/>
      <w:bookmarkStart w:id="667" w:name="_Toc20895"/>
      <w:bookmarkStart w:id="668" w:name="_Toc14795"/>
      <w:r>
        <w:rPr>
          <w:rFonts w:hint="eastAsia" w:cs="宋体"/>
          <w:b/>
          <w:bCs/>
          <w:sz w:val="28"/>
          <w:szCs w:val="28"/>
        </w:rPr>
        <w:t>附表2：符合性条款审查表</w:t>
      </w:r>
      <w:bookmarkEnd w:id="661"/>
      <w:bookmarkEnd w:id="662"/>
      <w:bookmarkEnd w:id="663"/>
      <w:bookmarkEnd w:id="664"/>
      <w:bookmarkEnd w:id="665"/>
      <w:bookmarkEnd w:id="666"/>
      <w:bookmarkEnd w:id="667"/>
      <w:bookmarkEnd w:id="668"/>
    </w:p>
    <w:tbl>
      <w:tblPr>
        <w:tblStyle w:val="2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1732"/>
        <w:gridCol w:w="5333"/>
        <w:gridCol w:w="1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8" w:hRule="atLeast"/>
          <w:jc w:val="center"/>
        </w:trPr>
        <w:tc>
          <w:tcPr>
            <w:tcW w:w="818" w:type="dxa"/>
            <w:tcBorders>
              <w:top w:val="single" w:color="auto" w:sz="12" w:space="0"/>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序号</w:t>
            </w:r>
          </w:p>
        </w:tc>
        <w:tc>
          <w:tcPr>
            <w:tcW w:w="1732" w:type="dxa"/>
            <w:tcBorders>
              <w:top w:val="single" w:color="auto" w:sz="12" w:space="0"/>
              <w:left w:val="nil"/>
              <w:bottom w:val="single" w:color="auto" w:sz="6" w:space="0"/>
              <w:right w:val="single" w:color="auto" w:sz="4" w:space="0"/>
            </w:tcBorders>
            <w:vAlign w:val="center"/>
          </w:tcPr>
          <w:p>
            <w:pPr>
              <w:spacing w:line="360" w:lineRule="auto"/>
              <w:ind w:left="69"/>
              <w:jc w:val="center"/>
              <w:rPr>
                <w:rFonts w:cs="宋体"/>
                <w:szCs w:val="21"/>
              </w:rPr>
            </w:pPr>
            <w:r>
              <w:rPr>
                <w:rFonts w:hint="eastAsia" w:cs="宋体"/>
                <w:szCs w:val="21"/>
              </w:rPr>
              <w:t>评审因素</w:t>
            </w:r>
          </w:p>
        </w:tc>
        <w:tc>
          <w:tcPr>
            <w:tcW w:w="5333" w:type="dxa"/>
            <w:tcBorders>
              <w:top w:val="single" w:color="auto" w:sz="12" w:space="0"/>
              <w:left w:val="single" w:color="auto" w:sz="4"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评审标准</w:t>
            </w:r>
          </w:p>
        </w:tc>
        <w:tc>
          <w:tcPr>
            <w:tcW w:w="1177" w:type="dxa"/>
            <w:tcBorders>
              <w:top w:val="single" w:color="auto" w:sz="12" w:space="0"/>
              <w:left w:val="nil"/>
              <w:bottom w:val="single" w:color="auto" w:sz="6" w:space="0"/>
              <w:right w:val="single" w:color="auto" w:sz="12" w:space="0"/>
            </w:tcBorders>
            <w:tcMar>
              <w:top w:w="0" w:type="dxa"/>
              <w:left w:w="57" w:type="dxa"/>
              <w:bottom w:w="0" w:type="dxa"/>
              <w:right w:w="57" w:type="dxa"/>
            </w:tcMar>
            <w:vAlign w:val="center"/>
          </w:tcPr>
          <w:p>
            <w:pPr>
              <w:spacing w:line="360" w:lineRule="auto"/>
              <w:ind w:left="69"/>
              <w:jc w:val="center"/>
              <w:rPr>
                <w:rFonts w:cs="宋体"/>
                <w:szCs w:val="21"/>
              </w:rPr>
            </w:pPr>
            <w:r>
              <w:rPr>
                <w:rFonts w:hint="eastAsia" w:cs="宋体"/>
                <w:szCs w:val="21"/>
              </w:rPr>
              <w:t>是否满足（填写“合格”或“不合格”）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3" w:hRule="atLeast"/>
          <w:jc w:val="center"/>
        </w:trPr>
        <w:tc>
          <w:tcPr>
            <w:tcW w:w="818" w:type="dxa"/>
            <w:tcBorders>
              <w:top w:val="single" w:color="auto" w:sz="6" w:space="0"/>
              <w:left w:val="single" w:color="auto" w:sz="12" w:space="0"/>
              <w:bottom w:val="single" w:color="auto" w:sz="6" w:space="0"/>
              <w:right w:val="single" w:color="auto" w:sz="6" w:space="0"/>
            </w:tcBorders>
            <w:vAlign w:val="center"/>
          </w:tcPr>
          <w:p>
            <w:pPr>
              <w:spacing w:line="360" w:lineRule="auto"/>
              <w:ind w:left="69"/>
              <w:jc w:val="center"/>
              <w:rPr>
                <w:rFonts w:cs="宋体"/>
                <w:szCs w:val="21"/>
              </w:rPr>
            </w:pPr>
          </w:p>
        </w:tc>
        <w:tc>
          <w:tcPr>
            <w:tcW w:w="1732" w:type="dxa"/>
            <w:tcBorders>
              <w:top w:val="single" w:color="auto" w:sz="6" w:space="0"/>
              <w:left w:val="nil"/>
              <w:bottom w:val="single" w:color="auto" w:sz="6" w:space="0"/>
              <w:right w:val="single" w:color="auto" w:sz="4" w:space="0"/>
            </w:tcBorders>
            <w:vAlign w:val="center"/>
          </w:tcPr>
          <w:p>
            <w:pPr>
              <w:spacing w:line="360" w:lineRule="auto"/>
              <w:ind w:left="69"/>
              <w:jc w:val="center"/>
              <w:rPr>
                <w:rFonts w:cs="宋体"/>
                <w:szCs w:val="21"/>
              </w:rPr>
            </w:pPr>
            <w:r>
              <w:rPr>
                <w:rFonts w:hint="eastAsia" w:cs="宋体"/>
                <w:szCs w:val="21"/>
              </w:rPr>
              <w:t>实质性要求</w:t>
            </w:r>
          </w:p>
        </w:tc>
        <w:tc>
          <w:tcPr>
            <w:tcW w:w="5333" w:type="dxa"/>
            <w:tcBorders>
              <w:top w:val="single" w:color="auto" w:sz="6" w:space="0"/>
              <w:left w:val="single" w:color="auto" w:sz="4" w:space="0"/>
              <w:bottom w:val="single" w:color="auto" w:sz="6" w:space="0"/>
              <w:right w:val="single" w:color="auto" w:sz="6" w:space="0"/>
            </w:tcBorders>
            <w:vAlign w:val="center"/>
          </w:tcPr>
          <w:p>
            <w:pPr>
              <w:spacing w:line="360" w:lineRule="auto"/>
              <w:ind w:left="69"/>
              <w:rPr>
                <w:rFonts w:cs="宋体"/>
                <w:szCs w:val="21"/>
              </w:rPr>
            </w:pPr>
            <w:r>
              <w:rPr>
                <w:rFonts w:hint="eastAsia" w:cs="宋体"/>
                <w:szCs w:val="21"/>
              </w:rPr>
              <w:t>投标文件对招标文件实质</w:t>
            </w:r>
            <w:r>
              <w:rPr>
                <w:rFonts w:hint="eastAsia" w:cs="宋体"/>
                <w:szCs w:val="21"/>
                <w:highlight w:val="none"/>
              </w:rPr>
              <w:t>性</w:t>
            </w:r>
            <w:r>
              <w:rPr>
                <w:rFonts w:hint="eastAsia" w:cs="宋体"/>
                <w:szCs w:val="21"/>
              </w:rPr>
              <w:t>要求的响应有效、完整，不存在重大偏差或与招标文件一致；不存在招标文件规定的其他投标无效情形的。包括但不限于“第四章</w:t>
            </w:r>
            <w:r>
              <w:rPr>
                <w:rFonts w:cs="宋体"/>
                <w:szCs w:val="21"/>
              </w:rPr>
              <w:t xml:space="preserve"> 招标内容及要求</w:t>
            </w:r>
            <w:r>
              <w:rPr>
                <w:rFonts w:hint="eastAsia" w:cs="宋体"/>
                <w:szCs w:val="21"/>
              </w:rPr>
              <w:t>”中的以下带“</w:t>
            </w:r>
            <w:r>
              <w:rPr>
                <w:rFonts w:hint="eastAsia"/>
                <w:b/>
                <w:bCs/>
              </w:rPr>
              <w:t>★</w:t>
            </w:r>
            <w:r>
              <w:rPr>
                <w:rFonts w:hint="eastAsia" w:cs="宋体"/>
                <w:szCs w:val="21"/>
              </w:rPr>
              <w:t>”的关键性条款：</w:t>
            </w:r>
          </w:p>
        </w:tc>
        <w:tc>
          <w:tcPr>
            <w:tcW w:w="1177" w:type="dxa"/>
            <w:tcBorders>
              <w:top w:val="single" w:color="auto" w:sz="6" w:space="0"/>
              <w:left w:val="nil"/>
              <w:bottom w:val="single" w:color="auto" w:sz="6" w:space="0"/>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5" w:hRule="atLeast"/>
          <w:jc w:val="center"/>
        </w:trPr>
        <w:tc>
          <w:tcPr>
            <w:tcW w:w="818" w:type="dxa"/>
            <w:tcBorders>
              <w:top w:val="single" w:color="auto" w:sz="6" w:space="0"/>
              <w:left w:val="single" w:color="auto" w:sz="12" w:space="0"/>
              <w:right w:val="single" w:color="auto" w:sz="6" w:space="0"/>
            </w:tcBorders>
            <w:vAlign w:val="center"/>
          </w:tcPr>
          <w:p>
            <w:pPr>
              <w:spacing w:line="360" w:lineRule="auto"/>
              <w:ind w:left="69"/>
              <w:jc w:val="center"/>
              <w:rPr>
                <w:rFonts w:cs="宋体"/>
                <w:szCs w:val="21"/>
              </w:rPr>
            </w:pPr>
            <w:r>
              <w:rPr>
                <w:rFonts w:hint="eastAsia" w:cs="宋体"/>
                <w:szCs w:val="21"/>
              </w:rPr>
              <w:t>1</w:t>
            </w:r>
          </w:p>
        </w:tc>
        <w:tc>
          <w:tcPr>
            <w:tcW w:w="1732" w:type="dxa"/>
            <w:vMerge w:val="restart"/>
            <w:tcBorders>
              <w:left w:val="nil"/>
              <w:right w:val="single" w:color="auto" w:sz="4" w:space="0"/>
            </w:tcBorders>
            <w:vAlign w:val="center"/>
          </w:tcPr>
          <w:p>
            <w:pPr>
              <w:snapToGrid w:val="0"/>
              <w:spacing w:line="360" w:lineRule="auto"/>
              <w:ind w:left="69"/>
              <w:rPr>
                <w:rFonts w:hint="default" w:eastAsia="宋体" w:cs="宋体"/>
                <w:szCs w:val="21"/>
                <w:lang w:val="en-US" w:eastAsia="zh-CN"/>
              </w:rPr>
            </w:pPr>
            <w:r>
              <w:rPr>
                <w:rFonts w:hint="eastAsia" w:cs="宋体"/>
                <w:szCs w:val="21"/>
                <w:lang w:val="en-US" w:eastAsia="zh-CN"/>
              </w:rPr>
              <w:t>关键性条款要求（带“</w:t>
            </w:r>
            <w:r>
              <w:rPr>
                <w:rFonts w:hint="eastAsia" w:cs="宋体"/>
                <w:szCs w:val="21"/>
              </w:rPr>
              <w:t>★</w:t>
            </w:r>
            <w:r>
              <w:rPr>
                <w:rFonts w:hint="eastAsia" w:cs="宋体"/>
                <w:szCs w:val="21"/>
                <w:lang w:val="en-US" w:eastAsia="zh-CN"/>
              </w:rPr>
              <w:t>”条款）</w:t>
            </w:r>
          </w:p>
        </w:tc>
        <w:tc>
          <w:tcPr>
            <w:tcW w:w="5333" w:type="dxa"/>
            <w:tcBorders>
              <w:top w:val="single" w:color="auto" w:sz="6" w:space="0"/>
              <w:left w:val="single" w:color="auto" w:sz="4" w:space="0"/>
              <w:bottom w:val="single" w:color="auto" w:sz="4" w:space="0"/>
              <w:right w:val="single" w:color="auto" w:sz="6" w:space="0"/>
            </w:tcBorders>
            <w:vAlign w:val="center"/>
          </w:tcPr>
          <w:p>
            <w:pPr>
              <w:snapToGrid w:val="0"/>
              <w:spacing w:line="360" w:lineRule="auto"/>
              <w:rPr>
                <w:rFonts w:hint="eastAsia" w:eastAsia="宋体"/>
                <w:color w:val="auto"/>
                <w:sz w:val="24"/>
                <w:lang w:val="en-US" w:eastAsia="zh-CN"/>
              </w:rPr>
            </w:pPr>
            <w:r>
              <w:rPr>
                <w:rFonts w:hint="eastAsia"/>
                <w:color w:val="auto"/>
              </w:rPr>
              <w:t>★质保期：以合同设备验收合格之日起整机质保</w:t>
            </w:r>
            <w:r>
              <w:rPr>
                <w:rFonts w:hint="eastAsia"/>
                <w:color w:val="auto"/>
                <w:u w:val="single"/>
                <w:lang w:val="en-US" w:eastAsia="zh-CN"/>
              </w:rPr>
              <w:t>1</w:t>
            </w:r>
            <w:r>
              <w:rPr>
                <w:rFonts w:hint="eastAsia"/>
                <w:color w:val="auto"/>
              </w:rPr>
              <w:t>年</w:t>
            </w:r>
            <w:r>
              <w:rPr>
                <w:rFonts w:hint="eastAsia"/>
                <w:color w:val="auto"/>
                <w:lang w:eastAsia="zh-CN"/>
              </w:rPr>
              <w:t>，</w:t>
            </w:r>
            <w:r>
              <w:rPr>
                <w:rFonts w:hint="eastAsia"/>
                <w:color w:val="auto"/>
                <w:lang w:val="en-US" w:eastAsia="zh-CN"/>
              </w:rPr>
              <w:t>系统</w:t>
            </w:r>
            <w:r>
              <w:rPr>
                <w:rFonts w:hint="eastAsia"/>
                <w:color w:val="auto"/>
                <w:u w:val="single"/>
                <w:lang w:val="en-US" w:eastAsia="zh-CN"/>
              </w:rPr>
              <w:t>2</w:t>
            </w:r>
            <w:r>
              <w:rPr>
                <w:rFonts w:hint="eastAsia"/>
                <w:color w:val="auto"/>
                <w:lang w:val="en-US" w:eastAsia="zh-CN"/>
              </w:rPr>
              <w:t>年。（最低要求）</w:t>
            </w:r>
          </w:p>
        </w:tc>
        <w:tc>
          <w:tcPr>
            <w:tcW w:w="1177" w:type="dxa"/>
            <w:tcBorders>
              <w:top w:val="single" w:color="auto" w:sz="6" w:space="0"/>
              <w:left w:val="nil"/>
              <w:bottom w:val="single" w:color="auto" w:sz="4" w:space="0"/>
              <w:right w:val="single" w:color="auto" w:sz="12" w:space="0"/>
            </w:tcBorders>
            <w:vAlign w:val="center"/>
          </w:tcPr>
          <w:p>
            <w:pPr>
              <w:snapToGrid w:val="0"/>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jc w:val="center"/>
        </w:trPr>
        <w:tc>
          <w:tcPr>
            <w:tcW w:w="818" w:type="dxa"/>
            <w:tcBorders>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2</w:t>
            </w:r>
          </w:p>
        </w:tc>
        <w:tc>
          <w:tcPr>
            <w:tcW w:w="1732" w:type="dxa"/>
            <w:vMerge w:val="continue"/>
            <w:tcBorders>
              <w:left w:val="nil"/>
              <w:right w:val="single" w:color="auto" w:sz="4" w:space="0"/>
            </w:tcBorders>
            <w:vAlign w:val="center"/>
          </w:tcPr>
          <w:p>
            <w:pPr>
              <w:snapToGrid w:val="0"/>
              <w:spacing w:line="360" w:lineRule="auto"/>
              <w:ind w:left="69"/>
              <w:rPr>
                <w:rFonts w:cs="宋体"/>
                <w:szCs w:val="21"/>
              </w:rPr>
            </w:pPr>
          </w:p>
        </w:tc>
        <w:tc>
          <w:tcPr>
            <w:tcW w:w="5333" w:type="dxa"/>
            <w:tcBorders>
              <w:top w:val="single" w:color="auto" w:sz="4" w:space="0"/>
              <w:left w:val="single" w:color="auto" w:sz="4" w:space="0"/>
              <w:bottom w:val="single" w:color="auto" w:sz="6" w:space="0"/>
              <w:right w:val="single" w:color="auto" w:sz="6" w:space="0"/>
            </w:tcBorders>
            <w:vAlign w:val="center"/>
          </w:tcPr>
          <w:p>
            <w:pPr>
              <w:snapToGrid w:val="0"/>
              <w:spacing w:line="360" w:lineRule="auto"/>
              <w:rPr>
                <w:color w:val="auto"/>
              </w:rPr>
            </w:pPr>
            <w:r>
              <w:rPr>
                <w:rFonts w:hint="eastAsia" w:cs="宋体"/>
                <w:color w:val="auto"/>
                <w:szCs w:val="21"/>
              </w:rPr>
              <w:t>★供应范围：本次招标为交钥匙工程，设备</w:t>
            </w:r>
            <w:r>
              <w:rPr>
                <w:rFonts w:hint="eastAsia" w:cs="宋体"/>
                <w:color w:val="auto"/>
                <w:szCs w:val="21"/>
                <w:lang w:val="en-US" w:eastAsia="zh-CN"/>
              </w:rPr>
              <w:t>所需</w:t>
            </w:r>
            <w:r>
              <w:rPr>
                <w:rFonts w:hint="eastAsia" w:cs="宋体"/>
                <w:color w:val="auto"/>
                <w:szCs w:val="21"/>
              </w:rPr>
              <w:t>物料、服务等均须按招标文件技术要求由投标方负责全部提供</w:t>
            </w:r>
          </w:p>
        </w:tc>
        <w:tc>
          <w:tcPr>
            <w:tcW w:w="1177" w:type="dxa"/>
            <w:tcBorders>
              <w:top w:val="single" w:color="auto" w:sz="4" w:space="0"/>
              <w:left w:val="nil"/>
              <w:bottom w:val="single" w:color="auto" w:sz="6" w:space="0"/>
              <w:right w:val="single" w:color="auto" w:sz="12" w:space="0"/>
            </w:tcBorders>
            <w:vAlign w:val="center"/>
          </w:tcPr>
          <w:p>
            <w:pPr>
              <w:snapToGrid w:val="0"/>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jc w:val="center"/>
        </w:trPr>
        <w:tc>
          <w:tcPr>
            <w:tcW w:w="818" w:type="dxa"/>
            <w:tcBorders>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3</w:t>
            </w:r>
          </w:p>
        </w:tc>
        <w:tc>
          <w:tcPr>
            <w:tcW w:w="1732" w:type="dxa"/>
            <w:vMerge w:val="continue"/>
            <w:tcBorders>
              <w:left w:val="nil"/>
              <w:right w:val="single" w:color="auto" w:sz="4" w:space="0"/>
            </w:tcBorders>
            <w:vAlign w:val="center"/>
          </w:tcPr>
          <w:p>
            <w:pPr>
              <w:snapToGrid w:val="0"/>
              <w:spacing w:line="360" w:lineRule="auto"/>
              <w:ind w:left="69"/>
              <w:rPr>
                <w:rFonts w:cs="宋体"/>
                <w:szCs w:val="21"/>
              </w:rPr>
            </w:pPr>
          </w:p>
        </w:tc>
        <w:tc>
          <w:tcPr>
            <w:tcW w:w="5333" w:type="dxa"/>
            <w:tcBorders>
              <w:top w:val="single" w:color="auto" w:sz="4" w:space="0"/>
              <w:left w:val="single" w:color="auto" w:sz="4" w:space="0"/>
              <w:bottom w:val="single" w:color="auto" w:sz="6" w:space="0"/>
              <w:right w:val="single" w:color="auto" w:sz="6" w:space="0"/>
            </w:tcBorders>
            <w:vAlign w:val="center"/>
          </w:tcPr>
          <w:p>
            <w:pPr>
              <w:snapToGrid w:val="0"/>
              <w:spacing w:line="360" w:lineRule="auto"/>
              <w:rPr>
                <w:szCs w:val="21"/>
              </w:rPr>
            </w:pPr>
            <w:r>
              <w:rPr>
                <w:rFonts w:hint="eastAsia" w:cs="宋体"/>
                <w:szCs w:val="21"/>
              </w:rPr>
              <w:t>★全部设备在合同签</w:t>
            </w:r>
            <w:r>
              <w:rPr>
                <w:rFonts w:hint="eastAsia" w:cs="宋体"/>
                <w:color w:val="auto"/>
                <w:szCs w:val="21"/>
              </w:rPr>
              <w:t>订后</w:t>
            </w:r>
            <w:r>
              <w:rPr>
                <w:rFonts w:hint="eastAsia" w:cs="宋体"/>
                <w:color w:val="auto"/>
                <w:szCs w:val="21"/>
                <w:u w:val="single"/>
                <w:lang w:val="en-US" w:eastAsia="zh-CN"/>
              </w:rPr>
              <w:t>4个月</w:t>
            </w:r>
            <w:r>
              <w:rPr>
                <w:rFonts w:hint="eastAsia" w:cs="宋体"/>
                <w:color w:val="auto"/>
                <w:szCs w:val="21"/>
                <w:u w:val="single"/>
              </w:rPr>
              <w:t>内</w:t>
            </w:r>
            <w:r>
              <w:rPr>
                <w:rFonts w:hint="eastAsia" w:cs="宋体"/>
                <w:color w:val="auto"/>
                <w:szCs w:val="21"/>
              </w:rPr>
              <w:t>交货到招标人的指定地点，并在具备安装条件后</w:t>
            </w:r>
            <w:r>
              <w:rPr>
                <w:rFonts w:hint="eastAsia" w:cs="宋体"/>
                <w:color w:val="auto"/>
                <w:szCs w:val="21"/>
                <w:u w:val="single"/>
                <w:lang w:val="en-US" w:eastAsia="zh-CN"/>
              </w:rPr>
              <w:t>45</w:t>
            </w:r>
            <w:r>
              <w:rPr>
                <w:rFonts w:hint="eastAsia" w:cs="宋体"/>
                <w:color w:val="auto"/>
                <w:szCs w:val="21"/>
              </w:rPr>
              <w:t>天内完成设备的安装调试。</w:t>
            </w:r>
          </w:p>
        </w:tc>
        <w:tc>
          <w:tcPr>
            <w:tcW w:w="1177" w:type="dxa"/>
            <w:tcBorders>
              <w:top w:val="single" w:color="auto" w:sz="4" w:space="0"/>
              <w:left w:val="nil"/>
              <w:bottom w:val="single" w:color="auto" w:sz="6" w:space="0"/>
              <w:right w:val="single" w:color="auto" w:sz="12" w:space="0"/>
            </w:tcBorders>
            <w:vAlign w:val="center"/>
          </w:tcPr>
          <w:p>
            <w:pPr>
              <w:snapToGrid w:val="0"/>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jc w:val="center"/>
        </w:trPr>
        <w:tc>
          <w:tcPr>
            <w:tcW w:w="818" w:type="dxa"/>
            <w:tcBorders>
              <w:top w:val="single" w:color="auto" w:sz="6" w:space="0"/>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4</w:t>
            </w:r>
          </w:p>
        </w:tc>
        <w:tc>
          <w:tcPr>
            <w:tcW w:w="1732" w:type="dxa"/>
            <w:vMerge w:val="continue"/>
            <w:tcBorders>
              <w:left w:val="nil"/>
              <w:right w:val="single" w:color="auto" w:sz="4" w:space="0"/>
            </w:tcBorders>
            <w:vAlign w:val="center"/>
          </w:tcPr>
          <w:p>
            <w:pPr>
              <w:snapToGrid w:val="0"/>
              <w:spacing w:line="360" w:lineRule="auto"/>
              <w:ind w:left="69"/>
              <w:rPr>
                <w:rFonts w:cs="宋体"/>
                <w:szCs w:val="21"/>
              </w:rPr>
            </w:pPr>
          </w:p>
        </w:tc>
        <w:tc>
          <w:tcPr>
            <w:tcW w:w="533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szCs w:val="21"/>
              </w:rPr>
            </w:pPr>
            <w:r>
              <w:rPr>
                <w:rFonts w:hint="eastAsia" w:cs="宋体"/>
                <w:szCs w:val="21"/>
              </w:rPr>
              <w:t>★付款方式（详见“第四章招标内容及要求”中“五、付款方式”中的要求）</w:t>
            </w:r>
          </w:p>
        </w:tc>
        <w:tc>
          <w:tcPr>
            <w:tcW w:w="1177" w:type="dxa"/>
            <w:tcBorders>
              <w:top w:val="single" w:color="auto" w:sz="6" w:space="0"/>
              <w:left w:val="nil"/>
              <w:bottom w:val="single" w:color="auto" w:sz="6" w:space="0"/>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jc w:val="center"/>
        </w:trPr>
        <w:tc>
          <w:tcPr>
            <w:tcW w:w="818" w:type="dxa"/>
            <w:tcBorders>
              <w:top w:val="single" w:color="auto" w:sz="6" w:space="0"/>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5</w:t>
            </w:r>
          </w:p>
        </w:tc>
        <w:tc>
          <w:tcPr>
            <w:tcW w:w="1732" w:type="dxa"/>
            <w:tcBorders>
              <w:left w:val="nil"/>
              <w:right w:val="single" w:color="auto" w:sz="4" w:space="0"/>
            </w:tcBorders>
            <w:vAlign w:val="center"/>
          </w:tcPr>
          <w:p>
            <w:pPr>
              <w:adjustRightInd w:val="0"/>
              <w:snapToGrid w:val="0"/>
              <w:spacing w:line="360" w:lineRule="auto"/>
              <w:rPr>
                <w:rFonts w:cs="仿宋"/>
                <w:szCs w:val="21"/>
              </w:rPr>
            </w:pPr>
            <w:r>
              <w:rPr>
                <w:rFonts w:hint="eastAsia" w:cs="仿宋"/>
                <w:szCs w:val="21"/>
              </w:rPr>
              <w:t>其它实质性要求条款</w:t>
            </w:r>
          </w:p>
        </w:tc>
        <w:tc>
          <w:tcPr>
            <w:tcW w:w="533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cs="仿宋"/>
                <w:szCs w:val="21"/>
              </w:rPr>
            </w:pPr>
            <w:r>
              <w:rPr>
                <w:rFonts w:hint="eastAsia" w:cs="仿宋"/>
                <w:szCs w:val="21"/>
              </w:rPr>
              <w:t>招标文件要求的其他实质性要求</w:t>
            </w:r>
          </w:p>
        </w:tc>
        <w:tc>
          <w:tcPr>
            <w:tcW w:w="1177" w:type="dxa"/>
            <w:tcBorders>
              <w:top w:val="single" w:color="auto" w:sz="6" w:space="0"/>
              <w:left w:val="nil"/>
              <w:bottom w:val="single" w:color="auto" w:sz="6" w:space="0"/>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3" w:hRule="atLeast"/>
          <w:jc w:val="center"/>
        </w:trPr>
        <w:tc>
          <w:tcPr>
            <w:tcW w:w="7883" w:type="dxa"/>
            <w:gridSpan w:val="3"/>
            <w:tcBorders>
              <w:top w:val="single" w:color="auto" w:sz="6" w:space="0"/>
              <w:left w:val="single" w:color="auto" w:sz="12" w:space="0"/>
              <w:bottom w:val="single" w:color="auto" w:sz="12" w:space="0"/>
              <w:right w:val="single" w:color="auto" w:sz="6" w:space="0"/>
            </w:tcBorders>
            <w:vAlign w:val="center"/>
          </w:tcPr>
          <w:p>
            <w:pPr>
              <w:snapToGrid w:val="0"/>
              <w:spacing w:line="360" w:lineRule="auto"/>
              <w:ind w:left="69"/>
              <w:jc w:val="center"/>
              <w:rPr>
                <w:rFonts w:cs="宋体"/>
                <w:szCs w:val="21"/>
              </w:rPr>
            </w:pPr>
            <w:r>
              <w:rPr>
                <w:rFonts w:hint="eastAsia" w:cs="宋体"/>
                <w:szCs w:val="21"/>
              </w:rPr>
              <w:t>评审结果</w:t>
            </w:r>
          </w:p>
        </w:tc>
        <w:tc>
          <w:tcPr>
            <w:tcW w:w="1177" w:type="dxa"/>
            <w:tcBorders>
              <w:top w:val="single" w:color="auto" w:sz="6" w:space="0"/>
              <w:left w:val="nil"/>
              <w:bottom w:val="single" w:color="auto" w:sz="12" w:space="0"/>
              <w:right w:val="single" w:color="auto" w:sz="12" w:space="0"/>
            </w:tcBorders>
            <w:vAlign w:val="center"/>
          </w:tcPr>
          <w:p>
            <w:pPr>
              <w:spacing w:line="360" w:lineRule="auto"/>
              <w:ind w:left="69"/>
              <w:jc w:val="center"/>
              <w:rPr>
                <w:rFonts w:cs="宋体"/>
                <w:szCs w:val="21"/>
              </w:rPr>
            </w:pPr>
          </w:p>
        </w:tc>
      </w:tr>
    </w:tbl>
    <w:p>
      <w:pPr>
        <w:spacing w:line="360" w:lineRule="auto"/>
        <w:rPr>
          <w:rFonts w:cs="宋体"/>
          <w:szCs w:val="21"/>
        </w:rPr>
      </w:pPr>
      <w:r>
        <w:rPr>
          <w:rFonts w:hint="eastAsia" w:cs="宋体"/>
        </w:rPr>
        <w:t>说明：</w:t>
      </w:r>
    </w:p>
    <w:p>
      <w:pPr>
        <w:spacing w:line="360" w:lineRule="auto"/>
        <w:rPr>
          <w:rFonts w:cs="宋体"/>
        </w:rPr>
      </w:pPr>
      <w:r>
        <w:rPr>
          <w:rFonts w:hint="eastAsia" w:cs="宋体"/>
        </w:rPr>
        <w:t>评定结果为“合格”或“不合格”，通过符合性评审的主要条件则评定结果为“合格”，不满足通过符合性评审的主要条件则评定结果为“不合格”。审查内容一项不通过则评审结果为“不合格”。</w:t>
      </w:r>
    </w:p>
    <w:p>
      <w:pPr>
        <w:spacing w:line="360" w:lineRule="auto"/>
        <w:ind w:left="31" w:leftChars="15"/>
        <w:jc w:val="left"/>
        <w:outlineLvl w:val="1"/>
        <w:rPr>
          <w:rFonts w:cs="宋体"/>
          <w:b/>
          <w:bCs/>
          <w:sz w:val="28"/>
          <w:szCs w:val="28"/>
        </w:rPr>
      </w:pPr>
      <w:r>
        <w:rPr>
          <w:rFonts w:hint="eastAsia" w:cs="宋体"/>
        </w:rPr>
        <w:br w:type="page"/>
      </w:r>
      <w:bookmarkStart w:id="669" w:name="_Toc25955"/>
      <w:bookmarkStart w:id="670" w:name="_Toc7584"/>
      <w:bookmarkStart w:id="671" w:name="_Toc148459142"/>
      <w:bookmarkStart w:id="672" w:name="_Toc21440"/>
      <w:bookmarkStart w:id="673" w:name="_Toc31297"/>
      <w:bookmarkStart w:id="674" w:name="_Toc8113"/>
      <w:bookmarkStart w:id="675" w:name="_Toc7543"/>
      <w:bookmarkStart w:id="676" w:name="_Toc19649"/>
      <w:r>
        <w:rPr>
          <w:rFonts w:hint="eastAsia" w:cs="宋体"/>
          <w:b/>
          <w:bCs/>
          <w:sz w:val="28"/>
          <w:szCs w:val="28"/>
        </w:rPr>
        <w:t>附表3：技术商务因素及价格因素评分表</w:t>
      </w:r>
      <w:bookmarkEnd w:id="669"/>
      <w:bookmarkEnd w:id="670"/>
      <w:bookmarkEnd w:id="671"/>
      <w:bookmarkEnd w:id="672"/>
      <w:bookmarkEnd w:id="673"/>
      <w:bookmarkEnd w:id="674"/>
      <w:bookmarkEnd w:id="675"/>
      <w:bookmarkEnd w:id="676"/>
    </w:p>
    <w:tbl>
      <w:tblPr>
        <w:tblStyle w:val="28"/>
        <w:tblW w:w="8970"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36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0" w:type="dxa"/>
            <w:gridSpan w:val="3"/>
            <w:vAlign w:val="center"/>
          </w:tcPr>
          <w:p>
            <w:pPr>
              <w:spacing w:line="360" w:lineRule="auto"/>
              <w:jc w:val="center"/>
              <w:rPr>
                <w:b/>
                <w:color w:val="auto"/>
                <w:sz w:val="24"/>
                <w:szCs w:val="24"/>
              </w:rPr>
            </w:pPr>
            <w:r>
              <w:rPr>
                <w:rFonts w:hint="eastAsia" w:cs="Arial"/>
                <w:b/>
                <w:sz w:val="24"/>
              </w:rPr>
              <w:t>1、技术因素分F1（满分 3</w:t>
            </w:r>
            <w:r>
              <w:rPr>
                <w:rFonts w:hint="eastAsia" w:cs="Arial"/>
                <w:b/>
                <w:sz w:val="24"/>
                <w:lang w:val="en-US" w:eastAsia="zh-CN"/>
              </w:rPr>
              <w:t>5</w:t>
            </w:r>
            <w:r>
              <w:rPr>
                <w:rFonts w:hint="eastAsia" w:cs="Arial"/>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38" w:type="dxa"/>
            <w:vMerge w:val="restart"/>
            <w:vAlign w:val="center"/>
          </w:tcPr>
          <w:p>
            <w:pPr>
              <w:autoSpaceDE w:val="0"/>
              <w:autoSpaceDN w:val="0"/>
              <w:spacing w:line="360" w:lineRule="auto"/>
              <w:ind w:left="-111" w:leftChars="-139" w:right="-199" w:rightChars="-95" w:hanging="181" w:hangingChars="75"/>
              <w:jc w:val="center"/>
              <w:rPr>
                <w:rFonts w:cs="Arial"/>
                <w:b/>
                <w:color w:val="auto"/>
                <w:kern w:val="10"/>
                <w:sz w:val="24"/>
                <w:szCs w:val="24"/>
              </w:rPr>
            </w:pPr>
            <w:r>
              <w:rPr>
                <w:rFonts w:hint="eastAsia" w:cs="Arial"/>
                <w:b/>
                <w:kern w:val="10"/>
                <w:sz w:val="24"/>
              </w:rPr>
              <w:t xml:space="preserve"> 序号</w:t>
            </w:r>
          </w:p>
        </w:tc>
        <w:tc>
          <w:tcPr>
            <w:tcW w:w="7365" w:type="dxa"/>
            <w:vMerge w:val="restart"/>
            <w:vAlign w:val="center"/>
          </w:tcPr>
          <w:p>
            <w:pPr>
              <w:autoSpaceDE w:val="0"/>
              <w:autoSpaceDN w:val="0"/>
              <w:spacing w:line="360" w:lineRule="auto"/>
              <w:jc w:val="center"/>
              <w:rPr>
                <w:rFonts w:cs="Arial"/>
                <w:b/>
                <w:color w:val="auto"/>
                <w:sz w:val="24"/>
                <w:szCs w:val="24"/>
              </w:rPr>
            </w:pPr>
            <w:r>
              <w:rPr>
                <w:rFonts w:hint="eastAsia" w:cs="Arial"/>
                <w:b/>
                <w:sz w:val="24"/>
              </w:rPr>
              <w:t>评分界定</w:t>
            </w:r>
          </w:p>
        </w:tc>
        <w:tc>
          <w:tcPr>
            <w:tcW w:w="867" w:type="dxa"/>
            <w:vMerge w:val="restart"/>
            <w:vAlign w:val="center"/>
          </w:tcPr>
          <w:p>
            <w:pPr>
              <w:spacing w:line="360" w:lineRule="auto"/>
              <w:jc w:val="center"/>
              <w:rPr>
                <w:b/>
                <w:color w:val="auto"/>
              </w:rPr>
            </w:pPr>
            <w:r>
              <w:rPr>
                <w:rFonts w:hint="eastAsia"/>
                <w:b/>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38" w:type="dxa"/>
            <w:vMerge w:val="continue"/>
            <w:vAlign w:val="center"/>
          </w:tcPr>
          <w:p>
            <w:pPr>
              <w:autoSpaceDE w:val="0"/>
              <w:autoSpaceDN w:val="0"/>
              <w:spacing w:line="360" w:lineRule="auto"/>
              <w:ind w:left="-112" w:leftChars="-139" w:right="-199" w:rightChars="-95" w:hanging="180" w:hangingChars="75"/>
              <w:jc w:val="center"/>
              <w:rPr>
                <w:rFonts w:cs="Arial"/>
                <w:bCs/>
                <w:color w:val="auto"/>
                <w:kern w:val="10"/>
                <w:sz w:val="24"/>
                <w:szCs w:val="24"/>
              </w:rPr>
            </w:pPr>
          </w:p>
        </w:tc>
        <w:tc>
          <w:tcPr>
            <w:tcW w:w="7365" w:type="dxa"/>
            <w:vMerge w:val="continue"/>
            <w:vAlign w:val="center"/>
          </w:tcPr>
          <w:p>
            <w:pPr>
              <w:autoSpaceDE w:val="0"/>
              <w:autoSpaceDN w:val="0"/>
              <w:spacing w:line="360" w:lineRule="auto"/>
              <w:jc w:val="center"/>
              <w:rPr>
                <w:rFonts w:cs="Arial"/>
                <w:bCs/>
                <w:color w:val="auto"/>
                <w:sz w:val="24"/>
                <w:szCs w:val="24"/>
              </w:rPr>
            </w:pPr>
          </w:p>
        </w:tc>
        <w:tc>
          <w:tcPr>
            <w:tcW w:w="867" w:type="dxa"/>
            <w:vMerge w:val="continue"/>
            <w:vAlign w:val="center"/>
          </w:tcPr>
          <w:p>
            <w:pPr>
              <w:autoSpaceDE w:val="0"/>
              <w:autoSpaceDN w:val="0"/>
              <w:spacing w:line="360" w:lineRule="auto"/>
              <w:jc w:val="center"/>
              <w:rPr>
                <w:rFonts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38" w:type="dxa"/>
            <w:vAlign w:val="center"/>
          </w:tcPr>
          <w:p>
            <w:pPr>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cs="宋体"/>
                <w:kern w:val="0"/>
                <w:sz w:val="24"/>
                <w:lang w:bidi="ar"/>
              </w:rPr>
              <w:t>1-</w:t>
            </w:r>
            <w:r>
              <w:rPr>
                <w:rFonts w:hint="eastAsia" w:ascii="宋体" w:hAnsi="宋体" w:cs="宋体"/>
                <w:kern w:val="0"/>
                <w:sz w:val="24"/>
                <w:lang w:val="en-US" w:eastAsia="zh-CN" w:bidi="ar"/>
              </w:rPr>
              <w:t>1</w:t>
            </w:r>
          </w:p>
        </w:tc>
        <w:tc>
          <w:tcPr>
            <w:tcW w:w="7365" w:type="dxa"/>
            <w:vAlign w:val="center"/>
          </w:tcPr>
          <w:p>
            <w:pPr>
              <w:numPr>
                <w:ilvl w:val="255"/>
                <w:numId w:val="0"/>
              </w:numPr>
              <w:autoSpaceDE w:val="0"/>
              <w:autoSpaceDN w:val="0"/>
              <w:spacing w:before="78" w:line="331" w:lineRule="auto"/>
              <w:ind w:right="40"/>
              <w:jc w:val="left"/>
              <w:rPr>
                <w:rFonts w:hint="eastAsia" w:ascii="宋体" w:hAnsi="宋体" w:cs="宋体"/>
                <w:color w:val="auto"/>
                <w:kern w:val="0"/>
                <w:sz w:val="24"/>
                <w:lang w:bidi="ar"/>
              </w:rPr>
            </w:pPr>
            <w:r>
              <w:rPr>
                <w:rFonts w:hint="eastAsia" w:ascii="宋体" w:hAnsi="宋体" w:cs="宋体"/>
                <w:color w:val="auto"/>
                <w:kern w:val="0"/>
                <w:sz w:val="24"/>
                <w:lang w:bidi="ar"/>
              </w:rPr>
              <w:t>根据方案的优劣程度进行评价：</w:t>
            </w:r>
          </w:p>
          <w:p>
            <w:pPr>
              <w:numPr>
                <w:ilvl w:val="0"/>
                <w:numId w:val="4"/>
              </w:numPr>
              <w:autoSpaceDE w:val="0"/>
              <w:autoSpaceDN w:val="0"/>
              <w:spacing w:before="78" w:line="331" w:lineRule="auto"/>
              <w:ind w:right="40"/>
              <w:jc w:val="left"/>
              <w:rPr>
                <w:rFonts w:hint="eastAsia" w:ascii="宋体" w:hAnsi="宋体" w:cs="宋体"/>
                <w:color w:val="auto"/>
                <w:kern w:val="0"/>
                <w:sz w:val="24"/>
                <w:lang w:bidi="ar"/>
              </w:rPr>
            </w:pPr>
            <w:r>
              <w:rPr>
                <w:rFonts w:hint="eastAsia" w:ascii="宋体" w:hAnsi="宋体" w:cs="宋体"/>
                <w:color w:val="auto"/>
                <w:kern w:val="0"/>
                <w:sz w:val="24"/>
                <w:lang w:bidi="ar"/>
              </w:rPr>
              <w:t>根据关键零部件配置进行评价:分三个档进行评价:优4-5分、良2-4分、一般0-2分。</w:t>
            </w:r>
          </w:p>
          <w:p>
            <w:pPr>
              <w:numPr>
                <w:ilvl w:val="0"/>
                <w:numId w:val="4"/>
              </w:numPr>
              <w:autoSpaceDE w:val="0"/>
              <w:autoSpaceDN w:val="0"/>
              <w:spacing w:before="78" w:line="331" w:lineRule="auto"/>
              <w:ind w:right="40"/>
              <w:jc w:val="left"/>
              <w:rPr>
                <w:rFonts w:hint="eastAsia" w:ascii="宋体" w:hAnsi="宋体" w:cs="宋体"/>
                <w:color w:val="auto"/>
                <w:kern w:val="0"/>
                <w:sz w:val="24"/>
                <w:szCs w:val="24"/>
                <w:lang w:bidi="ar"/>
              </w:rPr>
            </w:pPr>
            <w:r>
              <w:rPr>
                <w:rFonts w:hint="eastAsia" w:ascii="宋体" w:hAnsi="宋体" w:cs="宋体"/>
                <w:color w:val="auto"/>
                <w:kern w:val="0"/>
                <w:sz w:val="24"/>
                <w:lang w:bidi="ar"/>
              </w:rPr>
              <w:t>根据主要技术参数进行评价：分三个档进行评价:优8-10分、良4-8分、一般0-4分。（根据提供的参数优劣，以所有有效标书中的最优参数为准类推）</w:t>
            </w:r>
          </w:p>
          <w:p>
            <w:pPr>
              <w:numPr>
                <w:ilvl w:val="0"/>
                <w:numId w:val="4"/>
              </w:numPr>
              <w:autoSpaceDE w:val="0"/>
              <w:autoSpaceDN w:val="0"/>
              <w:spacing w:before="78" w:line="331" w:lineRule="auto"/>
              <w:ind w:right="40"/>
              <w:jc w:val="left"/>
              <w:rPr>
                <w:rFonts w:hint="eastAsia" w:ascii="宋体" w:hAnsi="宋体" w:cs="宋体"/>
                <w:color w:val="auto"/>
                <w:kern w:val="0"/>
                <w:sz w:val="24"/>
                <w:szCs w:val="24"/>
                <w:lang w:bidi="ar"/>
              </w:rPr>
            </w:pPr>
            <w:r>
              <w:rPr>
                <w:rFonts w:hint="eastAsia" w:ascii="宋体" w:hAnsi="宋体" w:cs="宋体"/>
                <w:color w:val="auto"/>
                <w:kern w:val="0"/>
                <w:sz w:val="24"/>
                <w:lang w:bidi="ar"/>
              </w:rPr>
              <w:t>整体控制系统的设计的合理性，操作简便性，分三个档进行评价:优3-4分、良2-3分、一般0-2分。</w:t>
            </w:r>
          </w:p>
          <w:p>
            <w:pPr>
              <w:numPr>
                <w:ilvl w:val="0"/>
                <w:numId w:val="4"/>
              </w:numPr>
              <w:autoSpaceDE w:val="0"/>
              <w:autoSpaceDN w:val="0"/>
              <w:spacing w:before="78" w:line="331" w:lineRule="auto"/>
              <w:ind w:right="40"/>
              <w:jc w:val="left"/>
              <w:rPr>
                <w:rFonts w:hint="eastAsia" w:ascii="宋体" w:hAnsi="宋体" w:cs="宋体"/>
                <w:color w:val="auto"/>
                <w:kern w:val="0"/>
                <w:sz w:val="24"/>
                <w:szCs w:val="24"/>
                <w:lang w:bidi="ar"/>
              </w:rPr>
            </w:pPr>
            <w:r>
              <w:rPr>
                <w:rFonts w:hint="eastAsia" w:ascii="宋体" w:hAnsi="宋体" w:cs="宋体"/>
                <w:color w:val="auto"/>
                <w:kern w:val="0"/>
                <w:sz w:val="24"/>
                <w:lang w:bidi="ar"/>
              </w:rPr>
              <w:t>根据部件制造的工艺进行评价，分三个档进行评价:优3-4分、良2-3分、一般0-2分。。</w:t>
            </w:r>
          </w:p>
          <w:p>
            <w:pPr>
              <w:numPr>
                <w:ilvl w:val="0"/>
                <w:numId w:val="4"/>
              </w:numPr>
              <w:autoSpaceDE w:val="0"/>
              <w:autoSpaceDN w:val="0"/>
              <w:spacing w:before="78" w:line="331" w:lineRule="auto"/>
              <w:ind w:right="40" w:rightChars="0"/>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lang w:bidi="ar"/>
              </w:rPr>
              <w:t>外围辅助设施设计的合理性和完整性，分三个档进行评价:优2分、良1分、一般0.5分。</w:t>
            </w:r>
          </w:p>
        </w:tc>
        <w:tc>
          <w:tcPr>
            <w:tcW w:w="867" w:type="dxa"/>
            <w:vAlign w:val="center"/>
          </w:tcPr>
          <w:p>
            <w:pPr>
              <w:spacing w:line="360" w:lineRule="auto"/>
              <w:jc w:val="center"/>
              <w:rPr>
                <w:rFonts w:cs="宋体"/>
                <w:color w:val="auto"/>
                <w:sz w:val="24"/>
                <w:szCs w:val="24"/>
              </w:rPr>
            </w:pPr>
            <w:r>
              <w:rPr>
                <w:rFonts w:hint="eastAsia" w:cs="宋体"/>
                <w:color w:val="auto"/>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38" w:type="dxa"/>
            <w:vAlign w:val="center"/>
          </w:tcPr>
          <w:p>
            <w:pPr>
              <w:spacing w:line="360" w:lineRule="auto"/>
              <w:jc w:val="center"/>
              <w:rPr>
                <w:rFonts w:hint="eastAsia" w:eastAsia="宋体" w:cs="Arial"/>
                <w:color w:val="auto"/>
                <w:kern w:val="10"/>
                <w:sz w:val="24"/>
                <w:szCs w:val="24"/>
                <w:lang w:eastAsia="zh-CN"/>
              </w:rPr>
            </w:pPr>
            <w:r>
              <w:rPr>
                <w:rFonts w:hint="eastAsia" w:cs="Arial"/>
                <w:kern w:val="10"/>
                <w:sz w:val="24"/>
              </w:rPr>
              <w:t>1-</w:t>
            </w:r>
            <w:r>
              <w:rPr>
                <w:rFonts w:hint="eastAsia" w:cs="Arial"/>
                <w:kern w:val="10"/>
                <w:sz w:val="24"/>
                <w:lang w:val="en-US" w:eastAsia="zh-CN"/>
              </w:rPr>
              <w:t>2</w:t>
            </w:r>
          </w:p>
        </w:tc>
        <w:tc>
          <w:tcPr>
            <w:tcW w:w="7365" w:type="dxa"/>
            <w:vAlign w:val="center"/>
          </w:tcPr>
          <w:p>
            <w:pPr>
              <w:spacing w:line="360" w:lineRule="auto"/>
              <w:rPr>
                <w:rFonts w:hint="eastAsia" w:eastAsia="宋体" w:cs="仿宋"/>
                <w:color w:val="auto"/>
                <w:sz w:val="24"/>
                <w:szCs w:val="24"/>
                <w:lang w:eastAsia="zh-CN"/>
              </w:rPr>
            </w:pPr>
            <w:r>
              <w:rPr>
                <w:rFonts w:hint="eastAsia" w:cs="仿宋"/>
                <w:color w:val="auto"/>
                <w:sz w:val="24"/>
              </w:rPr>
              <w:t>投标人提供的供货组织方案（人员配备、运输、安装调试、培训计划等）内容完整、合理可行。</w:t>
            </w:r>
            <w:r>
              <w:rPr>
                <w:rFonts w:hint="eastAsia"/>
                <w:color w:val="auto"/>
                <w:sz w:val="24"/>
              </w:rPr>
              <w:t>以综合评审质量等级评分。</w:t>
            </w:r>
            <w:r>
              <w:rPr>
                <w:rFonts w:hint="eastAsia" w:ascii="宋体" w:hAnsi="宋体" w:cs="宋体"/>
                <w:color w:val="auto"/>
                <w:kern w:val="0"/>
                <w:sz w:val="24"/>
                <w:lang w:bidi="ar"/>
              </w:rPr>
              <w:t>分三个档进行评价:优4-5分、良2-4分、一般0-2分。</w:t>
            </w:r>
            <w:r>
              <w:rPr>
                <w:rFonts w:hint="eastAsia" w:cs="仿宋"/>
                <w:color w:val="auto"/>
                <w:sz w:val="24"/>
              </w:rPr>
              <w:t xml:space="preserve"> </w:t>
            </w:r>
          </w:p>
        </w:tc>
        <w:tc>
          <w:tcPr>
            <w:tcW w:w="867" w:type="dxa"/>
            <w:vAlign w:val="center"/>
          </w:tcPr>
          <w:p>
            <w:pPr>
              <w:spacing w:line="360" w:lineRule="auto"/>
              <w:jc w:val="center"/>
              <w:rPr>
                <w:rFonts w:hint="eastAsia" w:eastAsia="宋体" w:cs="宋体"/>
                <w:color w:val="auto"/>
                <w:sz w:val="24"/>
                <w:szCs w:val="24"/>
                <w:lang w:eastAsia="zh-CN"/>
              </w:rPr>
            </w:pPr>
            <w:r>
              <w:rPr>
                <w:rFonts w:hint="eastAsia"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38" w:type="dxa"/>
            <w:vAlign w:val="center"/>
          </w:tcPr>
          <w:p>
            <w:pPr>
              <w:spacing w:line="360" w:lineRule="auto"/>
              <w:jc w:val="center"/>
              <w:rPr>
                <w:rFonts w:hint="eastAsia" w:eastAsia="宋体" w:cs="Arial"/>
                <w:color w:val="auto"/>
                <w:kern w:val="10"/>
                <w:sz w:val="24"/>
                <w:szCs w:val="24"/>
                <w:lang w:eastAsia="zh-CN"/>
              </w:rPr>
            </w:pPr>
            <w:r>
              <w:rPr>
                <w:rFonts w:hint="eastAsia" w:cs="Arial"/>
                <w:kern w:val="10"/>
                <w:sz w:val="24"/>
              </w:rPr>
              <w:t>1-</w:t>
            </w:r>
            <w:r>
              <w:rPr>
                <w:rFonts w:hint="eastAsia" w:cs="Arial"/>
                <w:kern w:val="10"/>
                <w:sz w:val="24"/>
                <w:lang w:val="en-US" w:eastAsia="zh-CN"/>
              </w:rPr>
              <w:t>3</w:t>
            </w:r>
          </w:p>
        </w:tc>
        <w:tc>
          <w:tcPr>
            <w:tcW w:w="7365" w:type="dxa"/>
            <w:vAlign w:val="center"/>
          </w:tcPr>
          <w:p>
            <w:pPr>
              <w:spacing w:line="360" w:lineRule="auto"/>
              <w:rPr>
                <w:rFonts w:cs="宋体"/>
                <w:color w:val="auto"/>
                <w:kern w:val="0"/>
                <w:sz w:val="24"/>
                <w:szCs w:val="24"/>
                <w:lang w:bidi="ar"/>
              </w:rPr>
            </w:pPr>
            <w:r>
              <w:rPr>
                <w:rFonts w:hint="eastAsia" w:cs="仿宋"/>
                <w:color w:val="auto"/>
                <w:sz w:val="24"/>
              </w:rPr>
              <w:t>投标人提供的针对本项目的售后服务方案合理完整；应包括响应速度、人员安排、质保期限内服务方案、质保期后服务方案、随机备件等的响应情况。</w:t>
            </w:r>
            <w:r>
              <w:rPr>
                <w:rFonts w:hint="eastAsia"/>
                <w:color w:val="auto"/>
                <w:sz w:val="24"/>
              </w:rPr>
              <w:t>以综合评审质量等级评分。</w:t>
            </w:r>
            <w:r>
              <w:rPr>
                <w:rFonts w:hint="eastAsia" w:cs="仿宋"/>
                <w:color w:val="auto"/>
                <w:sz w:val="24"/>
              </w:rPr>
              <w:t xml:space="preserve"> </w:t>
            </w:r>
            <w:r>
              <w:rPr>
                <w:rFonts w:hint="eastAsia" w:ascii="宋体" w:hAnsi="宋体" w:cs="宋体"/>
                <w:color w:val="auto"/>
                <w:kern w:val="0"/>
                <w:sz w:val="24"/>
                <w:lang w:bidi="ar"/>
              </w:rPr>
              <w:t>分三个档进行评价:优4-5分、良2-4分、一般0-2分。</w:t>
            </w:r>
            <w:r>
              <w:rPr>
                <w:rFonts w:hint="eastAsia" w:cs="仿宋"/>
                <w:color w:val="auto"/>
                <w:sz w:val="24"/>
              </w:rPr>
              <w:t xml:space="preserve"> </w:t>
            </w:r>
          </w:p>
        </w:tc>
        <w:tc>
          <w:tcPr>
            <w:tcW w:w="867" w:type="dxa"/>
            <w:vAlign w:val="center"/>
          </w:tcPr>
          <w:p>
            <w:pPr>
              <w:spacing w:line="360" w:lineRule="auto"/>
              <w:jc w:val="center"/>
              <w:rPr>
                <w:rFonts w:hint="eastAsia" w:eastAsia="宋体" w:cs="宋体"/>
                <w:color w:val="auto"/>
                <w:sz w:val="24"/>
                <w:szCs w:val="24"/>
                <w:lang w:eastAsia="zh-CN"/>
              </w:rPr>
            </w:pPr>
            <w:r>
              <w:rPr>
                <w:rFonts w:hint="eastAsia"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970" w:type="dxa"/>
            <w:gridSpan w:val="3"/>
            <w:vAlign w:val="center"/>
          </w:tcPr>
          <w:p>
            <w:pPr>
              <w:spacing w:line="360" w:lineRule="auto"/>
              <w:jc w:val="center"/>
              <w:rPr>
                <w:rFonts w:cs="宋体"/>
                <w:b/>
                <w:bCs/>
                <w:color w:val="auto"/>
                <w:sz w:val="24"/>
                <w:szCs w:val="24"/>
              </w:rPr>
            </w:pPr>
            <w:r>
              <w:rPr>
                <w:rFonts w:hint="eastAsia" w:cs="宋体"/>
                <w:b/>
                <w:sz w:val="24"/>
              </w:rPr>
              <w:t>2、商务因素F2（满分 1</w:t>
            </w:r>
            <w:r>
              <w:rPr>
                <w:rFonts w:hint="eastAsia" w:cs="宋体"/>
                <w:b/>
                <w:sz w:val="24"/>
                <w:lang w:val="en-US" w:eastAsia="zh-CN"/>
              </w:rPr>
              <w:t>5</w:t>
            </w:r>
            <w:r>
              <w:rPr>
                <w:rFonts w:hint="eastAsia" w:cs="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38" w:type="dxa"/>
            <w:vMerge w:val="restart"/>
            <w:vAlign w:val="center"/>
          </w:tcPr>
          <w:p>
            <w:pPr>
              <w:spacing w:line="360" w:lineRule="auto"/>
              <w:jc w:val="center"/>
              <w:rPr>
                <w:rFonts w:hint="eastAsia" w:ascii="宋体" w:hAnsi="宋体" w:cs="Arial"/>
                <w:b/>
                <w:bCs/>
                <w:color w:val="auto"/>
                <w:sz w:val="24"/>
                <w:szCs w:val="24"/>
              </w:rPr>
            </w:pPr>
            <w:r>
              <w:rPr>
                <w:rFonts w:hint="eastAsia" w:ascii="宋体" w:hAnsi="宋体" w:cs="Arial"/>
                <w:b/>
                <w:bCs/>
                <w:sz w:val="24"/>
              </w:rPr>
              <w:t>序号</w:t>
            </w:r>
          </w:p>
        </w:tc>
        <w:tc>
          <w:tcPr>
            <w:tcW w:w="7365" w:type="dxa"/>
            <w:vMerge w:val="restart"/>
            <w:vAlign w:val="center"/>
          </w:tcPr>
          <w:p>
            <w:pPr>
              <w:spacing w:line="360" w:lineRule="auto"/>
              <w:jc w:val="center"/>
              <w:rPr>
                <w:rFonts w:cs="宋体"/>
                <w:b/>
                <w:bCs/>
                <w:color w:val="auto"/>
                <w:sz w:val="24"/>
                <w:szCs w:val="24"/>
              </w:rPr>
            </w:pPr>
            <w:r>
              <w:rPr>
                <w:rFonts w:hint="eastAsia" w:cs="宋体"/>
                <w:b/>
                <w:bCs/>
                <w:sz w:val="24"/>
              </w:rPr>
              <w:t>评分界定</w:t>
            </w:r>
          </w:p>
        </w:tc>
        <w:tc>
          <w:tcPr>
            <w:tcW w:w="867" w:type="dxa"/>
            <w:vMerge w:val="restart"/>
            <w:vAlign w:val="center"/>
          </w:tcPr>
          <w:p>
            <w:pPr>
              <w:spacing w:line="360" w:lineRule="auto"/>
              <w:jc w:val="center"/>
              <w:rPr>
                <w:rFonts w:cs="宋体"/>
                <w:color w:val="auto"/>
                <w:sz w:val="24"/>
                <w:szCs w:val="24"/>
              </w:rPr>
            </w:pPr>
            <w:r>
              <w:rPr>
                <w:rFonts w:hint="eastAsia" w:cs="宋体"/>
                <w:b/>
                <w:bCs/>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38" w:type="dxa"/>
            <w:vMerge w:val="continue"/>
            <w:vAlign w:val="center"/>
          </w:tcPr>
          <w:p>
            <w:pPr>
              <w:pStyle w:val="11"/>
              <w:spacing w:after="0" w:line="360" w:lineRule="auto"/>
              <w:jc w:val="center"/>
              <w:rPr>
                <w:rFonts w:hint="eastAsia" w:ascii="宋体" w:hAnsi="宋体" w:cs="Arial"/>
                <w:b/>
                <w:bCs/>
                <w:color w:val="auto"/>
                <w:sz w:val="24"/>
                <w:szCs w:val="24"/>
              </w:rPr>
            </w:pPr>
          </w:p>
        </w:tc>
        <w:tc>
          <w:tcPr>
            <w:tcW w:w="7365" w:type="dxa"/>
            <w:vMerge w:val="continue"/>
            <w:vAlign w:val="center"/>
          </w:tcPr>
          <w:p>
            <w:pPr>
              <w:spacing w:line="360" w:lineRule="auto"/>
              <w:rPr>
                <w:rFonts w:cs="宋体"/>
                <w:b/>
                <w:bCs/>
                <w:color w:val="auto"/>
                <w:sz w:val="24"/>
                <w:szCs w:val="24"/>
              </w:rPr>
            </w:pPr>
          </w:p>
        </w:tc>
        <w:tc>
          <w:tcPr>
            <w:tcW w:w="867" w:type="dxa"/>
            <w:vMerge w:val="continue"/>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738" w:type="dxa"/>
            <w:vAlign w:val="center"/>
          </w:tcPr>
          <w:p>
            <w:pPr>
              <w:spacing w:line="360" w:lineRule="auto"/>
              <w:jc w:val="center"/>
              <w:rPr>
                <w:rFonts w:cs="Arial"/>
                <w:bCs/>
                <w:color w:val="auto"/>
                <w:sz w:val="24"/>
                <w:szCs w:val="24"/>
              </w:rPr>
            </w:pPr>
            <w:r>
              <w:rPr>
                <w:rFonts w:hint="eastAsia" w:cs="Arial"/>
                <w:bCs/>
                <w:sz w:val="24"/>
              </w:rPr>
              <w:t>2</w:t>
            </w:r>
            <w:r>
              <w:rPr>
                <w:rFonts w:cs="Arial"/>
                <w:bCs/>
                <w:sz w:val="24"/>
              </w:rPr>
              <w:t>-1</w:t>
            </w:r>
          </w:p>
        </w:tc>
        <w:tc>
          <w:tcPr>
            <w:tcW w:w="7365" w:type="dxa"/>
            <w:vAlign w:val="center"/>
          </w:tcPr>
          <w:p>
            <w:pPr>
              <w:spacing w:line="360" w:lineRule="auto"/>
              <w:rPr>
                <w:color w:val="auto"/>
                <w:sz w:val="24"/>
              </w:rPr>
            </w:pPr>
            <w:r>
              <w:rPr>
                <w:rFonts w:hint="eastAsia"/>
                <w:color w:val="auto"/>
                <w:sz w:val="24"/>
              </w:rPr>
              <w:t>投标人综合实力如：同类产品的</w:t>
            </w:r>
            <w:r>
              <w:rPr>
                <w:color w:val="auto"/>
                <w:sz w:val="24"/>
              </w:rPr>
              <w:t>年度</w:t>
            </w:r>
            <w:r>
              <w:rPr>
                <w:rFonts w:hint="eastAsia"/>
                <w:color w:val="auto"/>
                <w:sz w:val="24"/>
              </w:rPr>
              <w:t>销售收入、企业规模、制造加工能力、财务报表状况、获奖状况等。</w:t>
            </w:r>
          </w:p>
          <w:p>
            <w:pPr>
              <w:spacing w:line="360" w:lineRule="auto"/>
              <w:rPr>
                <w:color w:val="auto"/>
              </w:rPr>
            </w:pPr>
            <w:r>
              <w:rPr>
                <w:rFonts w:hint="eastAsia"/>
                <w:color w:val="auto"/>
                <w:sz w:val="24"/>
              </w:rPr>
              <w:t>投标人须提供能展示企业综合实力的详细资料，包括但不限于企业规模介绍、销售情况、良好的财务状况、行业获奖情况、有履行合同所必需的设备和专业技术能力等材料。</w:t>
            </w:r>
            <w:r>
              <w:rPr>
                <w:rFonts w:hint="eastAsia" w:ascii="宋体" w:hAnsi="宋体" w:cs="宋体"/>
                <w:color w:val="auto"/>
                <w:kern w:val="0"/>
                <w:sz w:val="24"/>
                <w:lang w:bidi="ar"/>
              </w:rPr>
              <w:t>分三个档进行评价:优</w:t>
            </w:r>
            <w:r>
              <w:rPr>
                <w:rFonts w:hint="eastAsia" w:ascii="宋体" w:hAnsi="宋体" w:cs="宋体"/>
                <w:color w:val="auto"/>
                <w:kern w:val="0"/>
                <w:sz w:val="24"/>
                <w:lang w:val="en-US" w:eastAsia="zh-CN" w:bidi="ar"/>
              </w:rPr>
              <w:t>5</w:t>
            </w:r>
            <w:r>
              <w:rPr>
                <w:rFonts w:hint="eastAsia" w:ascii="宋体" w:hAnsi="宋体" w:cs="宋体"/>
                <w:color w:val="auto"/>
                <w:kern w:val="0"/>
                <w:sz w:val="24"/>
                <w:lang w:bidi="ar"/>
              </w:rPr>
              <w:t>-</w:t>
            </w:r>
            <w:r>
              <w:rPr>
                <w:rFonts w:hint="eastAsia" w:ascii="宋体" w:hAnsi="宋体" w:cs="宋体"/>
                <w:color w:val="auto"/>
                <w:kern w:val="0"/>
                <w:sz w:val="24"/>
                <w:lang w:val="en-US" w:eastAsia="zh-CN" w:bidi="ar"/>
              </w:rPr>
              <w:t>7</w:t>
            </w:r>
            <w:r>
              <w:rPr>
                <w:rFonts w:hint="eastAsia" w:ascii="宋体" w:hAnsi="宋体" w:cs="宋体"/>
                <w:color w:val="auto"/>
                <w:kern w:val="0"/>
                <w:sz w:val="24"/>
                <w:lang w:bidi="ar"/>
              </w:rPr>
              <w:t>分、良</w:t>
            </w:r>
            <w:r>
              <w:rPr>
                <w:rFonts w:hint="eastAsia" w:ascii="宋体" w:hAnsi="宋体" w:cs="宋体"/>
                <w:color w:val="auto"/>
                <w:kern w:val="0"/>
                <w:sz w:val="24"/>
                <w:lang w:val="en-US" w:eastAsia="zh-CN" w:bidi="ar"/>
              </w:rPr>
              <w:t>2</w:t>
            </w:r>
            <w:r>
              <w:rPr>
                <w:rFonts w:hint="eastAsia" w:ascii="宋体" w:hAnsi="宋体" w:cs="宋体"/>
                <w:color w:val="auto"/>
                <w:kern w:val="0"/>
                <w:sz w:val="24"/>
                <w:lang w:bidi="ar"/>
              </w:rPr>
              <w:t>-</w:t>
            </w:r>
            <w:r>
              <w:rPr>
                <w:rFonts w:hint="eastAsia" w:ascii="宋体" w:hAnsi="宋体" w:cs="宋体"/>
                <w:color w:val="auto"/>
                <w:kern w:val="0"/>
                <w:sz w:val="24"/>
                <w:lang w:val="en-US" w:eastAsia="zh-CN" w:bidi="ar"/>
              </w:rPr>
              <w:t>5</w:t>
            </w:r>
            <w:r>
              <w:rPr>
                <w:rFonts w:hint="eastAsia" w:ascii="宋体" w:hAnsi="宋体" w:cs="宋体"/>
                <w:color w:val="auto"/>
                <w:kern w:val="0"/>
                <w:sz w:val="24"/>
                <w:lang w:bidi="ar"/>
              </w:rPr>
              <w:t>分、一般0-2分。</w:t>
            </w:r>
          </w:p>
        </w:tc>
        <w:tc>
          <w:tcPr>
            <w:tcW w:w="867" w:type="dxa"/>
            <w:vAlign w:val="center"/>
          </w:tcPr>
          <w:p>
            <w:pPr>
              <w:spacing w:line="360" w:lineRule="auto"/>
              <w:jc w:val="center"/>
              <w:rPr>
                <w:rFonts w:hint="eastAsia" w:eastAsia="宋体" w:cs="宋体"/>
                <w:color w:val="auto"/>
                <w:sz w:val="24"/>
                <w:szCs w:val="24"/>
                <w:lang w:eastAsia="zh-CN"/>
              </w:rPr>
            </w:pPr>
            <w:r>
              <w:rPr>
                <w:rFonts w:hint="eastAsia" w:cs="宋体"/>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738" w:type="dxa"/>
            <w:vAlign w:val="center"/>
          </w:tcPr>
          <w:p>
            <w:pPr>
              <w:spacing w:line="360" w:lineRule="auto"/>
              <w:jc w:val="center"/>
              <w:rPr>
                <w:rFonts w:hint="eastAsia" w:eastAsia="宋体" w:cs="Arial"/>
                <w:bCs/>
                <w:color w:val="auto"/>
                <w:sz w:val="24"/>
                <w:szCs w:val="24"/>
                <w:lang w:eastAsia="zh-CN"/>
              </w:rPr>
            </w:pPr>
            <w:r>
              <w:rPr>
                <w:rFonts w:hint="eastAsia" w:cs="Arial"/>
                <w:bCs/>
                <w:sz w:val="24"/>
              </w:rPr>
              <w:t>2-</w:t>
            </w:r>
            <w:r>
              <w:rPr>
                <w:rFonts w:hint="eastAsia" w:cs="Arial"/>
                <w:bCs/>
                <w:sz w:val="24"/>
                <w:lang w:val="en-US" w:eastAsia="zh-CN"/>
              </w:rPr>
              <w:t>2</w:t>
            </w:r>
          </w:p>
        </w:tc>
        <w:tc>
          <w:tcPr>
            <w:tcW w:w="7365" w:type="dxa"/>
            <w:vAlign w:val="center"/>
          </w:tcPr>
          <w:p>
            <w:pPr>
              <w:spacing w:line="360" w:lineRule="auto"/>
              <w:rPr>
                <w:rFonts w:hint="eastAsia" w:eastAsia="宋体" w:cs="宋体"/>
                <w:color w:val="auto"/>
                <w:sz w:val="24"/>
                <w:szCs w:val="24"/>
                <w:lang w:eastAsia="zh-CN"/>
              </w:rPr>
            </w:pPr>
            <w:r>
              <w:rPr>
                <w:rFonts w:hint="eastAsia"/>
                <w:bCs/>
                <w:color w:val="auto"/>
                <w:sz w:val="24"/>
              </w:rPr>
              <w:t>质保期限。分三个档进行评价:整机≥3年</w:t>
            </w:r>
            <w:r>
              <w:rPr>
                <w:rFonts w:hint="eastAsia"/>
                <w:bCs/>
                <w:color w:val="auto"/>
                <w:sz w:val="24"/>
                <w:lang w:val="en-US" w:eastAsia="zh-CN"/>
              </w:rPr>
              <w:t>3</w:t>
            </w:r>
            <w:r>
              <w:rPr>
                <w:rFonts w:hint="eastAsia"/>
                <w:bCs/>
                <w:color w:val="auto"/>
                <w:sz w:val="24"/>
              </w:rPr>
              <w:t>分、整机二年2分、整机一年1分。</w:t>
            </w:r>
            <w:r>
              <w:rPr>
                <w:rFonts w:hint="eastAsia"/>
                <w:bCs/>
                <w:color w:val="auto"/>
                <w:sz w:val="24"/>
              </w:rPr>
              <w:cr/>
            </w:r>
            <w:r>
              <w:rPr>
                <w:rFonts w:hint="eastAsia"/>
                <w:bCs/>
                <w:color w:val="auto"/>
                <w:sz w:val="24"/>
              </w:rPr>
              <w:t xml:space="preserve">                     </w:t>
            </w:r>
          </w:p>
        </w:tc>
        <w:tc>
          <w:tcPr>
            <w:tcW w:w="867" w:type="dxa"/>
            <w:vAlign w:val="center"/>
          </w:tcPr>
          <w:p>
            <w:pPr>
              <w:spacing w:line="360" w:lineRule="auto"/>
              <w:jc w:val="center"/>
              <w:rPr>
                <w:rFonts w:hint="eastAsia" w:eastAsia="宋体" w:cs="宋体"/>
                <w:color w:val="auto"/>
                <w:sz w:val="24"/>
                <w:szCs w:val="24"/>
                <w:lang w:eastAsia="zh-CN"/>
              </w:rPr>
            </w:pPr>
            <w:bookmarkStart w:id="910" w:name="_GoBack"/>
            <w:bookmarkEnd w:id="910"/>
            <w:r>
              <w:rPr>
                <w:rFonts w:hint="eastAsia" w:cs="宋体"/>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738" w:type="dxa"/>
            <w:vAlign w:val="center"/>
          </w:tcPr>
          <w:p>
            <w:pPr>
              <w:spacing w:line="360" w:lineRule="auto"/>
              <w:jc w:val="center"/>
              <w:rPr>
                <w:rFonts w:hint="eastAsia" w:eastAsia="宋体" w:cs="Arial"/>
                <w:bCs/>
                <w:color w:val="auto"/>
                <w:sz w:val="24"/>
                <w:szCs w:val="24"/>
                <w:lang w:eastAsia="zh-CN"/>
              </w:rPr>
            </w:pPr>
            <w:r>
              <w:rPr>
                <w:rFonts w:hint="eastAsia" w:cs="Arial"/>
                <w:bCs/>
                <w:sz w:val="24"/>
              </w:rPr>
              <w:t>2-</w:t>
            </w:r>
            <w:r>
              <w:rPr>
                <w:rFonts w:hint="eastAsia" w:cs="Arial"/>
                <w:bCs/>
                <w:sz w:val="24"/>
                <w:lang w:val="en-US" w:eastAsia="zh-CN"/>
              </w:rPr>
              <w:t>3</w:t>
            </w:r>
          </w:p>
        </w:tc>
        <w:tc>
          <w:tcPr>
            <w:tcW w:w="7365" w:type="dxa"/>
            <w:vAlign w:val="center"/>
          </w:tcPr>
          <w:p>
            <w:pPr>
              <w:spacing w:line="360" w:lineRule="auto"/>
              <w:rPr>
                <w:rFonts w:cs="宋体"/>
                <w:color w:val="auto"/>
                <w:sz w:val="24"/>
                <w:szCs w:val="24"/>
              </w:rPr>
            </w:pPr>
            <w:r>
              <w:rPr>
                <w:rFonts w:hint="eastAsia" w:cs="宋体"/>
                <w:color w:val="auto"/>
                <w:sz w:val="24"/>
              </w:rPr>
              <w:t>投标人2022年1月1日至开标当日同类产品业绩（以合同签订时间为准）进行评价：</w:t>
            </w:r>
            <w:r>
              <w:rPr>
                <w:rFonts w:hint="eastAsia"/>
                <w:color w:val="auto"/>
                <w:sz w:val="24"/>
              </w:rPr>
              <w:t>投标人需提供业绩表、合同复印件、相关发票复印件等，并加盖单位公章。</w:t>
            </w:r>
            <w:r>
              <w:rPr>
                <w:rFonts w:hint="eastAsia" w:ascii="宋体" w:hAnsi="宋体" w:cs="宋体"/>
                <w:color w:val="auto"/>
                <w:kern w:val="0"/>
                <w:sz w:val="24"/>
                <w:lang w:bidi="ar"/>
              </w:rPr>
              <w:t>分三个档进行评价:优4-5分、良2-4分、一般0-2分。</w:t>
            </w:r>
            <w:r>
              <w:rPr>
                <w:rFonts w:hint="eastAsia" w:cs="仿宋"/>
                <w:color w:val="auto"/>
                <w:sz w:val="24"/>
              </w:rPr>
              <w:t xml:space="preserve"> </w:t>
            </w:r>
          </w:p>
        </w:tc>
        <w:tc>
          <w:tcPr>
            <w:tcW w:w="867" w:type="dxa"/>
            <w:vAlign w:val="center"/>
          </w:tcPr>
          <w:p>
            <w:pPr>
              <w:spacing w:line="360" w:lineRule="auto"/>
              <w:jc w:val="center"/>
              <w:rPr>
                <w:rFonts w:cs="宋体"/>
                <w:color w:val="auto"/>
                <w:sz w:val="24"/>
                <w:szCs w:val="24"/>
              </w:rPr>
            </w:pPr>
            <w:r>
              <w:rPr>
                <w:rFonts w:hint="eastAsia"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970" w:type="dxa"/>
            <w:gridSpan w:val="3"/>
            <w:vAlign w:val="center"/>
          </w:tcPr>
          <w:p>
            <w:pPr>
              <w:spacing w:line="360" w:lineRule="auto"/>
              <w:jc w:val="center"/>
              <w:rPr>
                <w:rFonts w:cs="宋体"/>
                <w:color w:val="auto"/>
                <w:sz w:val="24"/>
                <w:szCs w:val="24"/>
              </w:rPr>
            </w:pPr>
            <w:r>
              <w:rPr>
                <w:rFonts w:hint="eastAsia" w:cs="宋体"/>
                <w:b/>
                <w:sz w:val="24"/>
              </w:rPr>
              <w:t>3、价格因素F3（满分</w:t>
            </w:r>
            <w:r>
              <w:rPr>
                <w:rFonts w:hint="eastAsia" w:cs="宋体"/>
                <w:b/>
                <w:sz w:val="24"/>
                <w:lang w:val="en-US" w:eastAsia="zh-CN"/>
              </w:rPr>
              <w:t>50</w:t>
            </w:r>
            <w:r>
              <w:rPr>
                <w:rFonts w:hint="eastAsia" w:cs="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trPr>
        <w:tc>
          <w:tcPr>
            <w:tcW w:w="738" w:type="dxa"/>
            <w:vAlign w:val="center"/>
          </w:tcPr>
          <w:p>
            <w:pPr>
              <w:spacing w:line="360" w:lineRule="auto"/>
              <w:jc w:val="center"/>
              <w:rPr>
                <w:rFonts w:cs="Arial"/>
                <w:bCs/>
                <w:color w:val="auto"/>
                <w:sz w:val="24"/>
                <w:szCs w:val="24"/>
              </w:rPr>
            </w:pPr>
            <w:r>
              <w:rPr>
                <w:rFonts w:hint="eastAsia" w:cs="Arial"/>
                <w:bCs/>
                <w:sz w:val="24"/>
              </w:rPr>
              <w:t>3</w:t>
            </w:r>
          </w:p>
        </w:tc>
        <w:tc>
          <w:tcPr>
            <w:tcW w:w="8232" w:type="dxa"/>
            <w:gridSpan w:val="2"/>
            <w:vAlign w:val="center"/>
          </w:tcPr>
          <w:p>
            <w:pPr>
              <w:spacing w:line="360" w:lineRule="auto"/>
              <w:rPr>
                <w:spacing w:val="-8"/>
                <w:sz w:val="24"/>
                <w:szCs w:val="24"/>
              </w:rPr>
            </w:pPr>
            <w:r>
              <w:rPr>
                <w:rFonts w:hint="eastAsia"/>
                <w:spacing w:val="-8"/>
                <w:sz w:val="24"/>
                <w:szCs w:val="24"/>
              </w:rPr>
              <w:t>评标基准价=合格报价的最低投标报价</w:t>
            </w:r>
          </w:p>
          <w:p>
            <w:pPr>
              <w:spacing w:after="0" w:line="240" w:lineRule="auto"/>
              <w:rPr>
                <w:color w:val="auto"/>
                <w:spacing w:val="-8"/>
                <w:sz w:val="24"/>
                <w:szCs w:val="24"/>
              </w:rPr>
            </w:pPr>
            <w:r>
              <w:rPr>
                <w:rFonts w:hint="eastAsia"/>
                <w:color w:val="auto"/>
                <w:spacing w:val="-8"/>
                <w:sz w:val="24"/>
                <w:szCs w:val="24"/>
              </w:rPr>
              <w:t>投标报价得分=</w:t>
            </w:r>
            <w:r>
              <w:rPr>
                <w:rFonts w:hint="eastAsia"/>
                <w:color w:val="auto"/>
                <w:spacing w:val="-8"/>
                <w:sz w:val="24"/>
                <w:szCs w:val="24"/>
                <w:lang w:val="en-US" w:eastAsia="zh-CN"/>
              </w:rPr>
              <w:t>50</w:t>
            </w:r>
            <w:r>
              <w:rPr>
                <w:rFonts w:hint="eastAsia"/>
                <w:color w:val="auto"/>
                <w:spacing w:val="-8"/>
                <w:sz w:val="24"/>
                <w:szCs w:val="24"/>
              </w:rPr>
              <w:t>×评标基准价 / 投标报价</w:t>
            </w:r>
          </w:p>
          <w:p>
            <w:pPr>
              <w:spacing w:line="360" w:lineRule="auto"/>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970" w:type="dxa"/>
            <w:gridSpan w:val="3"/>
            <w:vAlign w:val="center"/>
          </w:tcPr>
          <w:p>
            <w:pPr>
              <w:spacing w:line="360" w:lineRule="auto"/>
              <w:jc w:val="center"/>
              <w:rPr>
                <w:color w:val="auto"/>
                <w:sz w:val="24"/>
                <w:szCs w:val="24"/>
              </w:rPr>
            </w:pPr>
            <w:r>
              <w:rPr>
                <w:rFonts w:hint="eastAsia"/>
                <w:b/>
                <w:sz w:val="24"/>
                <w:szCs w:val="20"/>
              </w:rPr>
              <w:t>综合得分F＝F1＋F2＋F3</w:t>
            </w:r>
          </w:p>
        </w:tc>
      </w:tr>
    </w:tbl>
    <w:p>
      <w:r>
        <w:rPr>
          <w:rFonts w:hint="eastAsia" w:cs="宋体"/>
        </w:rPr>
        <w:br w:type="page"/>
      </w:r>
    </w:p>
    <w:p/>
    <w:p>
      <w:pPr>
        <w:rPr>
          <w:b/>
          <w:sz w:val="18"/>
          <w:szCs w:val="18"/>
        </w:rPr>
      </w:pPr>
    </w:p>
    <w:p>
      <w:pPr>
        <w:spacing w:line="360" w:lineRule="auto"/>
        <w:ind w:firstLine="723" w:firstLineChars="200"/>
        <w:jc w:val="center"/>
        <w:outlineLvl w:val="0"/>
        <w:rPr>
          <w:b/>
          <w:bCs/>
          <w:sz w:val="36"/>
          <w:szCs w:val="36"/>
        </w:rPr>
      </w:pPr>
      <w:bookmarkStart w:id="677" w:name="_Toc2791"/>
      <w:bookmarkStart w:id="678" w:name="_Toc6110"/>
      <w:bookmarkStart w:id="679" w:name="_Toc28296"/>
      <w:bookmarkStart w:id="680" w:name="_Toc148459143"/>
      <w:bookmarkStart w:id="681" w:name="_Toc18277"/>
      <w:bookmarkStart w:id="682" w:name="_Toc11321"/>
      <w:bookmarkStart w:id="683" w:name="_Toc6382"/>
      <w:bookmarkStart w:id="684" w:name="_Toc10625"/>
      <w:r>
        <w:rPr>
          <w:rFonts w:hint="eastAsia"/>
          <w:b/>
          <w:bCs/>
          <w:sz w:val="36"/>
          <w:szCs w:val="36"/>
        </w:rPr>
        <w:t>第四章  招标内容及要求</w:t>
      </w:r>
      <w:bookmarkEnd w:id="677"/>
      <w:bookmarkEnd w:id="678"/>
      <w:bookmarkEnd w:id="679"/>
      <w:bookmarkEnd w:id="680"/>
      <w:bookmarkEnd w:id="681"/>
      <w:bookmarkEnd w:id="682"/>
      <w:bookmarkEnd w:id="683"/>
      <w:bookmarkEnd w:id="684"/>
    </w:p>
    <w:p>
      <w:pPr>
        <w:spacing w:line="360" w:lineRule="auto"/>
        <w:ind w:firstLine="482" w:firstLineChars="200"/>
        <w:rPr>
          <w:rFonts w:cs="宋体"/>
          <w:b/>
          <w:bCs/>
          <w:sz w:val="24"/>
        </w:rPr>
      </w:pPr>
      <w:r>
        <w:rPr>
          <w:rFonts w:hint="eastAsia" w:cs="宋体"/>
          <w:b/>
          <w:bCs/>
          <w:sz w:val="24"/>
        </w:rPr>
        <w:t>提示说明：</w:t>
      </w:r>
    </w:p>
    <w:p>
      <w:pPr>
        <w:spacing w:line="360" w:lineRule="auto"/>
        <w:ind w:firstLine="482" w:firstLineChars="200"/>
        <w:rPr>
          <w:rFonts w:cs="宋体"/>
          <w:b/>
          <w:bCs/>
          <w:sz w:val="24"/>
        </w:rPr>
      </w:pPr>
      <w:r>
        <w:rPr>
          <w:rFonts w:hint="eastAsia" w:cs="宋体"/>
          <w:b/>
          <w:bCs/>
          <w:sz w:val="24"/>
        </w:rPr>
        <w:t>(1)全文中带有“★”的条款为关键性条款，对这些关键性条款的任何负偏离或不满足将作无效投标处理。</w:t>
      </w:r>
    </w:p>
    <w:p>
      <w:pPr>
        <w:spacing w:line="360" w:lineRule="auto"/>
        <w:ind w:firstLine="482" w:firstLineChars="200"/>
        <w:rPr>
          <w:rFonts w:cs="宋体"/>
          <w:b/>
          <w:bCs/>
          <w:sz w:val="24"/>
        </w:rPr>
      </w:pPr>
      <w:r>
        <w:rPr>
          <w:rFonts w:hint="eastAsia" w:cs="宋体"/>
          <w:b/>
          <w:bCs/>
          <w:sz w:val="24"/>
        </w:rPr>
        <w:t>(2)投标人必须完整提供本项目要求的所有货物和服务，否则将作无效投标处理。</w:t>
      </w:r>
    </w:p>
    <w:p>
      <w:pPr>
        <w:spacing w:line="360" w:lineRule="auto"/>
        <w:ind w:firstLine="482" w:firstLineChars="200"/>
        <w:rPr>
          <w:rFonts w:cs="宋体"/>
          <w:b/>
          <w:bCs/>
          <w:sz w:val="24"/>
        </w:rPr>
      </w:pPr>
      <w:r>
        <w:rPr>
          <w:rFonts w:hint="eastAsia" w:cs="宋体"/>
          <w:b/>
          <w:bCs/>
          <w:sz w:val="24"/>
        </w:rPr>
        <w:t>(3)招标文件中所述技术要求，应视为保证货物运行所需的最低要求，如有遗漏，投标人应予以补充，否则一旦成为中标人将认为投标人认同遗漏部分并免费提供。</w:t>
      </w:r>
    </w:p>
    <w:p>
      <w:pPr>
        <w:spacing w:line="360" w:lineRule="auto"/>
        <w:ind w:firstLine="482" w:firstLineChars="200"/>
        <w:rPr>
          <w:rFonts w:cs="宋体"/>
          <w:b/>
          <w:bCs/>
          <w:sz w:val="24"/>
        </w:rPr>
      </w:pPr>
      <w:r>
        <w:rPr>
          <w:rFonts w:hint="eastAsia" w:cs="宋体"/>
          <w:b/>
          <w:bCs/>
          <w:sz w:val="24"/>
        </w:rPr>
        <w:t>(4) 若招标文件第四章所述内容与其它部分的条款发生理解冲突，则以第四章所述内容为主；如招标文件发生变更，则相关条款的解释以更改通知为准。</w:t>
      </w:r>
    </w:p>
    <w:p>
      <w:pPr>
        <w:spacing w:line="360" w:lineRule="auto"/>
        <w:ind w:firstLine="482" w:firstLineChars="200"/>
        <w:rPr>
          <w:rFonts w:cs="宋体"/>
          <w:b/>
          <w:bCs/>
          <w:sz w:val="24"/>
        </w:rPr>
      </w:pPr>
      <w:r>
        <w:rPr>
          <w:rFonts w:hint="eastAsia" w:cs="宋体"/>
          <w:b/>
          <w:bCs/>
          <w:sz w:val="24"/>
        </w:rPr>
        <w:t>(5) 经评标委员会认定要求澄清的证明文件必须在规定的时间内提供，否则其将不具有中标候选人的资格。</w:t>
      </w:r>
    </w:p>
    <w:p>
      <w:pPr>
        <w:pStyle w:val="15"/>
        <w:spacing w:line="360" w:lineRule="auto"/>
        <w:ind w:firstLine="720" w:firstLineChars="300"/>
        <w:rPr>
          <w:b/>
          <w:bCs/>
          <w:sz w:val="36"/>
          <w:szCs w:val="36"/>
        </w:rPr>
      </w:pPr>
      <w:r>
        <w:rPr>
          <w:rFonts w:hint="eastAsia" w:hAnsi="宋体"/>
          <w:sz w:val="24"/>
          <w:szCs w:val="24"/>
        </w:rPr>
        <w:t xml:space="preserve"> </w:t>
      </w:r>
    </w:p>
    <w:p>
      <w:pPr>
        <w:widowControl w:val="0"/>
        <w:numPr>
          <w:ilvl w:val="0"/>
          <w:numId w:val="0"/>
        </w:numPr>
        <w:jc w:val="both"/>
        <w:outlineLvl w:val="1"/>
        <w:rPr>
          <w:rFonts w:hint="eastAsia"/>
          <w:b/>
          <w:bCs/>
          <w:sz w:val="28"/>
          <w:szCs w:val="28"/>
        </w:rPr>
      </w:pPr>
      <w:bookmarkStart w:id="685" w:name="_Toc7068"/>
      <w:bookmarkStart w:id="686" w:name="_Toc5317"/>
      <w:bookmarkStart w:id="687" w:name="_Toc26343"/>
      <w:bookmarkStart w:id="688" w:name="_Toc29051"/>
      <w:bookmarkStart w:id="689" w:name="_Toc16280"/>
      <w:bookmarkStart w:id="690" w:name="_Toc21191"/>
      <w:r>
        <w:rPr>
          <w:rFonts w:hint="eastAsia"/>
          <w:b/>
          <w:bCs/>
          <w:sz w:val="28"/>
          <w:szCs w:val="28"/>
        </w:rPr>
        <w:t>概述</w:t>
      </w:r>
      <w:bookmarkEnd w:id="685"/>
      <w:bookmarkEnd w:id="686"/>
      <w:bookmarkEnd w:id="687"/>
      <w:bookmarkEnd w:id="688"/>
      <w:bookmarkEnd w:id="689"/>
      <w:bookmarkEnd w:id="690"/>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1、本技术规范书适用于厦工（三明）重型机器有限公司工业园的设备，它提出了该设备的功能设计、结构、性能、安装调试等方面的技术要求。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2、本技术规范书所提及的要求和供货范围都是最低限度的要求，并未对一切技术细节作出规定，也未充分地详述有关标准和规范的条文，但投标人应保证提供符合本技术规范和工业标准的功能齐全的优质产品。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3、如投标人没有对本技术规范书提出书面异议(或差异)，招标人则可认为投标人完全接受和同意本技术规范书的要求。如有差异(无论多少)，均应填写到本技术规范书的偏离表中。</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4、投标方应提供一套用U盘保存的电子版投标文件。 中标后10天内应提供一份完整的设备安装基础图。</w:t>
      </w:r>
    </w:p>
    <w:p>
      <w:pPr>
        <w:spacing w:line="360" w:lineRule="auto"/>
        <w:ind w:left="315" w:leftChars="150" w:firstLine="120" w:firstLineChars="50"/>
        <w:rPr>
          <w:rFonts w:hint="eastAsia" w:ascii="宋体" w:hAnsi="宋体" w:cs="宋体"/>
          <w:color w:val="auto"/>
          <w:sz w:val="24"/>
        </w:rPr>
      </w:pPr>
      <w:r>
        <w:rPr>
          <w:rFonts w:hint="eastAsia" w:ascii="宋体" w:hAnsi="宋体" w:cs="宋体"/>
          <w:color w:val="auto"/>
          <w:sz w:val="24"/>
        </w:rPr>
        <w:t>5、投标方应提供制造商的生产部门交货期确认和技术部门技术确认原件各一份。</w:t>
      </w:r>
    </w:p>
    <w:p>
      <w:pPr>
        <w:numPr>
          <w:ilvl w:val="-1"/>
          <w:numId w:val="0"/>
        </w:numPr>
        <w:spacing w:line="360" w:lineRule="auto"/>
        <w:ind w:left="0" w:firstLine="0"/>
        <w:rPr>
          <w:rFonts w:hint="eastAsia" w:ascii="宋体" w:hAnsi="宋体" w:cs="宋体"/>
          <w:b/>
          <w:color w:val="auto"/>
          <w:sz w:val="28"/>
          <w:szCs w:val="28"/>
        </w:rPr>
      </w:pPr>
      <w:r>
        <w:rPr>
          <w:rFonts w:hint="eastAsia" w:ascii="宋体" w:hAnsi="宋体" w:cs="宋体"/>
          <w:b/>
          <w:color w:val="auto"/>
          <w:sz w:val="28"/>
          <w:szCs w:val="28"/>
        </w:rPr>
        <w:t>招标方环境条件</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1、气象特征值</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（1）气温：年平均气温19.6℃，绝对最高气温40.1℃，绝对最低气温-7.1℃。</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（2）湿度：年平均相对湿度82%。</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（3）降雨量：年平均降水量1661.9mm，</w:t>
      </w:r>
    </w:p>
    <w:p>
      <w:pPr>
        <w:spacing w:line="360" w:lineRule="auto"/>
        <w:ind w:firstLine="1680" w:firstLineChars="700"/>
        <w:rPr>
          <w:rFonts w:hint="eastAsia" w:ascii="宋体" w:hAnsi="宋体" w:cs="宋体"/>
          <w:color w:val="auto"/>
          <w:sz w:val="24"/>
        </w:rPr>
      </w:pPr>
      <w:r>
        <w:rPr>
          <w:rFonts w:hint="eastAsia" w:ascii="宋体" w:hAnsi="宋体" w:cs="宋体"/>
          <w:color w:val="auto"/>
          <w:sz w:val="24"/>
        </w:rPr>
        <w:t>一日最大降水量145.4mm。</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 xml:space="preserve">（4）风：常年主导风向E   </w:t>
      </w:r>
    </w:p>
    <w:p>
      <w:pPr>
        <w:spacing w:line="360" w:lineRule="auto"/>
        <w:ind w:firstLine="1200" w:firstLineChars="500"/>
        <w:rPr>
          <w:rFonts w:hint="eastAsia" w:ascii="宋体" w:hAnsi="宋体" w:cs="宋体"/>
          <w:color w:val="auto"/>
          <w:sz w:val="24"/>
        </w:rPr>
      </w:pPr>
      <w:r>
        <w:rPr>
          <w:rFonts w:hint="eastAsia" w:ascii="宋体" w:hAnsi="宋体" w:cs="宋体"/>
          <w:color w:val="auto"/>
          <w:sz w:val="24"/>
        </w:rPr>
        <w:t>次主导风向SE</w:t>
      </w:r>
    </w:p>
    <w:p>
      <w:pPr>
        <w:spacing w:line="360" w:lineRule="auto"/>
        <w:rPr>
          <w:rFonts w:hint="eastAsia" w:ascii="宋体" w:hAnsi="宋体" w:cs="宋体"/>
          <w:color w:val="auto"/>
          <w:sz w:val="24"/>
        </w:rPr>
      </w:pPr>
      <w:r>
        <w:rPr>
          <w:rFonts w:hint="eastAsia" w:ascii="宋体" w:hAnsi="宋体" w:cs="宋体"/>
          <w:color w:val="auto"/>
          <w:sz w:val="24"/>
        </w:rPr>
        <w:t xml:space="preserve">          平均风速0.7m/s</w:t>
      </w:r>
    </w:p>
    <w:p>
      <w:pPr>
        <w:spacing w:line="360" w:lineRule="auto"/>
        <w:rPr>
          <w:rFonts w:hint="eastAsia" w:ascii="宋体" w:hAnsi="宋体" w:cs="宋体"/>
          <w:color w:val="auto"/>
          <w:sz w:val="24"/>
        </w:rPr>
      </w:pPr>
      <w:r>
        <w:rPr>
          <w:rFonts w:hint="eastAsia" w:ascii="宋体" w:hAnsi="宋体" w:cs="宋体"/>
          <w:color w:val="auto"/>
          <w:sz w:val="24"/>
        </w:rPr>
        <w:t xml:space="preserve">          极端最大风速12.0 m/s。</w:t>
      </w:r>
    </w:p>
    <w:p>
      <w:pPr>
        <w:numPr>
          <w:ilvl w:val="0"/>
          <w:numId w:val="5"/>
        </w:numPr>
        <w:spacing w:line="360" w:lineRule="auto"/>
        <w:rPr>
          <w:rFonts w:hint="eastAsia" w:ascii="宋体" w:hAnsi="宋体" w:cs="宋体"/>
          <w:color w:val="auto"/>
          <w:sz w:val="24"/>
        </w:rPr>
      </w:pPr>
      <w:r>
        <w:rPr>
          <w:rFonts w:hint="eastAsia" w:ascii="宋体" w:hAnsi="宋体" w:cs="宋体"/>
          <w:color w:val="auto"/>
          <w:sz w:val="24"/>
        </w:rPr>
        <w:t>其它：年平均雷暴日数15d。</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2、工作条件：</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（1）电源：220V/380V（AC）±10﹪ 50HZ</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 xml:space="preserve">（2）气源：压缩空气 0.6～0.8Mpa,氧气、0.8～1.0Mpa,  </w:t>
      </w:r>
    </w:p>
    <w:p>
      <w:pPr>
        <w:spacing w:line="360" w:lineRule="auto"/>
        <w:ind w:left="315" w:leftChars="150" w:firstLine="120" w:firstLineChars="50"/>
        <w:rPr>
          <w:rFonts w:hint="eastAsia" w:ascii="宋体" w:hAnsi="宋体" w:cs="宋体"/>
          <w:color w:val="auto"/>
          <w:sz w:val="24"/>
        </w:rPr>
      </w:pPr>
      <w:r>
        <w:rPr>
          <w:rFonts w:hint="eastAsia" w:ascii="宋体" w:hAnsi="宋体" w:cs="宋体"/>
          <w:color w:val="auto"/>
          <w:sz w:val="24"/>
        </w:rPr>
        <w:t>二氧化碳，0.1～0.2Mpa,天然气0.15～0.2Mpa。</w:t>
      </w:r>
    </w:p>
    <w:p>
      <w:pPr>
        <w:widowControl w:val="0"/>
        <w:numPr>
          <w:ilvl w:val="0"/>
          <w:numId w:val="0"/>
        </w:numPr>
        <w:jc w:val="both"/>
        <w:outlineLvl w:val="1"/>
        <w:rPr>
          <w:rFonts w:hint="eastAsia" w:ascii="宋体" w:hAnsi="宋体" w:cs="宋体"/>
          <w:b/>
          <w:bCs/>
          <w:color w:val="auto"/>
          <w:sz w:val="28"/>
          <w:szCs w:val="28"/>
        </w:rPr>
      </w:pPr>
    </w:p>
    <w:p>
      <w:pPr>
        <w:numPr>
          <w:ilvl w:val="0"/>
          <w:numId w:val="6"/>
        </w:numPr>
        <w:adjustRightInd w:val="0"/>
        <w:snapToGrid w:val="0"/>
        <w:spacing w:line="360" w:lineRule="auto"/>
        <w:outlineLvl w:val="1"/>
        <w:rPr>
          <w:rFonts w:hint="eastAsia" w:ascii="宋体" w:hAnsi="宋体" w:cs="宋体"/>
          <w:b w:val="0"/>
          <w:bCs/>
          <w:color w:val="auto"/>
          <w:sz w:val="24"/>
          <w:szCs w:val="24"/>
        </w:rPr>
      </w:pPr>
      <w:bookmarkStart w:id="691" w:name="_Toc24133"/>
      <w:bookmarkStart w:id="692" w:name="_Toc13859"/>
      <w:bookmarkStart w:id="693" w:name="_Toc10658"/>
      <w:bookmarkStart w:id="694" w:name="_Toc12587"/>
      <w:bookmarkStart w:id="695" w:name="_Toc27615"/>
      <w:r>
        <w:rPr>
          <w:rFonts w:hint="eastAsia" w:ascii="宋体" w:hAnsi="宋体" w:cs="宋体"/>
          <w:b w:val="0"/>
          <w:bCs/>
          <w:color w:val="auto"/>
          <w:sz w:val="24"/>
          <w:szCs w:val="24"/>
        </w:rPr>
        <w:t>技术规格及要求</w:t>
      </w:r>
      <w:bookmarkEnd w:id="691"/>
      <w:bookmarkEnd w:id="692"/>
      <w:bookmarkEnd w:id="693"/>
      <w:bookmarkEnd w:id="694"/>
      <w:bookmarkEnd w:id="695"/>
    </w:p>
    <w:p>
      <w:pPr>
        <w:widowControl/>
        <w:numPr>
          <w:ilvl w:val="0"/>
          <w:numId w:val="0"/>
        </w:numPr>
        <w:adjustRightInd/>
        <w:snapToGrid/>
        <w:spacing w:line="240" w:lineRule="auto"/>
        <w:ind w:firstLine="420"/>
        <w:jc w:val="left"/>
        <w:outlineLvl w:val="9"/>
        <w:rPr>
          <w:rFonts w:hint="eastAsia" w:ascii="宋体" w:hAnsi="宋体" w:cs="宋体"/>
          <w:b/>
          <w:color w:val="auto"/>
          <w:kern w:val="0"/>
          <w:sz w:val="24"/>
          <w:lang w:eastAsia="zh-CN"/>
        </w:rPr>
      </w:pPr>
      <w:r>
        <w:rPr>
          <w:rFonts w:hint="eastAsia" w:ascii="宋体" w:hAnsi="宋体" w:cs="宋体"/>
          <w:b/>
          <w:bCs w:val="0"/>
          <w:color w:val="auto"/>
          <w:sz w:val="24"/>
          <w:szCs w:val="24"/>
          <w:lang w:val="en-US" w:eastAsia="zh-CN"/>
        </w:rPr>
        <w:t>本次计划购买的</w:t>
      </w:r>
      <w:r>
        <w:rPr>
          <w:rFonts w:hint="eastAsia" w:ascii="宋体" w:hAnsi="宋体" w:cs="宋体"/>
          <w:b/>
          <w:bCs w:val="0"/>
          <w:color w:val="auto"/>
          <w:sz w:val="24"/>
        </w:rPr>
        <w:t>数控双柱立式车床</w:t>
      </w:r>
      <w:r>
        <w:rPr>
          <w:rFonts w:hint="eastAsia" w:ascii="宋体" w:hAnsi="宋体" w:cs="宋体"/>
          <w:b/>
          <w:bCs w:val="0"/>
          <w:color w:val="auto"/>
          <w:sz w:val="24"/>
          <w:lang w:val="en-US" w:eastAsia="zh-CN"/>
        </w:rPr>
        <w:t>需</w:t>
      </w:r>
      <w:r>
        <w:rPr>
          <w:rFonts w:hint="eastAsia" w:ascii="宋体" w:hAnsi="宋体" w:cs="宋体"/>
          <w:b/>
          <w:color w:val="auto"/>
          <w:kern w:val="0"/>
          <w:sz w:val="24"/>
        </w:rPr>
        <w:t>全闭环</w:t>
      </w:r>
      <w:r>
        <w:rPr>
          <w:rFonts w:hint="eastAsia" w:ascii="宋体" w:hAnsi="宋体" w:cs="宋体"/>
          <w:b/>
          <w:color w:val="auto"/>
          <w:kern w:val="0"/>
          <w:sz w:val="24"/>
          <w:lang w:eastAsia="zh-CN"/>
        </w:rPr>
        <w:t>，</w:t>
      </w:r>
      <w:r>
        <w:rPr>
          <w:rFonts w:hint="eastAsia" w:ascii="宋体" w:hAnsi="宋体" w:cs="宋体"/>
          <w:b/>
          <w:color w:val="auto"/>
          <w:kern w:val="0"/>
          <w:sz w:val="24"/>
        </w:rPr>
        <w:t>整机带防护围栏，无需排屑器</w:t>
      </w:r>
      <w:r>
        <w:rPr>
          <w:rFonts w:hint="eastAsia" w:ascii="宋体" w:hAnsi="宋体" w:cs="宋体"/>
          <w:b/>
          <w:color w:val="auto"/>
          <w:kern w:val="0"/>
          <w:sz w:val="24"/>
          <w:lang w:eastAsia="zh-CN"/>
        </w:rPr>
        <w:t>。</w:t>
      </w:r>
    </w:p>
    <w:p>
      <w:pPr>
        <w:rPr>
          <w:rFonts w:hint="eastAsia" w:ascii="宋体" w:hAnsi="宋体" w:cs="宋体"/>
          <w:b/>
          <w:color w:val="auto"/>
          <w:sz w:val="28"/>
          <w:szCs w:val="28"/>
        </w:rPr>
      </w:pPr>
      <w:r>
        <w:rPr>
          <w:rFonts w:hint="eastAsia" w:ascii="宋体" w:hAnsi="宋体" w:cs="宋体"/>
          <w:b/>
          <w:bCs/>
          <w:color w:val="auto"/>
          <w:sz w:val="28"/>
          <w:szCs w:val="28"/>
        </w:rPr>
        <w:t>1数控立车</w:t>
      </w:r>
      <w:r>
        <w:rPr>
          <w:rFonts w:hint="eastAsia" w:ascii="宋体" w:hAnsi="宋体" w:cs="宋体"/>
          <w:b/>
          <w:color w:val="auto"/>
          <w:sz w:val="28"/>
          <w:szCs w:val="28"/>
        </w:rPr>
        <w:t>技术参数</w:t>
      </w:r>
    </w:p>
    <w:tbl>
      <w:tblPr>
        <w:tblStyle w:val="28"/>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324"/>
        <w:gridCol w:w="1094"/>
        <w:gridCol w:w="1417"/>
        <w:gridCol w:w="426"/>
        <w:gridCol w:w="567"/>
        <w:gridCol w:w="814"/>
        <w:gridCol w:w="320"/>
        <w:gridCol w:w="2768"/>
        <w:gridCol w:w="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937" w:type="dxa"/>
            <w:gridSpan w:val="3"/>
            <w:noWrap w:val="0"/>
            <w:vAlign w:val="center"/>
          </w:tcPr>
          <w:p>
            <w:pPr>
              <w:spacing w:line="360" w:lineRule="auto"/>
              <w:ind w:firstLine="720" w:firstLineChars="300"/>
              <w:rPr>
                <w:rFonts w:hint="eastAsia" w:ascii="宋体" w:hAnsi="宋体" w:cs="宋体"/>
                <w:color w:val="auto"/>
                <w:sz w:val="24"/>
              </w:rPr>
            </w:pPr>
            <w:r>
              <w:rPr>
                <w:rFonts w:hint="eastAsia" w:ascii="宋体" w:hAnsi="宋体" w:cs="宋体"/>
                <w:color w:val="auto"/>
                <w:sz w:val="24"/>
              </w:rPr>
              <w:t>名    称</w:t>
            </w:r>
          </w:p>
        </w:tc>
        <w:tc>
          <w:tcPr>
            <w:tcW w:w="1381" w:type="dxa"/>
            <w:gridSpan w:val="2"/>
            <w:noWrap w:val="0"/>
            <w:vAlign w:val="top"/>
          </w:tcPr>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单  位</w:t>
            </w:r>
          </w:p>
        </w:tc>
        <w:tc>
          <w:tcPr>
            <w:tcW w:w="3213" w:type="dxa"/>
            <w:gridSpan w:val="3"/>
            <w:noWrap w:val="0"/>
            <w:vAlign w:val="top"/>
          </w:tcPr>
          <w:p>
            <w:pPr>
              <w:spacing w:line="360" w:lineRule="auto"/>
              <w:ind w:firstLine="1080" w:firstLineChars="450"/>
              <w:rPr>
                <w:rFonts w:hint="eastAsia" w:ascii="宋体" w:hAnsi="宋体" w:cs="宋体"/>
                <w:color w:val="auto"/>
                <w:sz w:val="24"/>
              </w:rPr>
            </w:pPr>
            <w:r>
              <w:rPr>
                <w:rFonts w:hint="eastAsia" w:ascii="宋体" w:hAnsi="宋体" w:cs="宋体"/>
                <w:color w:val="auto"/>
                <w:sz w:val="24"/>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 xml:space="preserve">最大车削直径  </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2</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最大工件高度</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2500（工件净加工高度2300以上）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3</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最大工件重量</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t</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15吨以上（具体数值投标方填入）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工作台直径</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工作台主轴直径</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工作台主轴承型号</w:t>
            </w:r>
          </w:p>
        </w:tc>
        <w:tc>
          <w:tcPr>
            <w:tcW w:w="1381" w:type="dxa"/>
            <w:gridSpan w:val="2"/>
            <w:noWrap w:val="0"/>
            <w:vAlign w:val="center"/>
          </w:tcPr>
          <w:p>
            <w:pPr>
              <w:spacing w:line="360" w:lineRule="auto"/>
              <w:jc w:val="center"/>
              <w:rPr>
                <w:rFonts w:hint="eastAsia" w:ascii="宋体" w:hAnsi="宋体" w:cs="宋体"/>
                <w:color w:val="auto"/>
                <w:sz w:val="24"/>
              </w:rPr>
            </w:pP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工作台最大扭矩</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kN·m</w:t>
            </w:r>
          </w:p>
        </w:tc>
        <w:tc>
          <w:tcPr>
            <w:tcW w:w="3213" w:type="dxa"/>
            <w:gridSpan w:val="3"/>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工作台转速范围</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r/min</w:t>
            </w:r>
          </w:p>
        </w:tc>
        <w:tc>
          <w:tcPr>
            <w:tcW w:w="3213" w:type="dxa"/>
            <w:gridSpan w:val="3"/>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9</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工作台变速级数</w:t>
            </w:r>
          </w:p>
        </w:tc>
        <w:tc>
          <w:tcPr>
            <w:tcW w:w="1381" w:type="dxa"/>
            <w:gridSpan w:val="2"/>
            <w:noWrap w:val="0"/>
            <w:vAlign w:val="center"/>
          </w:tcPr>
          <w:p>
            <w:pPr>
              <w:spacing w:line="360" w:lineRule="auto"/>
              <w:jc w:val="center"/>
              <w:rPr>
                <w:rFonts w:hint="eastAsia" w:ascii="宋体" w:hAnsi="宋体" w:cs="宋体"/>
                <w:color w:val="auto"/>
                <w:sz w:val="24"/>
              </w:rPr>
            </w:pP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二档无级变速（具体填报转速范围）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10</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工作台主轴承型号</w:t>
            </w:r>
          </w:p>
        </w:tc>
        <w:tc>
          <w:tcPr>
            <w:tcW w:w="1381" w:type="dxa"/>
            <w:gridSpan w:val="2"/>
            <w:noWrap w:val="0"/>
            <w:vAlign w:val="center"/>
          </w:tcPr>
          <w:p>
            <w:pPr>
              <w:spacing w:line="360" w:lineRule="auto"/>
              <w:jc w:val="center"/>
              <w:rPr>
                <w:rFonts w:hint="eastAsia" w:ascii="宋体" w:hAnsi="宋体" w:cs="宋体"/>
                <w:color w:val="auto"/>
                <w:sz w:val="24"/>
              </w:rPr>
            </w:pP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11</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工作台主轴直径</w:t>
            </w:r>
          </w:p>
        </w:tc>
        <w:tc>
          <w:tcPr>
            <w:tcW w:w="1381" w:type="dxa"/>
            <w:gridSpan w:val="2"/>
            <w:noWrap w:val="0"/>
            <w:vAlign w:val="center"/>
          </w:tcPr>
          <w:p>
            <w:pPr>
              <w:jc w:val="center"/>
              <w:rPr>
                <w:rFonts w:hint="eastAsia" w:ascii="宋体" w:hAnsi="宋体" w:cs="宋体"/>
                <w:color w:val="auto"/>
              </w:rPr>
            </w:pPr>
            <w:r>
              <w:rPr>
                <w:rFonts w:hint="eastAsia" w:ascii="宋体" w:hAnsi="宋体" w:cs="宋体"/>
                <w:color w:val="auto"/>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12</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工作台底座直径</w:t>
            </w:r>
          </w:p>
        </w:tc>
        <w:tc>
          <w:tcPr>
            <w:tcW w:w="1381" w:type="dxa"/>
            <w:gridSpan w:val="2"/>
            <w:noWrap w:val="0"/>
            <w:vAlign w:val="center"/>
          </w:tcPr>
          <w:p>
            <w:pPr>
              <w:jc w:val="center"/>
              <w:rPr>
                <w:rFonts w:hint="eastAsia" w:ascii="宋体" w:hAnsi="宋体" w:cs="宋体"/>
                <w:color w:val="auto"/>
              </w:rPr>
            </w:pPr>
            <w:r>
              <w:rPr>
                <w:rFonts w:hint="eastAsia" w:ascii="宋体" w:hAnsi="宋体" w:cs="宋体"/>
                <w:color w:val="auto"/>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13</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工作台变速箱型号</w:t>
            </w:r>
          </w:p>
        </w:tc>
        <w:tc>
          <w:tcPr>
            <w:tcW w:w="1381" w:type="dxa"/>
            <w:gridSpan w:val="2"/>
            <w:noWrap w:val="0"/>
            <w:vAlign w:val="center"/>
          </w:tcPr>
          <w:p>
            <w:pPr>
              <w:spacing w:line="360" w:lineRule="auto"/>
              <w:jc w:val="center"/>
              <w:rPr>
                <w:rFonts w:hint="eastAsia" w:ascii="宋体" w:hAnsi="宋体" w:cs="宋体"/>
                <w:color w:val="auto"/>
                <w:sz w:val="24"/>
              </w:rPr>
            </w:pPr>
          </w:p>
        </w:tc>
        <w:tc>
          <w:tcPr>
            <w:tcW w:w="3213" w:type="dxa"/>
            <w:gridSpan w:val="3"/>
            <w:noWrap w:val="0"/>
            <w:vAlign w:val="center"/>
          </w:tcPr>
          <w:p>
            <w:pPr>
              <w:jc w:val="center"/>
              <w:rPr>
                <w:rFonts w:hint="eastAsia" w:ascii="宋体" w:hAnsi="宋体" w:cs="宋体"/>
                <w:color w:val="auto"/>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14</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工作台变速箱制造商</w:t>
            </w:r>
          </w:p>
        </w:tc>
        <w:tc>
          <w:tcPr>
            <w:tcW w:w="1381" w:type="dxa"/>
            <w:gridSpan w:val="2"/>
            <w:noWrap w:val="0"/>
            <w:vAlign w:val="center"/>
          </w:tcPr>
          <w:p>
            <w:pPr>
              <w:spacing w:line="360" w:lineRule="auto"/>
              <w:jc w:val="center"/>
              <w:rPr>
                <w:rFonts w:hint="eastAsia" w:ascii="宋体" w:hAnsi="宋体" w:cs="宋体"/>
                <w:color w:val="auto"/>
                <w:sz w:val="24"/>
              </w:rPr>
            </w:pPr>
          </w:p>
        </w:tc>
        <w:tc>
          <w:tcPr>
            <w:tcW w:w="3213" w:type="dxa"/>
            <w:gridSpan w:val="3"/>
            <w:noWrap w:val="0"/>
            <w:vAlign w:val="center"/>
          </w:tcPr>
          <w:p>
            <w:pPr>
              <w:jc w:val="center"/>
              <w:rPr>
                <w:rFonts w:hint="eastAsia" w:ascii="宋体" w:hAnsi="宋体" w:cs="宋体"/>
                <w:color w:val="auto"/>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15</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 xml:space="preserve">垂直刀架水平行程 </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16</w:t>
            </w:r>
          </w:p>
        </w:tc>
        <w:tc>
          <w:tcPr>
            <w:tcW w:w="2937" w:type="dxa"/>
            <w:gridSpan w:val="3"/>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 xml:space="preserve">垂直刀架滑枕垂直行程 </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17</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刀架进给量范围</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mm/min</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18</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刀架快速移动速度</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mm/min</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19</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滑枕截面</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20</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滑枕材质</w:t>
            </w:r>
          </w:p>
        </w:tc>
        <w:tc>
          <w:tcPr>
            <w:tcW w:w="1381" w:type="dxa"/>
            <w:gridSpan w:val="2"/>
            <w:noWrap w:val="0"/>
            <w:vAlign w:val="center"/>
          </w:tcPr>
          <w:p>
            <w:pPr>
              <w:spacing w:line="360" w:lineRule="auto"/>
              <w:jc w:val="center"/>
              <w:rPr>
                <w:rFonts w:hint="eastAsia" w:ascii="宋体" w:hAnsi="宋体" w:cs="宋体"/>
                <w:color w:val="auto"/>
                <w:sz w:val="24"/>
              </w:rPr>
            </w:pP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45#锻钢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21</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刀杆截面尺寸</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 xml:space="preserve">240×240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22</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右刀架最大切削力</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kN</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23</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进给量级数</w:t>
            </w:r>
          </w:p>
        </w:tc>
        <w:tc>
          <w:tcPr>
            <w:tcW w:w="1381" w:type="dxa"/>
            <w:gridSpan w:val="2"/>
            <w:noWrap w:val="0"/>
            <w:vAlign w:val="center"/>
          </w:tcPr>
          <w:p>
            <w:pPr>
              <w:spacing w:line="360" w:lineRule="auto"/>
              <w:jc w:val="center"/>
              <w:rPr>
                <w:rFonts w:hint="eastAsia" w:ascii="宋体" w:hAnsi="宋体" w:cs="宋体"/>
                <w:color w:val="auto"/>
                <w:sz w:val="24"/>
              </w:rPr>
            </w:pP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24</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进给伺服电机扭矩</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N·m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25</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横梁行程</w:t>
            </w:r>
          </w:p>
        </w:tc>
        <w:tc>
          <w:tcPr>
            <w:tcW w:w="1381"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26</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横梁升降速度</w:t>
            </w:r>
          </w:p>
        </w:tc>
        <w:tc>
          <w:tcPr>
            <w:tcW w:w="1381"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mm/min</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27</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横梁导轨面</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28</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横梁升降电机功率</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Kw</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29</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主电机功率</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Kw</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★（要求超同步交流伺服电机）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30</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机床整机总功率</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kw</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31</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机床重量（约）</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t</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★（作为进厂过磅验收）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32</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机床外形尺寸（长×宽×高）</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mm</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33</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床身</w:t>
            </w:r>
          </w:p>
        </w:tc>
        <w:tc>
          <w:tcPr>
            <w:tcW w:w="1381" w:type="dxa"/>
            <w:gridSpan w:val="2"/>
            <w:noWrap w:val="0"/>
            <w:vAlign w:val="center"/>
          </w:tcPr>
          <w:p>
            <w:pPr>
              <w:spacing w:line="360" w:lineRule="auto"/>
              <w:jc w:val="center"/>
              <w:rPr>
                <w:rFonts w:hint="eastAsia" w:ascii="宋体" w:hAnsi="宋体" w:cs="宋体"/>
                <w:color w:val="auto"/>
                <w:sz w:val="24"/>
              </w:rPr>
            </w:pP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★床身回火消应力，有经过长时间自然时效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919"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34</w:t>
            </w:r>
          </w:p>
        </w:tc>
        <w:tc>
          <w:tcPr>
            <w:tcW w:w="2937"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工作台恒流静压供油点</w:t>
            </w:r>
          </w:p>
        </w:tc>
        <w:tc>
          <w:tcPr>
            <w:tcW w:w="138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个</w:t>
            </w:r>
          </w:p>
        </w:tc>
        <w:tc>
          <w:tcPr>
            <w:tcW w:w="3213"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8450" w:type="dxa"/>
            <w:gridSpan w:val="10"/>
            <w:noWrap w:val="0"/>
            <w:vAlign w:val="center"/>
          </w:tcPr>
          <w:p>
            <w:pPr>
              <w:ind w:firstLine="240" w:firstLineChars="100"/>
              <w:rPr>
                <w:rFonts w:hint="eastAsia" w:ascii="宋体" w:hAnsi="宋体" w:cs="宋体"/>
                <w:color w:val="auto"/>
                <w:sz w:val="24"/>
              </w:rPr>
            </w:pPr>
            <w:r>
              <w:rPr>
                <w:rFonts w:hint="eastAsia" w:ascii="宋体" w:hAnsi="宋体" w:cs="宋体"/>
                <w:color w:val="auto"/>
                <w:sz w:val="24"/>
              </w:rPr>
              <w:t>1、带</w:t>
            </w:r>
            <w:r>
              <w:rPr>
                <w:rFonts w:hint="eastAsia" w:ascii="宋体" w:hAnsi="宋体" w:cs="宋体"/>
                <w:color w:val="auto"/>
                <w:sz w:val="24"/>
                <w:highlight w:val="yellow"/>
              </w:rPr>
              <w:t>★</w:t>
            </w:r>
            <w:r>
              <w:rPr>
                <w:rFonts w:hint="eastAsia" w:ascii="宋体" w:hAnsi="宋体" w:cs="宋体"/>
                <w:color w:val="auto"/>
                <w:sz w:val="24"/>
              </w:rPr>
              <w:t>号由投标单位填写</w:t>
            </w:r>
          </w:p>
          <w:p>
            <w:pPr>
              <w:ind w:firstLine="235" w:firstLineChars="98"/>
              <w:rPr>
                <w:rFonts w:hint="eastAsia" w:ascii="宋体" w:hAnsi="宋体" w:cs="宋体"/>
                <w:color w:val="auto"/>
                <w:sz w:val="24"/>
              </w:rPr>
            </w:pPr>
            <w:r>
              <w:rPr>
                <w:rFonts w:hint="eastAsia" w:ascii="宋体" w:hAnsi="宋体" w:cs="宋体"/>
                <w:color w:val="auto"/>
                <w:sz w:val="24"/>
              </w:rPr>
              <w:t>2、如果有更多的参数，表中可以直接添加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8" w:hRule="atLeast"/>
        </w:trPr>
        <w:tc>
          <w:tcPr>
            <w:tcW w:w="8450" w:type="dxa"/>
            <w:gridSpan w:val="10"/>
            <w:tcBorders>
              <w:left w:val="nil"/>
              <w:right w:val="nil"/>
            </w:tcBorders>
            <w:noWrap w:val="0"/>
            <w:vAlign w:val="center"/>
          </w:tcPr>
          <w:p>
            <w:pPr>
              <w:spacing w:line="400" w:lineRule="exact"/>
              <w:rPr>
                <w:rFonts w:hint="eastAsia" w:ascii="宋体" w:hAnsi="宋体" w:cs="宋体"/>
                <w:bCs/>
                <w:color w:val="auto"/>
                <w:sz w:val="24"/>
              </w:rPr>
            </w:pPr>
            <w:r>
              <w:rPr>
                <w:rFonts w:hint="eastAsia" w:ascii="宋体" w:hAnsi="宋体" w:cs="宋体"/>
                <w:b/>
                <w:bCs/>
                <w:color w:val="auto"/>
                <w:sz w:val="28"/>
                <w:szCs w:val="28"/>
              </w:rPr>
              <w:t>2控制系统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序号</w:t>
            </w:r>
          </w:p>
        </w:tc>
        <w:tc>
          <w:tcPr>
            <w:tcW w:w="2835"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     目</w:t>
            </w:r>
          </w:p>
        </w:tc>
        <w:tc>
          <w:tcPr>
            <w:tcW w:w="993" w:type="dxa"/>
            <w:gridSpan w:val="2"/>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单位</w:t>
            </w:r>
          </w:p>
        </w:tc>
        <w:tc>
          <w:tcPr>
            <w:tcW w:w="1134" w:type="dxa"/>
            <w:gridSpan w:val="2"/>
            <w:noWrap w:val="0"/>
            <w:vAlign w:val="center"/>
          </w:tcPr>
          <w:p>
            <w:pPr>
              <w:jc w:val="center"/>
              <w:rPr>
                <w:rFonts w:hint="eastAsia" w:ascii="宋体" w:hAnsi="宋体" w:cs="宋体"/>
                <w:color w:val="auto"/>
                <w:sz w:val="24"/>
              </w:rPr>
            </w:pPr>
            <w:r>
              <w:rPr>
                <w:rFonts w:hint="eastAsia" w:ascii="宋体" w:hAnsi="宋体" w:cs="宋体"/>
                <w:color w:val="auto"/>
                <w:sz w:val="24"/>
              </w:rPr>
              <w:t>参 数</w:t>
            </w: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vMerge w:val="restart"/>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w:t>
            </w:r>
          </w:p>
        </w:tc>
        <w:tc>
          <w:tcPr>
            <w:tcW w:w="1418" w:type="dxa"/>
            <w:gridSpan w:val="2"/>
            <w:vMerge w:val="restart"/>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数控</w:t>
            </w:r>
          </w:p>
          <w:p>
            <w:pPr>
              <w:spacing w:line="360" w:lineRule="auto"/>
              <w:jc w:val="center"/>
              <w:rPr>
                <w:rFonts w:hint="eastAsia" w:ascii="宋体" w:hAnsi="宋体" w:cs="宋体"/>
                <w:color w:val="auto"/>
                <w:sz w:val="24"/>
              </w:rPr>
            </w:pPr>
            <w:r>
              <w:rPr>
                <w:rFonts w:hint="eastAsia" w:ascii="宋体" w:hAnsi="宋体" w:cs="宋体"/>
                <w:color w:val="auto"/>
                <w:sz w:val="24"/>
              </w:rPr>
              <w:t>系统</w:t>
            </w:r>
          </w:p>
        </w:tc>
        <w:tc>
          <w:tcPr>
            <w:tcW w:w="1417" w:type="dxa"/>
            <w:noWrap w:val="0"/>
            <w:vAlign w:val="center"/>
          </w:tcPr>
          <w:p>
            <w:pPr>
              <w:jc w:val="center"/>
              <w:rPr>
                <w:rFonts w:hint="eastAsia" w:ascii="宋体" w:hAnsi="宋体" w:cs="宋体"/>
                <w:color w:val="auto"/>
              </w:rPr>
            </w:pPr>
            <w:r>
              <w:rPr>
                <w:rFonts w:hint="eastAsia" w:ascii="宋体" w:hAnsi="宋体" w:cs="宋体"/>
                <w:color w:val="auto"/>
              </w:rPr>
              <w:t>主配</w:t>
            </w:r>
          </w:p>
        </w:tc>
        <w:tc>
          <w:tcPr>
            <w:tcW w:w="993" w:type="dxa"/>
            <w:gridSpan w:val="2"/>
            <w:noWrap w:val="0"/>
            <w:vAlign w:val="top"/>
          </w:tcPr>
          <w:p>
            <w:pPr>
              <w:widowControl/>
              <w:spacing w:line="360" w:lineRule="exact"/>
              <w:jc w:val="center"/>
              <w:rPr>
                <w:rFonts w:hint="eastAsia" w:ascii="宋体" w:hAnsi="宋体" w:cs="宋体"/>
                <w:color w:val="auto"/>
                <w:sz w:val="24"/>
              </w:rPr>
            </w:pPr>
          </w:p>
        </w:tc>
        <w:tc>
          <w:tcPr>
            <w:tcW w:w="1134" w:type="dxa"/>
            <w:gridSpan w:val="2"/>
            <w:noWrap w:val="0"/>
            <w:vAlign w:val="center"/>
          </w:tcPr>
          <w:p>
            <w:pPr>
              <w:spacing w:line="360" w:lineRule="auto"/>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西门子828D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vMerge w:val="continue"/>
            <w:noWrap w:val="0"/>
            <w:vAlign w:val="center"/>
          </w:tcPr>
          <w:p>
            <w:pPr>
              <w:widowControl/>
              <w:spacing w:line="360" w:lineRule="exact"/>
              <w:jc w:val="center"/>
              <w:rPr>
                <w:rFonts w:hint="eastAsia" w:ascii="宋体" w:hAnsi="宋体" w:cs="宋体"/>
                <w:color w:val="auto"/>
                <w:sz w:val="24"/>
              </w:rPr>
            </w:pPr>
          </w:p>
        </w:tc>
        <w:tc>
          <w:tcPr>
            <w:tcW w:w="1418" w:type="dxa"/>
            <w:gridSpan w:val="2"/>
            <w:vMerge w:val="continue"/>
            <w:noWrap w:val="0"/>
            <w:vAlign w:val="center"/>
          </w:tcPr>
          <w:p>
            <w:pPr>
              <w:spacing w:line="360" w:lineRule="auto"/>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rPr>
            </w:pPr>
            <w:r>
              <w:rPr>
                <w:rFonts w:hint="eastAsia" w:ascii="宋体" w:hAnsi="宋体" w:cs="宋体"/>
                <w:color w:val="auto"/>
              </w:rPr>
              <w:t>可控制轴数</w:t>
            </w:r>
          </w:p>
        </w:tc>
        <w:tc>
          <w:tcPr>
            <w:tcW w:w="993" w:type="dxa"/>
            <w:gridSpan w:val="2"/>
            <w:noWrap w:val="0"/>
            <w:vAlign w:val="top"/>
          </w:tcPr>
          <w:p>
            <w:pPr>
              <w:widowControl/>
              <w:spacing w:line="360" w:lineRule="exact"/>
              <w:jc w:val="center"/>
              <w:rPr>
                <w:rFonts w:hint="eastAsia" w:ascii="宋体" w:hAnsi="宋体" w:cs="宋体"/>
                <w:color w:val="auto"/>
                <w:sz w:val="24"/>
              </w:rPr>
            </w:pPr>
          </w:p>
        </w:tc>
        <w:tc>
          <w:tcPr>
            <w:tcW w:w="1134" w:type="dxa"/>
            <w:gridSpan w:val="2"/>
            <w:noWrap w:val="0"/>
            <w:vAlign w:val="center"/>
          </w:tcPr>
          <w:p>
            <w:pPr>
              <w:spacing w:line="360" w:lineRule="auto"/>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二轴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vMerge w:val="continue"/>
            <w:noWrap w:val="0"/>
            <w:vAlign w:val="center"/>
          </w:tcPr>
          <w:p>
            <w:pPr>
              <w:widowControl/>
              <w:spacing w:line="360" w:lineRule="exact"/>
              <w:jc w:val="center"/>
              <w:rPr>
                <w:rFonts w:hint="eastAsia" w:ascii="宋体" w:hAnsi="宋体" w:cs="宋体"/>
                <w:color w:val="auto"/>
                <w:sz w:val="24"/>
              </w:rPr>
            </w:pPr>
          </w:p>
        </w:tc>
        <w:tc>
          <w:tcPr>
            <w:tcW w:w="1418" w:type="dxa"/>
            <w:gridSpan w:val="2"/>
            <w:vMerge w:val="continue"/>
            <w:noWrap w:val="0"/>
            <w:vAlign w:val="center"/>
          </w:tcPr>
          <w:p>
            <w:pPr>
              <w:spacing w:line="360" w:lineRule="auto"/>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rPr>
            </w:pPr>
            <w:r>
              <w:rPr>
                <w:rFonts w:hint="eastAsia" w:ascii="宋体" w:hAnsi="宋体" w:cs="宋体"/>
                <w:color w:val="auto"/>
              </w:rPr>
              <w:t>联动轴</w:t>
            </w:r>
          </w:p>
        </w:tc>
        <w:tc>
          <w:tcPr>
            <w:tcW w:w="993" w:type="dxa"/>
            <w:gridSpan w:val="2"/>
            <w:noWrap w:val="0"/>
            <w:vAlign w:val="top"/>
          </w:tcPr>
          <w:p>
            <w:pPr>
              <w:widowControl/>
              <w:spacing w:line="360" w:lineRule="exact"/>
              <w:jc w:val="center"/>
              <w:rPr>
                <w:rFonts w:hint="eastAsia" w:ascii="宋体" w:hAnsi="宋体" w:cs="宋体"/>
                <w:color w:val="auto"/>
                <w:sz w:val="24"/>
              </w:rPr>
            </w:pPr>
          </w:p>
        </w:tc>
        <w:tc>
          <w:tcPr>
            <w:tcW w:w="1134" w:type="dxa"/>
            <w:gridSpan w:val="2"/>
            <w:noWrap w:val="0"/>
            <w:vAlign w:val="center"/>
          </w:tcPr>
          <w:p>
            <w:pPr>
              <w:spacing w:line="360" w:lineRule="auto"/>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二轴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vMerge w:val="continue"/>
            <w:noWrap w:val="0"/>
            <w:vAlign w:val="center"/>
          </w:tcPr>
          <w:p>
            <w:pPr>
              <w:widowControl/>
              <w:spacing w:line="360" w:lineRule="exact"/>
              <w:jc w:val="center"/>
              <w:rPr>
                <w:rFonts w:hint="eastAsia" w:ascii="宋体" w:hAnsi="宋体" w:cs="宋体"/>
                <w:color w:val="auto"/>
                <w:sz w:val="24"/>
              </w:rPr>
            </w:pPr>
          </w:p>
        </w:tc>
        <w:tc>
          <w:tcPr>
            <w:tcW w:w="1418" w:type="dxa"/>
            <w:gridSpan w:val="2"/>
            <w:vMerge w:val="continue"/>
            <w:noWrap w:val="0"/>
            <w:vAlign w:val="center"/>
          </w:tcPr>
          <w:p>
            <w:pPr>
              <w:spacing w:line="360" w:lineRule="auto"/>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rPr>
            </w:pPr>
            <w:r>
              <w:rPr>
                <w:rFonts w:hint="eastAsia" w:ascii="宋体" w:hAnsi="宋体" w:cs="宋体"/>
                <w:color w:val="auto"/>
              </w:rPr>
              <w:t>伺服电机</w:t>
            </w:r>
          </w:p>
        </w:tc>
        <w:tc>
          <w:tcPr>
            <w:tcW w:w="993" w:type="dxa"/>
            <w:gridSpan w:val="2"/>
            <w:noWrap w:val="0"/>
            <w:vAlign w:val="top"/>
          </w:tcPr>
          <w:p>
            <w:pPr>
              <w:widowControl/>
              <w:spacing w:line="360" w:lineRule="exact"/>
              <w:jc w:val="center"/>
              <w:rPr>
                <w:rFonts w:hint="eastAsia" w:ascii="宋体" w:hAnsi="宋体" w:cs="宋体"/>
                <w:color w:val="auto"/>
                <w:sz w:val="24"/>
              </w:rPr>
            </w:pPr>
          </w:p>
        </w:tc>
        <w:tc>
          <w:tcPr>
            <w:tcW w:w="1134" w:type="dxa"/>
            <w:gridSpan w:val="2"/>
            <w:noWrap w:val="0"/>
            <w:vAlign w:val="center"/>
          </w:tcPr>
          <w:p>
            <w:pPr>
              <w:spacing w:line="360" w:lineRule="auto"/>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vMerge w:val="restart"/>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2</w:t>
            </w:r>
          </w:p>
        </w:tc>
        <w:tc>
          <w:tcPr>
            <w:tcW w:w="1418" w:type="dxa"/>
            <w:gridSpan w:val="2"/>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定位精度</w:t>
            </w:r>
          </w:p>
          <w:p>
            <w:pPr>
              <w:jc w:val="center"/>
              <w:rPr>
                <w:rFonts w:hint="eastAsia" w:ascii="宋体" w:hAnsi="宋体" w:cs="宋体"/>
                <w:color w:val="auto"/>
                <w:sz w:val="24"/>
              </w:rPr>
            </w:pPr>
            <w:r>
              <w:rPr>
                <w:rFonts w:hint="eastAsia" w:ascii="宋体" w:hAnsi="宋体" w:cs="宋体"/>
                <w:color w:val="auto"/>
                <w:sz w:val="24"/>
              </w:rPr>
              <w:t>GB/T17421.2-2000</w:t>
            </w:r>
          </w:p>
        </w:tc>
        <w:tc>
          <w:tcPr>
            <w:tcW w:w="1417" w:type="dxa"/>
            <w:noWrap w:val="0"/>
            <w:vAlign w:val="center"/>
          </w:tcPr>
          <w:p>
            <w:pPr>
              <w:rPr>
                <w:rFonts w:hint="eastAsia" w:ascii="宋体" w:hAnsi="宋体" w:cs="宋体"/>
                <w:color w:val="auto"/>
                <w:sz w:val="24"/>
              </w:rPr>
            </w:pPr>
            <w:r>
              <w:rPr>
                <w:rFonts w:hint="eastAsia" w:ascii="宋体" w:hAnsi="宋体" w:cs="宋体"/>
                <w:color w:val="auto"/>
                <w:sz w:val="24"/>
              </w:rPr>
              <w:t>X轴（控制方式）</w:t>
            </w:r>
          </w:p>
        </w:tc>
        <w:tc>
          <w:tcPr>
            <w:tcW w:w="993" w:type="dxa"/>
            <w:gridSpan w:val="2"/>
            <w:noWrap w:val="0"/>
            <w:vAlign w:val="center"/>
          </w:tcPr>
          <w:p>
            <w:pPr>
              <w:jc w:val="center"/>
              <w:rPr>
                <w:rFonts w:hint="eastAsia" w:ascii="宋体" w:hAnsi="宋体" w:cs="宋体"/>
                <w:color w:val="auto"/>
                <w:sz w:val="24"/>
              </w:rPr>
            </w:pPr>
            <w:r>
              <w:rPr>
                <w:rFonts w:hint="eastAsia" w:ascii="宋体" w:hAnsi="宋体" w:cs="宋体"/>
                <w:color w:val="auto"/>
                <w:sz w:val="24"/>
              </w:rPr>
              <w:t>mm</w:t>
            </w:r>
          </w:p>
        </w:tc>
        <w:tc>
          <w:tcPr>
            <w:tcW w:w="1134" w:type="dxa"/>
            <w:gridSpan w:val="2"/>
            <w:noWrap w:val="0"/>
            <w:vAlign w:val="top"/>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vMerge w:val="continue"/>
            <w:noWrap w:val="0"/>
            <w:vAlign w:val="center"/>
          </w:tcPr>
          <w:p>
            <w:pPr>
              <w:widowControl/>
              <w:spacing w:line="360" w:lineRule="exact"/>
              <w:jc w:val="center"/>
              <w:rPr>
                <w:rFonts w:hint="eastAsia" w:ascii="宋体" w:hAnsi="宋体" w:cs="宋体"/>
                <w:color w:val="auto"/>
                <w:sz w:val="24"/>
              </w:rPr>
            </w:pPr>
          </w:p>
        </w:tc>
        <w:tc>
          <w:tcPr>
            <w:tcW w:w="1418" w:type="dxa"/>
            <w:gridSpan w:val="2"/>
            <w:vMerge w:val="continue"/>
            <w:noWrap w:val="0"/>
            <w:vAlign w:val="center"/>
          </w:tcPr>
          <w:p>
            <w:pPr>
              <w:spacing w:line="360" w:lineRule="auto"/>
              <w:rPr>
                <w:rFonts w:hint="eastAsia" w:ascii="宋体" w:hAnsi="宋体" w:cs="宋体"/>
                <w:color w:val="auto"/>
                <w:sz w:val="24"/>
              </w:rPr>
            </w:pPr>
          </w:p>
        </w:tc>
        <w:tc>
          <w:tcPr>
            <w:tcW w:w="1417" w:type="dxa"/>
            <w:noWrap w:val="0"/>
            <w:vAlign w:val="center"/>
          </w:tcPr>
          <w:p>
            <w:pPr>
              <w:rPr>
                <w:rFonts w:hint="eastAsia" w:ascii="宋体" w:hAnsi="宋体" w:cs="宋体"/>
                <w:color w:val="auto"/>
                <w:sz w:val="24"/>
              </w:rPr>
            </w:pPr>
            <w:r>
              <w:rPr>
                <w:rFonts w:hint="eastAsia" w:ascii="宋体" w:hAnsi="宋体" w:cs="宋体"/>
                <w:color w:val="auto"/>
                <w:sz w:val="24"/>
              </w:rPr>
              <w:t>Z轴（控制方式）</w:t>
            </w:r>
          </w:p>
        </w:tc>
        <w:tc>
          <w:tcPr>
            <w:tcW w:w="993" w:type="dxa"/>
            <w:gridSpan w:val="2"/>
            <w:noWrap w:val="0"/>
            <w:vAlign w:val="center"/>
          </w:tcPr>
          <w:p>
            <w:pPr>
              <w:jc w:val="center"/>
              <w:rPr>
                <w:rFonts w:hint="eastAsia" w:ascii="宋体" w:hAnsi="宋体" w:cs="宋体"/>
                <w:color w:val="auto"/>
                <w:sz w:val="24"/>
              </w:rPr>
            </w:pPr>
            <w:r>
              <w:rPr>
                <w:rFonts w:hint="eastAsia" w:ascii="宋体" w:hAnsi="宋体" w:cs="宋体"/>
                <w:color w:val="auto"/>
                <w:sz w:val="24"/>
              </w:rPr>
              <w:t>mm</w:t>
            </w:r>
          </w:p>
        </w:tc>
        <w:tc>
          <w:tcPr>
            <w:tcW w:w="1134" w:type="dxa"/>
            <w:gridSpan w:val="2"/>
            <w:noWrap w:val="0"/>
            <w:vAlign w:val="top"/>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vMerge w:val="restart"/>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3</w:t>
            </w:r>
          </w:p>
        </w:tc>
        <w:tc>
          <w:tcPr>
            <w:tcW w:w="1418" w:type="dxa"/>
            <w:gridSpan w:val="2"/>
            <w:vMerge w:val="restart"/>
            <w:noWrap w:val="0"/>
            <w:vAlign w:val="center"/>
          </w:tcPr>
          <w:p>
            <w:pPr>
              <w:ind w:firstLine="240" w:firstLineChars="100"/>
              <w:rPr>
                <w:rFonts w:hint="eastAsia" w:ascii="宋体" w:hAnsi="宋体" w:cs="宋体"/>
                <w:color w:val="auto"/>
                <w:sz w:val="24"/>
              </w:rPr>
            </w:pPr>
            <w:r>
              <w:rPr>
                <w:rFonts w:hint="eastAsia" w:ascii="宋体" w:hAnsi="宋体" w:cs="宋体"/>
                <w:color w:val="auto"/>
                <w:sz w:val="24"/>
              </w:rPr>
              <w:t>重复定位</w:t>
            </w:r>
          </w:p>
          <w:p>
            <w:pPr>
              <w:jc w:val="center"/>
              <w:rPr>
                <w:rFonts w:hint="eastAsia" w:ascii="宋体" w:hAnsi="宋体" w:cs="宋体"/>
                <w:color w:val="auto"/>
                <w:sz w:val="24"/>
              </w:rPr>
            </w:pPr>
            <w:r>
              <w:rPr>
                <w:rFonts w:hint="eastAsia" w:ascii="宋体" w:hAnsi="宋体" w:cs="宋体"/>
                <w:color w:val="auto"/>
                <w:sz w:val="24"/>
              </w:rPr>
              <w:t>精度GB/T17421.2-2000</w:t>
            </w:r>
          </w:p>
        </w:tc>
        <w:tc>
          <w:tcPr>
            <w:tcW w:w="1417" w:type="dxa"/>
            <w:noWrap w:val="0"/>
            <w:vAlign w:val="center"/>
          </w:tcPr>
          <w:p>
            <w:pPr>
              <w:rPr>
                <w:rFonts w:hint="eastAsia" w:ascii="宋体" w:hAnsi="宋体" w:cs="宋体"/>
                <w:color w:val="auto"/>
                <w:sz w:val="24"/>
              </w:rPr>
            </w:pPr>
            <w:r>
              <w:rPr>
                <w:rFonts w:hint="eastAsia" w:ascii="宋体" w:hAnsi="宋体" w:cs="宋体"/>
                <w:color w:val="auto"/>
                <w:sz w:val="24"/>
              </w:rPr>
              <w:t>X轴</w:t>
            </w:r>
          </w:p>
        </w:tc>
        <w:tc>
          <w:tcPr>
            <w:tcW w:w="993" w:type="dxa"/>
            <w:gridSpan w:val="2"/>
            <w:noWrap w:val="0"/>
            <w:vAlign w:val="center"/>
          </w:tcPr>
          <w:p>
            <w:pPr>
              <w:jc w:val="center"/>
              <w:rPr>
                <w:rFonts w:hint="eastAsia" w:ascii="宋体" w:hAnsi="宋体" w:cs="宋体"/>
                <w:color w:val="auto"/>
                <w:sz w:val="24"/>
              </w:rPr>
            </w:pPr>
            <w:r>
              <w:rPr>
                <w:rFonts w:hint="eastAsia" w:ascii="宋体" w:hAnsi="宋体" w:cs="宋体"/>
                <w:color w:val="auto"/>
                <w:sz w:val="24"/>
              </w:rPr>
              <w:t>mm</w:t>
            </w:r>
          </w:p>
        </w:tc>
        <w:tc>
          <w:tcPr>
            <w:tcW w:w="1134" w:type="dxa"/>
            <w:gridSpan w:val="2"/>
            <w:noWrap w:val="0"/>
            <w:vAlign w:val="top"/>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vMerge w:val="continue"/>
            <w:noWrap w:val="0"/>
            <w:vAlign w:val="center"/>
          </w:tcPr>
          <w:p>
            <w:pPr>
              <w:widowControl/>
              <w:spacing w:line="360" w:lineRule="exact"/>
              <w:jc w:val="center"/>
              <w:rPr>
                <w:rFonts w:hint="eastAsia" w:ascii="宋体" w:hAnsi="宋体" w:cs="宋体"/>
                <w:color w:val="auto"/>
                <w:sz w:val="24"/>
              </w:rPr>
            </w:pPr>
          </w:p>
        </w:tc>
        <w:tc>
          <w:tcPr>
            <w:tcW w:w="1418" w:type="dxa"/>
            <w:gridSpan w:val="2"/>
            <w:vMerge w:val="continue"/>
            <w:noWrap w:val="0"/>
            <w:vAlign w:val="top"/>
          </w:tcPr>
          <w:p>
            <w:pPr>
              <w:spacing w:line="360" w:lineRule="auto"/>
              <w:rPr>
                <w:rFonts w:hint="eastAsia" w:ascii="宋体" w:hAnsi="宋体" w:cs="宋体"/>
                <w:color w:val="auto"/>
                <w:sz w:val="24"/>
              </w:rPr>
            </w:pPr>
          </w:p>
        </w:tc>
        <w:tc>
          <w:tcPr>
            <w:tcW w:w="1417" w:type="dxa"/>
            <w:noWrap w:val="0"/>
            <w:vAlign w:val="center"/>
          </w:tcPr>
          <w:p>
            <w:pPr>
              <w:rPr>
                <w:rFonts w:hint="eastAsia" w:ascii="宋体" w:hAnsi="宋体" w:cs="宋体"/>
                <w:color w:val="auto"/>
                <w:sz w:val="24"/>
              </w:rPr>
            </w:pPr>
            <w:r>
              <w:rPr>
                <w:rFonts w:hint="eastAsia" w:ascii="宋体" w:hAnsi="宋体" w:cs="宋体"/>
                <w:color w:val="auto"/>
                <w:sz w:val="24"/>
              </w:rPr>
              <w:t>Z轴</w:t>
            </w:r>
          </w:p>
        </w:tc>
        <w:tc>
          <w:tcPr>
            <w:tcW w:w="993" w:type="dxa"/>
            <w:gridSpan w:val="2"/>
            <w:noWrap w:val="0"/>
            <w:vAlign w:val="center"/>
          </w:tcPr>
          <w:p>
            <w:pPr>
              <w:jc w:val="center"/>
              <w:rPr>
                <w:rFonts w:hint="eastAsia" w:ascii="宋体" w:hAnsi="宋体" w:cs="宋体"/>
                <w:color w:val="auto"/>
                <w:sz w:val="24"/>
              </w:rPr>
            </w:pPr>
            <w:r>
              <w:rPr>
                <w:rFonts w:hint="eastAsia" w:ascii="宋体" w:hAnsi="宋体" w:cs="宋体"/>
                <w:color w:val="auto"/>
                <w:sz w:val="24"/>
              </w:rPr>
              <w:t>mm</w:t>
            </w:r>
          </w:p>
        </w:tc>
        <w:tc>
          <w:tcPr>
            <w:tcW w:w="1134" w:type="dxa"/>
            <w:gridSpan w:val="2"/>
            <w:noWrap w:val="0"/>
            <w:vAlign w:val="top"/>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4</w:t>
            </w:r>
          </w:p>
        </w:tc>
        <w:tc>
          <w:tcPr>
            <w:tcW w:w="2835" w:type="dxa"/>
            <w:gridSpan w:val="3"/>
            <w:noWrap w:val="0"/>
            <w:vAlign w:val="center"/>
          </w:tcPr>
          <w:p>
            <w:pPr>
              <w:spacing w:line="400" w:lineRule="exact"/>
              <w:jc w:val="left"/>
              <w:rPr>
                <w:rFonts w:hint="eastAsia" w:ascii="宋体" w:hAnsi="宋体" w:cs="宋体"/>
                <w:color w:val="auto"/>
                <w:sz w:val="24"/>
              </w:rPr>
            </w:pPr>
            <w:r>
              <w:rPr>
                <w:rFonts w:hint="eastAsia" w:ascii="宋体" w:hAnsi="宋体" w:cs="宋体"/>
                <w:color w:val="auto"/>
                <w:sz w:val="24"/>
              </w:rPr>
              <w:t>加工尺寸精度</w:t>
            </w:r>
          </w:p>
        </w:tc>
        <w:tc>
          <w:tcPr>
            <w:tcW w:w="993" w:type="dxa"/>
            <w:gridSpan w:val="2"/>
            <w:noWrap w:val="0"/>
            <w:vAlign w:val="center"/>
          </w:tcPr>
          <w:p>
            <w:pPr>
              <w:tabs>
                <w:tab w:val="left" w:pos="360"/>
              </w:tabs>
              <w:spacing w:line="400" w:lineRule="exact"/>
              <w:jc w:val="center"/>
              <w:rPr>
                <w:rFonts w:hint="eastAsia" w:ascii="宋体" w:hAnsi="宋体" w:cs="宋体"/>
                <w:color w:val="auto"/>
                <w:sz w:val="24"/>
              </w:rPr>
            </w:pPr>
            <w:r>
              <w:rPr>
                <w:rFonts w:hint="eastAsia" w:ascii="宋体" w:hAnsi="宋体" w:cs="宋体"/>
                <w:color w:val="auto"/>
                <w:sz w:val="24"/>
              </w:rPr>
              <w:t>mm</w:t>
            </w:r>
          </w:p>
        </w:tc>
        <w:tc>
          <w:tcPr>
            <w:tcW w:w="1134" w:type="dxa"/>
            <w:gridSpan w:val="2"/>
            <w:noWrap w:val="0"/>
            <w:vAlign w:val="top"/>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IT7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5</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插补</w:t>
            </w:r>
          </w:p>
        </w:tc>
        <w:tc>
          <w:tcPr>
            <w:tcW w:w="993" w:type="dxa"/>
            <w:gridSpan w:val="2"/>
            <w:noWrap w:val="0"/>
            <w:vAlign w:val="center"/>
          </w:tcPr>
          <w:p>
            <w:pPr>
              <w:spacing w:line="360" w:lineRule="auto"/>
              <w:jc w:val="center"/>
              <w:rPr>
                <w:rFonts w:hint="eastAsia" w:ascii="宋体" w:hAnsi="宋体" w:cs="宋体"/>
                <w:color w:val="auto"/>
                <w:sz w:val="24"/>
              </w:rPr>
            </w:pPr>
          </w:p>
        </w:tc>
        <w:tc>
          <w:tcPr>
            <w:tcW w:w="1134" w:type="dxa"/>
            <w:gridSpan w:val="2"/>
            <w:noWrap w:val="0"/>
            <w:vAlign w:val="top"/>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直线、圆弧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6</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补偿</w:t>
            </w:r>
          </w:p>
        </w:tc>
        <w:tc>
          <w:tcPr>
            <w:tcW w:w="993" w:type="dxa"/>
            <w:gridSpan w:val="2"/>
            <w:noWrap w:val="0"/>
            <w:vAlign w:val="top"/>
          </w:tcPr>
          <w:p>
            <w:pPr>
              <w:spacing w:line="360" w:lineRule="auto"/>
              <w:jc w:val="center"/>
              <w:rPr>
                <w:rFonts w:hint="eastAsia" w:ascii="宋体" w:hAnsi="宋体" w:cs="宋体"/>
                <w:color w:val="auto"/>
                <w:sz w:val="24"/>
              </w:rPr>
            </w:pPr>
          </w:p>
        </w:tc>
        <w:tc>
          <w:tcPr>
            <w:tcW w:w="1134" w:type="dxa"/>
            <w:gridSpan w:val="2"/>
            <w:noWrap w:val="0"/>
            <w:vAlign w:val="top"/>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反向间隙、螺距误差、刀具磨损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7</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坐标设定</w:t>
            </w:r>
          </w:p>
        </w:tc>
        <w:tc>
          <w:tcPr>
            <w:tcW w:w="993" w:type="dxa"/>
            <w:gridSpan w:val="2"/>
            <w:noWrap w:val="0"/>
            <w:vAlign w:val="top"/>
          </w:tcPr>
          <w:p>
            <w:pPr>
              <w:spacing w:line="360" w:lineRule="auto"/>
              <w:jc w:val="center"/>
              <w:rPr>
                <w:rFonts w:hint="eastAsia" w:ascii="宋体" w:hAnsi="宋体" w:cs="宋体"/>
                <w:color w:val="auto"/>
                <w:sz w:val="24"/>
              </w:rPr>
            </w:pPr>
          </w:p>
        </w:tc>
        <w:tc>
          <w:tcPr>
            <w:tcW w:w="1134" w:type="dxa"/>
            <w:gridSpan w:val="2"/>
            <w:noWrap w:val="0"/>
            <w:vAlign w:val="top"/>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按工作坐标设定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8</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显示器</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彩色中文显示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9</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倍率</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10</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控制器</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内装可编程控制器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11</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编程</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直接按图纸尺寸数据编程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12</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进给</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自动进给和手动电子手轮控制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13</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报警</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机床及各种控制部位报警显示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14</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电器柜</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配空调降温除湿装置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15</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接口</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需可以连接MES系统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16</w:t>
            </w:r>
          </w:p>
        </w:tc>
        <w:tc>
          <w:tcPr>
            <w:tcW w:w="2835" w:type="dxa"/>
            <w:gridSpan w:val="3"/>
            <w:noWrap w:val="0"/>
            <w:vAlign w:val="top"/>
          </w:tcPr>
          <w:p>
            <w:pPr>
              <w:spacing w:line="400" w:lineRule="exact"/>
              <w:rPr>
                <w:rFonts w:hint="eastAsia" w:ascii="宋体" w:hAnsi="宋体" w:cs="宋体"/>
                <w:color w:val="auto"/>
                <w:sz w:val="24"/>
              </w:rPr>
            </w:pPr>
            <w:r>
              <w:rPr>
                <w:rFonts w:hint="eastAsia" w:ascii="宋体" w:hAnsi="宋体" w:cs="宋体"/>
                <w:color w:val="auto"/>
                <w:sz w:val="24"/>
              </w:rPr>
              <w:t>实时仿形</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17</w:t>
            </w:r>
          </w:p>
        </w:tc>
        <w:tc>
          <w:tcPr>
            <w:tcW w:w="2835" w:type="dxa"/>
            <w:gridSpan w:val="3"/>
            <w:noWrap w:val="0"/>
            <w:vAlign w:val="center"/>
          </w:tcPr>
          <w:p>
            <w:pPr>
              <w:jc w:val="left"/>
              <w:rPr>
                <w:rFonts w:hint="eastAsia" w:ascii="宋体" w:hAnsi="宋体" w:cs="宋体"/>
                <w:color w:val="auto"/>
                <w:sz w:val="24"/>
              </w:rPr>
            </w:pPr>
            <w:r>
              <w:rPr>
                <w:rFonts w:hint="eastAsia" w:ascii="宋体" w:hAnsi="宋体" w:cs="宋体"/>
                <w:color w:val="auto"/>
                <w:sz w:val="24"/>
              </w:rPr>
              <w:t>无线操控手轮</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可垂直车螺纹功能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508" w:hRule="atLeast"/>
        </w:trPr>
        <w:tc>
          <w:tcPr>
            <w:tcW w:w="595" w:type="dxa"/>
            <w:noWrap w:val="0"/>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rPr>
              <w:t>18</w:t>
            </w:r>
          </w:p>
        </w:tc>
        <w:tc>
          <w:tcPr>
            <w:tcW w:w="2835" w:type="dxa"/>
            <w:gridSpan w:val="3"/>
            <w:noWrap w:val="0"/>
            <w:vAlign w:val="center"/>
          </w:tcPr>
          <w:p>
            <w:pPr>
              <w:rPr>
                <w:rFonts w:hint="eastAsia" w:ascii="宋体" w:hAnsi="宋体" w:cs="宋体"/>
                <w:color w:val="auto"/>
                <w:sz w:val="24"/>
              </w:rPr>
            </w:pPr>
            <w:r>
              <w:rPr>
                <w:rFonts w:hint="eastAsia" w:ascii="宋体" w:hAnsi="宋体" w:cs="宋体"/>
                <w:color w:val="auto"/>
                <w:sz w:val="24"/>
              </w:rPr>
              <w:t>垂直刀架滑枕与滑座</w:t>
            </w:r>
          </w:p>
        </w:tc>
        <w:tc>
          <w:tcPr>
            <w:tcW w:w="993" w:type="dxa"/>
            <w:gridSpan w:val="2"/>
            <w:noWrap w:val="0"/>
            <w:vAlign w:val="center"/>
          </w:tcPr>
          <w:p>
            <w:pPr>
              <w:jc w:val="center"/>
              <w:rPr>
                <w:rFonts w:hint="eastAsia" w:ascii="宋体" w:hAnsi="宋体" w:cs="宋体"/>
                <w:color w:val="auto"/>
                <w:sz w:val="24"/>
              </w:rPr>
            </w:pPr>
          </w:p>
        </w:tc>
        <w:tc>
          <w:tcPr>
            <w:tcW w:w="1134" w:type="dxa"/>
            <w:gridSpan w:val="2"/>
            <w:noWrap w:val="0"/>
            <w:vAlign w:val="center"/>
          </w:tcPr>
          <w:p>
            <w:pPr>
              <w:jc w:val="center"/>
              <w:rPr>
                <w:rFonts w:hint="eastAsia" w:ascii="宋体" w:hAnsi="宋体" w:cs="宋体"/>
                <w:color w:val="auto"/>
                <w:sz w:val="24"/>
              </w:rPr>
            </w:pPr>
          </w:p>
        </w:tc>
        <w:tc>
          <w:tcPr>
            <w:tcW w:w="2768" w:type="dxa"/>
            <w:noWrap w:val="0"/>
            <w:vAlign w:val="center"/>
          </w:tcPr>
          <w:p>
            <w:pPr>
              <w:jc w:val="center"/>
              <w:rPr>
                <w:rFonts w:hint="eastAsia" w:ascii="宋体" w:hAnsi="宋体" w:cs="宋体"/>
                <w:color w:val="auto"/>
                <w:sz w:val="24"/>
              </w:rPr>
            </w:pPr>
            <w:r>
              <w:rPr>
                <w:rFonts w:hint="eastAsia" w:ascii="宋体" w:hAnsi="宋体" w:cs="宋体"/>
                <w:color w:val="auto"/>
                <w:sz w:val="24"/>
              </w:rPr>
              <w:t>要求锡青铜导轨副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125" w:type="dxa"/>
          <w:cantSplit/>
          <w:trHeight w:val="890" w:hRule="atLeast"/>
        </w:trPr>
        <w:tc>
          <w:tcPr>
            <w:tcW w:w="8325" w:type="dxa"/>
            <w:gridSpan w:val="9"/>
            <w:noWrap w:val="0"/>
            <w:vAlign w:val="center"/>
          </w:tcPr>
          <w:p>
            <w:pPr>
              <w:ind w:firstLine="240" w:firstLineChars="100"/>
              <w:rPr>
                <w:rFonts w:hint="eastAsia" w:ascii="宋体" w:hAnsi="宋体" w:cs="宋体"/>
                <w:color w:val="auto"/>
                <w:sz w:val="24"/>
              </w:rPr>
            </w:pPr>
            <w:r>
              <w:rPr>
                <w:rFonts w:hint="eastAsia" w:ascii="宋体" w:hAnsi="宋体" w:cs="宋体"/>
                <w:color w:val="auto"/>
                <w:sz w:val="24"/>
              </w:rPr>
              <w:t>1、带</w:t>
            </w:r>
            <w:r>
              <w:rPr>
                <w:rFonts w:hint="eastAsia" w:ascii="宋体" w:hAnsi="宋体" w:cs="宋体"/>
                <w:color w:val="auto"/>
                <w:sz w:val="24"/>
                <w:highlight w:val="yellow"/>
              </w:rPr>
              <w:t>★</w:t>
            </w:r>
            <w:r>
              <w:rPr>
                <w:rFonts w:hint="eastAsia" w:ascii="宋体" w:hAnsi="宋体" w:cs="宋体"/>
                <w:color w:val="auto"/>
                <w:sz w:val="24"/>
              </w:rPr>
              <w:t>号由投标单位填写</w:t>
            </w:r>
          </w:p>
          <w:p>
            <w:pPr>
              <w:ind w:firstLine="240" w:firstLineChars="100"/>
              <w:rPr>
                <w:rFonts w:hint="eastAsia" w:ascii="宋体" w:hAnsi="宋体" w:cs="宋体"/>
                <w:color w:val="auto"/>
                <w:sz w:val="24"/>
              </w:rPr>
            </w:pPr>
            <w:r>
              <w:rPr>
                <w:rFonts w:hint="eastAsia" w:ascii="宋体" w:hAnsi="宋体" w:cs="宋体"/>
                <w:color w:val="auto"/>
                <w:sz w:val="24"/>
              </w:rPr>
              <w:t>2、如果有更多的参数，表中可以直接添加</w:t>
            </w:r>
          </w:p>
        </w:tc>
      </w:tr>
    </w:tbl>
    <w:p>
      <w:pPr>
        <w:spacing w:line="360" w:lineRule="auto"/>
        <w:rPr>
          <w:rFonts w:hint="eastAsia" w:ascii="宋体" w:hAnsi="宋体" w:cs="宋体"/>
          <w:b/>
          <w:color w:val="auto"/>
          <w:spacing w:val="20"/>
          <w:sz w:val="28"/>
          <w:szCs w:val="28"/>
        </w:rPr>
      </w:pPr>
      <w:r>
        <w:rPr>
          <w:rFonts w:hint="eastAsia" w:ascii="宋体" w:hAnsi="宋体" w:cs="宋体"/>
          <w:b/>
          <w:color w:val="auto"/>
          <w:sz w:val="28"/>
          <w:szCs w:val="28"/>
        </w:rPr>
        <w:t>3</w:t>
      </w:r>
      <w:r>
        <w:rPr>
          <w:rFonts w:hint="eastAsia" w:ascii="宋体" w:hAnsi="宋体" w:cs="宋体"/>
          <w:b/>
          <w:color w:val="auto"/>
          <w:spacing w:val="20"/>
          <w:sz w:val="28"/>
          <w:szCs w:val="28"/>
        </w:rPr>
        <w:t xml:space="preserve"> 设备用途概述</w:t>
      </w:r>
    </w:p>
    <w:p>
      <w:pPr>
        <w:pStyle w:val="38"/>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rPr>
        <w:t xml:space="preserve">   </w:t>
      </w:r>
      <w:r>
        <w:rPr>
          <w:rFonts w:hint="eastAsia" w:ascii="宋体" w:hAnsi="宋体" w:eastAsia="宋体" w:cs="宋体"/>
          <w:color w:val="auto"/>
          <w:spacing w:val="20"/>
          <w:sz w:val="24"/>
          <w:szCs w:val="24"/>
        </w:rPr>
        <w:t xml:space="preserve"> </w:t>
      </w:r>
      <w:r>
        <w:rPr>
          <w:rFonts w:hint="eastAsia" w:ascii="宋体" w:hAnsi="宋体" w:eastAsia="宋体" w:cs="宋体"/>
          <w:color w:val="auto"/>
          <w:sz w:val="24"/>
          <w:szCs w:val="24"/>
        </w:rPr>
        <w:t>本机床主要适用于高速钢、硬质合金刀具及陶瓷刀具，</w:t>
      </w:r>
      <w:r>
        <w:rPr>
          <w:rFonts w:hint="eastAsia" w:ascii="宋体" w:hAnsi="宋体" w:eastAsia="宋体" w:cs="宋体"/>
          <w:bCs/>
          <w:color w:val="auto"/>
          <w:sz w:val="24"/>
          <w:szCs w:val="24"/>
        </w:rPr>
        <w:t>对</w:t>
      </w:r>
      <w:r>
        <w:rPr>
          <w:rFonts w:hint="eastAsia" w:ascii="宋体" w:hAnsi="宋体" w:eastAsia="宋体" w:cs="宋体"/>
          <w:color w:val="auto"/>
          <w:spacing w:val="20"/>
          <w:sz w:val="24"/>
          <w:szCs w:val="24"/>
        </w:rPr>
        <w:t>工程机械、冶金、能源、电力等相关行业的</w:t>
      </w:r>
      <w:r>
        <w:rPr>
          <w:rFonts w:hint="eastAsia" w:ascii="宋体" w:hAnsi="宋体" w:eastAsia="宋体" w:cs="宋体"/>
          <w:color w:val="auto"/>
          <w:sz w:val="24"/>
          <w:szCs w:val="24"/>
        </w:rPr>
        <w:t>各种金属材料及合金、有色金属、非金属材料等工件加工，可以完成内外圆柱面、内外圆锥面、平面、圆弧面、各种形状复杂的回转曲面、内外环槽的粗、精车削加工。</w:t>
      </w:r>
      <w:r>
        <w:rPr>
          <w:rFonts w:hint="eastAsia" w:ascii="宋体" w:hAnsi="宋体" w:eastAsia="宋体" w:cs="宋体"/>
          <w:color w:val="auto"/>
          <w:spacing w:val="20"/>
          <w:sz w:val="24"/>
          <w:szCs w:val="24"/>
        </w:rPr>
        <w:t>具有刚性好、传动效率高、运行平稳、操作维护方便、生产效率高等特点。</w:t>
      </w:r>
    </w:p>
    <w:p>
      <w:pPr>
        <w:spacing w:line="360" w:lineRule="auto"/>
        <w:rPr>
          <w:rFonts w:hint="eastAsia" w:ascii="宋体" w:hAnsi="宋体" w:cs="宋体"/>
          <w:b/>
          <w:color w:val="auto"/>
          <w:sz w:val="28"/>
          <w:szCs w:val="28"/>
        </w:rPr>
      </w:pPr>
      <w:r>
        <w:rPr>
          <w:rFonts w:hint="eastAsia" w:ascii="宋体" w:hAnsi="宋体" w:cs="宋体"/>
          <w:b/>
          <w:color w:val="auto"/>
          <w:sz w:val="28"/>
          <w:szCs w:val="28"/>
        </w:rPr>
        <w:t>4  机床主要结构特点</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机床为龙门架式结构形式。有左、右立柱，联接梁及工作台底座相互联接，形成框架结构，由龙门架，主传动变速箱，工作台，横梁，横梁升降机构，右立刀架，电气系统、液压系统等主要部件组成。</w:t>
      </w:r>
    </w:p>
    <w:p>
      <w:pPr>
        <w:pStyle w:val="38"/>
        <w:rPr>
          <w:rFonts w:hint="eastAsia" w:ascii="宋体" w:hAnsi="宋体" w:eastAsia="宋体" w:cs="宋体"/>
          <w:b/>
          <w:color w:val="auto"/>
        </w:rPr>
      </w:pPr>
      <w:r>
        <w:rPr>
          <w:rFonts w:hint="eastAsia" w:ascii="宋体" w:hAnsi="宋体" w:eastAsia="宋体" w:cs="宋体"/>
          <w:b/>
          <w:color w:val="auto"/>
        </w:rPr>
        <w:t>5结构件参数要求</w:t>
      </w:r>
    </w:p>
    <w:tbl>
      <w:tblPr>
        <w:tblStyle w:val="28"/>
        <w:tblW w:w="8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4111"/>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构件名称</w:t>
            </w:r>
          </w:p>
        </w:tc>
        <w:tc>
          <w:tcPr>
            <w:tcW w:w="4111"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具体要求</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投标单位填写           （是否满足或其他配置）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工作台</w:t>
            </w:r>
          </w:p>
        </w:tc>
        <w:tc>
          <w:tcPr>
            <w:tcW w:w="4111" w:type="dxa"/>
            <w:shd w:val="clear" w:color="auto" w:fill="auto"/>
            <w:noWrap w:val="0"/>
            <w:vAlign w:val="center"/>
          </w:tcPr>
          <w:p>
            <w:pPr>
              <w:pStyle w:val="38"/>
              <w:jc w:val="left"/>
              <w:rPr>
                <w:rFonts w:hint="eastAsia" w:ascii="宋体" w:hAnsi="宋体" w:eastAsia="宋体" w:cs="宋体"/>
                <w:color w:val="auto"/>
                <w:sz w:val="24"/>
                <w:szCs w:val="24"/>
              </w:rPr>
            </w:pPr>
            <w:r>
              <w:rPr>
                <w:rFonts w:hint="eastAsia" w:ascii="宋体" w:hAnsi="宋体" w:eastAsia="宋体" w:cs="宋体"/>
                <w:color w:val="auto"/>
                <w:sz w:val="24"/>
                <w:szCs w:val="24"/>
              </w:rPr>
              <w:t>1、工作台、工作台底座为整体铸造结构，采用高强度低应力铸铁件，并经二次时效，消除应力，具有足够的刚度、强度和热稳定性。</w:t>
            </w:r>
          </w:p>
          <w:p>
            <w:pPr>
              <w:pStyle w:val="38"/>
              <w:jc w:val="left"/>
              <w:rPr>
                <w:rFonts w:hint="eastAsia" w:ascii="宋体" w:hAnsi="宋体" w:eastAsia="宋体" w:cs="宋体"/>
                <w:color w:val="auto"/>
                <w:sz w:val="24"/>
                <w:szCs w:val="24"/>
              </w:rPr>
            </w:pPr>
            <w:r>
              <w:rPr>
                <w:rFonts w:hint="eastAsia" w:ascii="宋体" w:hAnsi="宋体" w:eastAsia="宋体" w:cs="宋体"/>
                <w:color w:val="auto"/>
                <w:sz w:val="24"/>
                <w:szCs w:val="24"/>
              </w:rPr>
              <w:t>2、工作台应采用恒流静压导轨。配置12个供油点，供油点需配置压力表。</w:t>
            </w:r>
          </w:p>
          <w:p>
            <w:pPr>
              <w:pStyle w:val="38"/>
              <w:jc w:val="left"/>
              <w:rPr>
                <w:rFonts w:hint="eastAsia" w:ascii="宋体" w:hAnsi="宋体" w:eastAsia="宋体" w:cs="宋体"/>
                <w:color w:val="auto"/>
                <w:sz w:val="24"/>
                <w:szCs w:val="24"/>
              </w:rPr>
            </w:pPr>
            <w:r>
              <w:rPr>
                <w:rFonts w:hint="eastAsia" w:ascii="宋体" w:hAnsi="宋体" w:eastAsia="宋体" w:cs="宋体"/>
                <w:color w:val="auto"/>
                <w:sz w:val="24"/>
                <w:szCs w:val="24"/>
              </w:rPr>
              <w:t>3、工作台齿圈及变速箱齿轮需要磨齿。</w:t>
            </w:r>
          </w:p>
          <w:p>
            <w:pPr>
              <w:pStyle w:val="38"/>
              <w:jc w:val="left"/>
              <w:rPr>
                <w:rFonts w:hint="eastAsia" w:ascii="宋体" w:hAnsi="宋体" w:eastAsia="宋体" w:cs="宋体"/>
                <w:color w:val="auto"/>
                <w:sz w:val="24"/>
                <w:szCs w:val="24"/>
              </w:rPr>
            </w:pPr>
            <w:r>
              <w:rPr>
                <w:rFonts w:hint="eastAsia" w:ascii="宋体" w:hAnsi="宋体" w:eastAsia="宋体" w:cs="宋体"/>
                <w:color w:val="auto"/>
                <w:sz w:val="24"/>
                <w:szCs w:val="24"/>
              </w:rPr>
              <w:t>4、工作台要配实时转速反馈装置，（并在操作台面板上显示出来）。</w:t>
            </w:r>
          </w:p>
          <w:p>
            <w:pPr>
              <w:pStyle w:val="38"/>
              <w:jc w:val="left"/>
              <w:rPr>
                <w:rFonts w:hint="eastAsia" w:ascii="宋体" w:hAnsi="宋体" w:eastAsia="宋体" w:cs="宋体"/>
                <w:color w:val="auto"/>
                <w:sz w:val="24"/>
                <w:szCs w:val="24"/>
              </w:rPr>
            </w:pPr>
            <w:r>
              <w:rPr>
                <w:rFonts w:hint="eastAsia" w:ascii="宋体" w:hAnsi="宋体" w:eastAsia="宋体" w:cs="宋体"/>
                <w:color w:val="auto"/>
                <w:sz w:val="24"/>
                <w:szCs w:val="24"/>
              </w:rPr>
              <w:t>5、工作台具备起、停、点动及变速功能。主轴上装双列向心短圆柱滚子轴承，其内环具有锥孔，通过调整径向间隙，以保证主轴精度。机床在环境温度-5℃—40℃条件下能正常工件。</w:t>
            </w:r>
          </w:p>
          <w:p>
            <w:pPr>
              <w:pStyle w:val="38"/>
              <w:jc w:val="left"/>
              <w:rPr>
                <w:rFonts w:hint="eastAsia" w:ascii="宋体" w:hAnsi="宋体" w:eastAsia="宋体" w:cs="宋体"/>
                <w:color w:val="auto"/>
                <w:sz w:val="24"/>
                <w:szCs w:val="24"/>
              </w:rPr>
            </w:pPr>
            <w:r>
              <w:rPr>
                <w:rFonts w:hint="eastAsia" w:ascii="宋体" w:hAnsi="宋体" w:eastAsia="宋体" w:cs="宋体"/>
                <w:color w:val="auto"/>
                <w:sz w:val="24"/>
                <w:szCs w:val="24"/>
              </w:rPr>
              <w:t>6、主传动机构由伺服电机带动变速箱驱动</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立柱龙门架</w:t>
            </w:r>
          </w:p>
        </w:tc>
        <w:tc>
          <w:tcPr>
            <w:tcW w:w="4111" w:type="dxa"/>
            <w:shd w:val="clear" w:color="auto" w:fill="auto"/>
            <w:noWrap w:val="0"/>
            <w:vAlign w:val="center"/>
          </w:tcPr>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1、龙门架由左、右立柱及联接梁组成。</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2、龙门架的上部有升降箱，由交流电机驱动，通过蜗轮副及双丝杠使横梁沿左右立柱导轨做升降移动。</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3、立柱大件采用高强度，低应力铸铁材料，使机床具有较大的强度和较高的刚度，并经二次时效，消除应力，确保机床的精度具有长期保持性和稳定性。</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4、立柱上的导轨采用硬轨结构（导轨和立柱铸在一起）。采用风琴式和不锈钢拉板式防护罩对立柱导轨和升降丝杆进行防护。</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横梁</w:t>
            </w:r>
          </w:p>
        </w:tc>
        <w:tc>
          <w:tcPr>
            <w:tcW w:w="4111" w:type="dxa"/>
            <w:shd w:val="clear" w:color="auto" w:fill="auto"/>
            <w:noWrap w:val="0"/>
            <w:vAlign w:val="center"/>
          </w:tcPr>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1、横梁采用高强度低应力铸铁件，并经二次时效，消除应力，具有足够的刚度、强度，确保机床的精度具有长期的保持性和稳定性。</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2、横梁上的导轨采用硬轨结构（导轨和横梁铸在一起）。</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3、横梁置于立柱前，沿立柱导轨作垂直运动。</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4、横梁后面有多个液压夹紧点，夹紧机构与横梁升降电机及润滑都有互锁，由横梁升降按钮控制，确保横梁工作稳定性。</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5、横梁导轨用不锈钢金属防护罩，对导轨和滚珠丝杠进行防护。</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垂直刀架</w:t>
            </w:r>
          </w:p>
        </w:tc>
        <w:tc>
          <w:tcPr>
            <w:tcW w:w="4111" w:type="dxa"/>
            <w:shd w:val="clear" w:color="auto" w:fill="auto"/>
            <w:noWrap w:val="0"/>
            <w:vAlign w:val="center"/>
          </w:tcPr>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1、垂直刀架配一个，（面向立车横梁，靠横梁右边为带光栅尺右刀架），右刀架为数控结构（系统西门子828D）。</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2、滚珠丝杠副传动：南京工艺装备制造有限公司及同等以上品牌），实现刀架水平、垂直运动；两轴联动。</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3、刀架滑枕带有液压平衡装置，以平衡滑枕部分的重量，使滑枕运动平稳。垂直轴交流伺服电机为制动型，防止断电时滑枕下滑。</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4、刀架水平运动、滑枕垂直运动采用静压滑动导轨，定时定量润滑，导轨表面贴有锡青铜，减小导轨表面摩擦力，提高机床精度和延长机床使用寿命。</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主传动</w:t>
            </w:r>
          </w:p>
        </w:tc>
        <w:tc>
          <w:tcPr>
            <w:tcW w:w="4111" w:type="dxa"/>
            <w:shd w:val="clear" w:color="auto" w:fill="auto"/>
            <w:noWrap w:val="0"/>
            <w:vAlign w:val="center"/>
          </w:tcPr>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1、主传动机构由伺服电机带动变速箱驱动，变速箱的变速由液压油缸驱动变速齿轮，实现二档无级变速，变速灵活稳定，扭矩力大，回转精度高、噪音小。</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装配</w:t>
            </w:r>
          </w:p>
        </w:tc>
        <w:tc>
          <w:tcPr>
            <w:tcW w:w="4111" w:type="dxa"/>
            <w:shd w:val="clear" w:color="auto" w:fill="auto"/>
            <w:noWrap w:val="0"/>
            <w:vAlign w:val="center"/>
          </w:tcPr>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1、提供双柱立式车床部件（零件）装配精度技术要求。</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电气部分</w:t>
            </w:r>
          </w:p>
        </w:tc>
        <w:tc>
          <w:tcPr>
            <w:tcW w:w="4111" w:type="dxa"/>
            <w:shd w:val="clear" w:color="auto" w:fill="auto"/>
            <w:noWrap w:val="0"/>
            <w:vAlign w:val="center"/>
          </w:tcPr>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1、电气部分应设计合理、先进、操作性能好、运行可靠、质量有保证、维护方便、选用经久耐用的元器件。</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2、电气柜内用电器采用西门子或者施耐德原装正品如：空气开关、接触器、继电器等。</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3、电控柜须密封防尘，防护等级IP54，并配置空调降温除湿装置。能确保设备24小时正常工作。</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4、机床采用西门子828D系统控制，系统控制元件及电机驱动单元等均安装在独立的配电柜内，所有操作元件集中装在落地柜式按钮站上。操作控制部分集中在独立的按钮站上，数控刀架配有手持和无线单元，操作简单方便灵活。</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5、机床电气符合GB5226.1的要求，并要有多项保护措施。</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润滑、密封部分</w:t>
            </w:r>
          </w:p>
        </w:tc>
        <w:tc>
          <w:tcPr>
            <w:tcW w:w="4111" w:type="dxa"/>
            <w:shd w:val="clear" w:color="auto" w:fill="auto"/>
            <w:noWrap w:val="0"/>
            <w:vAlign w:val="center"/>
          </w:tcPr>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1、机床采用自动润滑系统，润滑密封应可靠，重要部位的密封件均采用进口的国际品牌产品，确保各密封部位密封可靠、使用寿命长，无渗漏现象。</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17" w:type="dxa"/>
            <w:shd w:val="clear" w:color="auto" w:fill="auto"/>
            <w:noWrap w:val="0"/>
            <w:vAlign w:val="center"/>
          </w:tcPr>
          <w:p>
            <w:pPr>
              <w:pStyle w:val="38"/>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4111" w:type="dxa"/>
            <w:shd w:val="clear" w:color="auto" w:fill="auto"/>
            <w:noWrap w:val="0"/>
            <w:vAlign w:val="center"/>
          </w:tcPr>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1、轴承；国外知名品牌，SKF斯凯孚或日本原装NSK</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2、配齐整台设备（包括附件）安装用的地脚螺栓、螺母、弹簧垫、垫圈、以及对应的调整垫。</w:t>
            </w:r>
          </w:p>
          <w:p>
            <w:pPr>
              <w:pStyle w:val="38"/>
              <w:rPr>
                <w:rFonts w:hint="eastAsia" w:ascii="宋体" w:hAnsi="宋体" w:eastAsia="宋体" w:cs="宋体"/>
                <w:color w:val="auto"/>
                <w:sz w:val="24"/>
                <w:szCs w:val="24"/>
              </w:rPr>
            </w:pPr>
            <w:r>
              <w:rPr>
                <w:rFonts w:hint="eastAsia" w:ascii="宋体" w:hAnsi="宋体" w:eastAsia="宋体" w:cs="宋体"/>
                <w:color w:val="auto"/>
                <w:sz w:val="24"/>
                <w:szCs w:val="24"/>
              </w:rPr>
              <w:t>3、设备运动件外露部分（如活塞杆）需加防护罩保护。</w:t>
            </w:r>
          </w:p>
        </w:tc>
        <w:tc>
          <w:tcPr>
            <w:tcW w:w="2667" w:type="dxa"/>
            <w:shd w:val="clear" w:color="auto" w:fill="auto"/>
            <w:noWrap w:val="0"/>
            <w:vAlign w:val="center"/>
          </w:tcPr>
          <w:p>
            <w:pPr>
              <w:pStyle w:val="38"/>
              <w:jc w:val="center"/>
              <w:rPr>
                <w:rFonts w:hint="eastAsia" w:ascii="宋体" w:hAnsi="宋体" w:eastAsia="宋体" w:cs="宋体"/>
                <w:color w:val="auto"/>
                <w:sz w:val="24"/>
                <w:szCs w:val="24"/>
              </w:rPr>
            </w:pPr>
          </w:p>
        </w:tc>
      </w:tr>
    </w:tbl>
    <w:p>
      <w:pPr>
        <w:widowControl/>
        <w:numPr>
          <w:ilvl w:val="0"/>
          <w:numId w:val="0"/>
        </w:numPr>
        <w:adjustRightInd/>
        <w:snapToGrid/>
        <w:spacing w:line="240" w:lineRule="auto"/>
        <w:ind w:firstLine="420"/>
        <w:jc w:val="left"/>
        <w:outlineLvl w:val="9"/>
        <w:rPr>
          <w:rFonts w:hint="eastAsia" w:ascii="宋体" w:hAnsi="宋体" w:cs="宋体"/>
          <w:color w:val="auto"/>
          <w:kern w:val="1"/>
          <w:sz w:val="24"/>
        </w:rPr>
      </w:pPr>
      <w:r>
        <w:rPr>
          <w:rFonts w:hint="eastAsia" w:ascii="宋体" w:hAnsi="宋体" w:cs="宋体"/>
          <w:color w:val="auto"/>
          <w:kern w:val="1"/>
          <w:sz w:val="24"/>
        </w:rPr>
        <w:t>以上各条对设备最基本的要求，投标单位应该根据本企业设计的机型特点，必须从机械部分（含导轨结构形式等）、电气部分、数控部分、液压、气动、润滑密封等整机结构性能必须逐条详细描述。</w:t>
      </w:r>
    </w:p>
    <w:p>
      <w:pPr>
        <w:rPr>
          <w:rFonts w:hint="eastAsia" w:ascii="宋体" w:hAnsi="宋体" w:cs="宋体"/>
          <w:color w:val="auto"/>
        </w:rPr>
      </w:pPr>
      <w:r>
        <w:rPr>
          <w:rFonts w:hint="eastAsia" w:ascii="宋体" w:hAnsi="宋体" w:cs="宋体"/>
          <w:b/>
          <w:color w:val="auto"/>
          <w:spacing w:val="20"/>
          <w:sz w:val="28"/>
          <w:szCs w:val="28"/>
        </w:rPr>
        <w:t>6  数控系统部分：（投标方详细描述）</w:t>
      </w:r>
    </w:p>
    <w:p>
      <w:pPr>
        <w:spacing w:line="360" w:lineRule="auto"/>
        <w:rPr>
          <w:rFonts w:hint="eastAsia" w:ascii="宋体" w:hAnsi="宋体" w:cs="宋体"/>
          <w:b/>
          <w:color w:val="auto"/>
          <w:spacing w:val="20"/>
          <w:sz w:val="28"/>
          <w:szCs w:val="28"/>
        </w:rPr>
      </w:pPr>
      <w:r>
        <w:rPr>
          <w:rFonts w:hint="eastAsia" w:ascii="宋体" w:hAnsi="宋体" w:cs="宋体"/>
          <w:b/>
          <w:color w:val="auto"/>
          <w:spacing w:val="20"/>
          <w:sz w:val="28"/>
          <w:szCs w:val="28"/>
        </w:rPr>
        <w:t>7  液压、气动部分：（投标方详细描述）</w:t>
      </w:r>
    </w:p>
    <w:p>
      <w:pPr>
        <w:spacing w:line="360" w:lineRule="auto"/>
        <w:rPr>
          <w:rFonts w:hint="eastAsia" w:ascii="宋体" w:hAnsi="宋体" w:cs="宋体"/>
          <w:color w:val="auto"/>
          <w:spacing w:val="20"/>
          <w:sz w:val="24"/>
        </w:rPr>
      </w:pPr>
      <w:r>
        <w:rPr>
          <w:rFonts w:hint="eastAsia" w:ascii="宋体" w:hAnsi="宋体" w:cs="宋体"/>
          <w:color w:val="auto"/>
          <w:spacing w:val="20"/>
          <w:sz w:val="24"/>
        </w:rPr>
        <w:t xml:space="preserve">   ★独立液压站液压元件机油泵要求台湾及进口品牌</w:t>
      </w:r>
    </w:p>
    <w:p>
      <w:pPr>
        <w:tabs>
          <w:tab w:val="left" w:pos="540"/>
        </w:tabs>
        <w:spacing w:line="360" w:lineRule="auto"/>
        <w:rPr>
          <w:rFonts w:hint="eastAsia" w:ascii="宋体" w:hAnsi="宋体" w:cs="宋体"/>
          <w:color w:val="auto"/>
          <w:sz w:val="24"/>
        </w:rPr>
      </w:pPr>
      <w:r>
        <w:rPr>
          <w:rFonts w:hint="eastAsia" w:ascii="宋体" w:hAnsi="宋体" w:cs="宋体"/>
          <w:b/>
          <w:color w:val="auto"/>
          <w:sz w:val="28"/>
          <w:szCs w:val="28"/>
          <w:lang w:val="en-US" w:eastAsia="zh-CN"/>
        </w:rPr>
        <w:t>9</w:t>
      </w:r>
      <w:r>
        <w:rPr>
          <w:rFonts w:hint="eastAsia" w:ascii="宋体" w:hAnsi="宋体" w:cs="宋体"/>
          <w:b/>
          <w:color w:val="auto"/>
          <w:sz w:val="28"/>
          <w:szCs w:val="28"/>
        </w:rPr>
        <w:t xml:space="preserve">  设备工作环境要求（由投标方阐述）</w:t>
      </w:r>
    </w:p>
    <w:p>
      <w:pPr>
        <w:spacing w:line="360" w:lineRule="auto"/>
        <w:rPr>
          <w:rFonts w:hint="eastAsia" w:ascii="宋体" w:hAnsi="宋体" w:cs="宋体"/>
          <w:b/>
          <w:color w:val="auto"/>
          <w:sz w:val="28"/>
          <w:szCs w:val="28"/>
        </w:rPr>
      </w:pPr>
      <w:r>
        <w:rPr>
          <w:rFonts w:hint="eastAsia" w:ascii="宋体" w:hAnsi="宋体" w:cs="宋体"/>
          <w:b/>
          <w:color w:val="auto"/>
          <w:sz w:val="28"/>
          <w:szCs w:val="28"/>
          <w:lang w:val="en-US" w:eastAsia="zh-CN"/>
        </w:rPr>
        <w:t>9</w:t>
      </w:r>
      <w:r>
        <w:rPr>
          <w:rFonts w:hint="eastAsia" w:ascii="宋体" w:hAnsi="宋体" w:cs="宋体"/>
          <w:b/>
          <w:color w:val="auto"/>
          <w:sz w:val="28"/>
          <w:szCs w:val="28"/>
        </w:rPr>
        <w:t xml:space="preserve">  双柱数控2.5米立车关键件配置明细</w:t>
      </w:r>
    </w:p>
    <w:tbl>
      <w:tblPr>
        <w:tblStyle w:val="28"/>
        <w:tblW w:w="8287" w:type="dxa"/>
        <w:tblInd w:w="93" w:type="dxa"/>
        <w:tblLayout w:type="fixed"/>
        <w:tblCellMar>
          <w:top w:w="0" w:type="dxa"/>
          <w:left w:w="108" w:type="dxa"/>
          <w:bottom w:w="0" w:type="dxa"/>
          <w:right w:w="108" w:type="dxa"/>
        </w:tblCellMar>
      </w:tblPr>
      <w:tblGrid>
        <w:gridCol w:w="512"/>
        <w:gridCol w:w="2060"/>
        <w:gridCol w:w="3539"/>
        <w:gridCol w:w="2176"/>
      </w:tblGrid>
      <w:tr>
        <w:tblPrEx>
          <w:tblLayout w:type="fixed"/>
          <w:tblCellMar>
            <w:top w:w="0" w:type="dxa"/>
            <w:left w:w="108" w:type="dxa"/>
            <w:bottom w:w="0" w:type="dxa"/>
            <w:right w:w="108" w:type="dxa"/>
          </w:tblCellMar>
        </w:tblPrEx>
        <w:trPr>
          <w:trHeight w:val="647"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2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名称</w:t>
            </w:r>
          </w:p>
        </w:tc>
        <w:tc>
          <w:tcPr>
            <w:tcW w:w="353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b/>
                <w:bCs/>
                <w:color w:val="auto"/>
                <w:kern w:val="0"/>
                <w:sz w:val="24"/>
              </w:rPr>
            </w:pPr>
            <w:r>
              <w:rPr>
                <w:rFonts w:hint="eastAsia" w:ascii="宋体" w:hAnsi="宋体" w:cs="宋体"/>
                <w:b/>
                <w:bCs/>
                <w:color w:val="auto"/>
                <w:kern w:val="0"/>
                <w:sz w:val="24"/>
              </w:rPr>
              <w:t>配置要求（空白处未指定，</w:t>
            </w:r>
          </w:p>
          <w:p>
            <w:pPr>
              <w:widowControl/>
              <w:jc w:val="left"/>
              <w:rPr>
                <w:rFonts w:ascii="宋体" w:hAnsi="宋体" w:cs="宋体"/>
                <w:b/>
                <w:bCs/>
                <w:color w:val="auto"/>
                <w:kern w:val="0"/>
                <w:sz w:val="24"/>
              </w:rPr>
            </w:pPr>
            <w:r>
              <w:rPr>
                <w:rFonts w:hint="eastAsia" w:ascii="宋体" w:hAnsi="宋体" w:cs="宋体"/>
                <w:b/>
                <w:bCs/>
                <w:color w:val="auto"/>
                <w:kern w:val="0"/>
                <w:sz w:val="24"/>
              </w:rPr>
              <w:t>由投标方填写）</w:t>
            </w:r>
          </w:p>
        </w:tc>
        <w:tc>
          <w:tcPr>
            <w:tcW w:w="21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b/>
                <w:bCs/>
                <w:color w:val="auto"/>
                <w:kern w:val="0"/>
                <w:sz w:val="24"/>
              </w:rPr>
            </w:pPr>
            <w:r>
              <w:rPr>
                <w:rFonts w:hint="eastAsia" w:ascii="宋体" w:hAnsi="宋体" w:cs="宋体"/>
                <w:b/>
                <w:bCs/>
                <w:color w:val="auto"/>
                <w:kern w:val="0"/>
                <w:sz w:val="24"/>
              </w:rPr>
              <w:t>备注</w:t>
            </w:r>
          </w:p>
        </w:tc>
      </w:tr>
      <w:tr>
        <w:tblPrEx>
          <w:tblLayout w:type="fixed"/>
          <w:tblCellMar>
            <w:top w:w="0" w:type="dxa"/>
            <w:left w:w="108" w:type="dxa"/>
            <w:bottom w:w="0" w:type="dxa"/>
            <w:right w:w="108" w:type="dxa"/>
          </w:tblCellMar>
        </w:tblPrEx>
        <w:trPr>
          <w:trHeight w:val="63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20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主伺服主电机</w:t>
            </w:r>
          </w:p>
        </w:tc>
        <w:tc>
          <w:tcPr>
            <w:tcW w:w="3539"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北京超同步伺服电机，</w:t>
            </w:r>
            <w:r>
              <w:rPr>
                <w:rFonts w:hint="eastAsia" w:ascii="宋体" w:hAnsi="宋体" w:cs="宋体"/>
                <w:color w:val="auto"/>
                <w:kern w:val="0"/>
                <w:sz w:val="24"/>
                <w:u w:val="single"/>
              </w:rPr>
              <w:t xml:space="preserve">      </w:t>
            </w:r>
            <w:r>
              <w:rPr>
                <w:rFonts w:hint="eastAsia" w:ascii="宋体" w:hAnsi="宋体" w:cs="宋体"/>
                <w:color w:val="auto"/>
                <w:kern w:val="0"/>
                <w:sz w:val="24"/>
              </w:rPr>
              <w:t>KW</w:t>
            </w:r>
            <w:r>
              <w:rPr>
                <w:rFonts w:ascii="宋体" w:hAnsi="宋体" w:cs="宋体"/>
                <w:color w:val="auto"/>
                <w:kern w:val="0"/>
                <w:sz w:val="24"/>
              </w:rPr>
              <w:t xml:space="preserve"> </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数控系统</w:t>
            </w:r>
          </w:p>
        </w:tc>
        <w:tc>
          <w:tcPr>
            <w:tcW w:w="353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德国西门子 828D</w:t>
            </w:r>
          </w:p>
        </w:tc>
        <w:tc>
          <w:tcPr>
            <w:tcW w:w="2176" w:type="dxa"/>
            <w:tcBorders>
              <w:top w:val="nil"/>
              <w:left w:val="nil"/>
              <w:bottom w:val="nil"/>
              <w:right w:val="single" w:color="auto" w:sz="4" w:space="0"/>
            </w:tcBorders>
            <w:noWrap/>
            <w:vAlign w:val="center"/>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X/Z轴进给交流伺服电机</w:t>
            </w:r>
          </w:p>
        </w:tc>
        <w:tc>
          <w:tcPr>
            <w:tcW w:w="353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德国西门子</w:t>
            </w:r>
          </w:p>
        </w:tc>
        <w:tc>
          <w:tcPr>
            <w:tcW w:w="21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右刀架数控系统</w:t>
            </w:r>
          </w:p>
        </w:tc>
        <w:tc>
          <w:tcPr>
            <w:tcW w:w="353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德国西门子 828D</w:t>
            </w:r>
          </w:p>
        </w:tc>
        <w:tc>
          <w:tcPr>
            <w:tcW w:w="21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X/Z轴光栅尺</w:t>
            </w:r>
          </w:p>
        </w:tc>
        <w:tc>
          <w:tcPr>
            <w:tcW w:w="353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首选海德汉其次法格</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20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auto"/>
                <w:kern w:val="0"/>
                <w:sz w:val="24"/>
              </w:rPr>
            </w:pPr>
            <w:r>
              <w:rPr>
                <w:rFonts w:hint="eastAsia" w:ascii="宋体" w:hAnsi="宋体" w:cs="宋体"/>
                <w:color w:val="auto"/>
                <w:kern w:val="0"/>
                <w:sz w:val="24"/>
              </w:rPr>
              <w:t>工作台导轨板</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芜湖诚信合金（锌铝合金）及同等档次</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工作台主轴承</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进口品牌</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★SKF斯凯孚或日本原装NSK</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其他轴承</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4"/>
              </w:rPr>
            </w:pPr>
            <w:r>
              <w:rPr>
                <w:rFonts w:hint="eastAsia" w:ascii="宋体" w:hAnsi="宋体" w:cs="宋体"/>
                <w:color w:val="auto"/>
                <w:kern w:val="0"/>
                <w:sz w:val="24"/>
              </w:rPr>
              <w:t>瓦轴、哈轴、洛轴</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滚珠丝杆</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南京工艺装备制造有限公司及同等或以上品牌</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r>
              <w:rPr>
                <w:rFonts w:ascii="宋体" w:hAnsi="宋体" w:cs="宋体"/>
                <w:color w:val="auto"/>
                <w:kern w:val="0"/>
                <w:sz w:val="24"/>
              </w:rPr>
              <w:t>P3</w:t>
            </w:r>
            <w:r>
              <w:rPr>
                <w:rFonts w:hint="eastAsia" w:ascii="宋体" w:hAnsi="宋体" w:cs="宋体"/>
                <w:color w:val="auto"/>
                <w:kern w:val="0"/>
                <w:sz w:val="24"/>
              </w:rPr>
              <w:t>级</w:t>
            </w:r>
          </w:p>
        </w:tc>
      </w:tr>
      <w:tr>
        <w:tblPrEx>
          <w:tblLayout w:type="fixed"/>
          <w:tblCellMar>
            <w:top w:w="0" w:type="dxa"/>
            <w:left w:w="108" w:type="dxa"/>
            <w:bottom w:w="0" w:type="dxa"/>
            <w:right w:w="108" w:type="dxa"/>
          </w:tblCellMar>
        </w:tblPrEx>
        <w:trPr>
          <w:trHeight w:val="552"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电器元件</w:t>
            </w:r>
          </w:p>
        </w:tc>
        <w:tc>
          <w:tcPr>
            <w:tcW w:w="353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施耐德及同等或以上品牌</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62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11</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线束</w:t>
            </w:r>
          </w:p>
        </w:tc>
        <w:tc>
          <w:tcPr>
            <w:tcW w:w="3539" w:type="dxa"/>
            <w:tcBorders>
              <w:top w:val="nil"/>
              <w:left w:val="nil"/>
              <w:bottom w:val="single" w:color="auto" w:sz="4" w:space="0"/>
              <w:right w:val="single" w:color="auto" w:sz="4" w:space="0"/>
            </w:tcBorders>
            <w:shd w:val="clear" w:color="000000" w:fill="FFFFFF"/>
            <w:noWrap/>
            <w:vAlign w:val="center"/>
          </w:tcPr>
          <w:p>
            <w:pPr>
              <w:widowControl/>
              <w:ind w:firstLine="1080" w:firstLineChars="450"/>
              <w:jc w:val="left"/>
              <w:rPr>
                <w:rFonts w:hint="eastAsia" w:ascii="宋体" w:hAnsi="宋体" w:cs="宋体"/>
                <w:color w:val="auto"/>
                <w:kern w:val="0"/>
                <w:sz w:val="24"/>
              </w:rPr>
            </w:pPr>
            <w:r>
              <w:rPr>
                <w:rFonts w:hint="eastAsia" w:ascii="宋体" w:hAnsi="宋体" w:cs="宋体"/>
                <w:color w:val="auto"/>
                <w:kern w:val="0"/>
                <w:sz w:val="24"/>
              </w:rPr>
              <w:t>提供品牌</w:t>
            </w:r>
          </w:p>
        </w:tc>
        <w:tc>
          <w:tcPr>
            <w:tcW w:w="2176"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auto"/>
                <w:kern w:val="0"/>
                <w:sz w:val="24"/>
              </w:rPr>
            </w:pP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12</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液压元件</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台湾及进口品牌</w:t>
            </w:r>
          </w:p>
        </w:tc>
      </w:tr>
      <w:tr>
        <w:tblPrEx>
          <w:tblLayout w:type="fixed"/>
          <w:tblCellMar>
            <w:top w:w="0" w:type="dxa"/>
            <w:left w:w="108" w:type="dxa"/>
            <w:bottom w:w="0" w:type="dxa"/>
            <w:right w:w="108" w:type="dxa"/>
          </w:tblCellMar>
        </w:tblPrEx>
        <w:trPr>
          <w:trHeight w:val="540"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13</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工作台变速箱</w:t>
            </w:r>
          </w:p>
        </w:tc>
        <w:tc>
          <w:tcPr>
            <w:tcW w:w="353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56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14</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调速系统</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62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15</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丝杠螺母</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锡青铜</w:t>
            </w:r>
          </w:p>
        </w:tc>
      </w:tr>
      <w:tr>
        <w:tblPrEx>
          <w:tblLayout w:type="fixed"/>
          <w:tblCellMar>
            <w:top w:w="0" w:type="dxa"/>
            <w:left w:w="108" w:type="dxa"/>
            <w:bottom w:w="0" w:type="dxa"/>
            <w:right w:w="108" w:type="dxa"/>
          </w:tblCellMar>
        </w:tblPrEx>
        <w:trPr>
          <w:trHeight w:val="480"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16</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减速机</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17</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编码器</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西门子</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工作台实时转速</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18</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空调及油冷机</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配置100匹以上</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19</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整机自动润滑站  </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21</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主轴变速箱</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齿轮要求磨齿</w:t>
            </w:r>
          </w:p>
        </w:tc>
      </w:tr>
      <w:tr>
        <w:tblPrEx>
          <w:tblLayout w:type="fixed"/>
          <w:tblCellMar>
            <w:top w:w="0" w:type="dxa"/>
            <w:left w:w="108" w:type="dxa"/>
            <w:bottom w:w="0" w:type="dxa"/>
            <w:right w:w="108" w:type="dxa"/>
          </w:tblCellMar>
        </w:tblPrEx>
        <w:trPr>
          <w:trHeight w:val="501" w:hRule="atLeast"/>
        </w:trPr>
        <w:tc>
          <w:tcPr>
            <w:tcW w:w="5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21</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工作台齿轮</w:t>
            </w:r>
          </w:p>
        </w:tc>
        <w:tc>
          <w:tcPr>
            <w:tcW w:w="35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w:t>
            </w:r>
          </w:p>
        </w:tc>
        <w:tc>
          <w:tcPr>
            <w:tcW w:w="2176"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齿轮要求锻造和磨齿</w:t>
            </w:r>
          </w:p>
        </w:tc>
      </w:tr>
    </w:tbl>
    <w:p>
      <w:pPr>
        <w:rPr>
          <w:rFonts w:hint="eastAsia" w:ascii="宋体" w:hAnsi="宋体" w:cs="宋体"/>
          <w:color w:val="auto"/>
          <w:sz w:val="24"/>
        </w:rPr>
      </w:pPr>
    </w:p>
    <w:p>
      <w:pPr>
        <w:numPr>
          <w:ilvl w:val="0"/>
          <w:numId w:val="7"/>
        </w:numPr>
        <w:ind w:firstLine="240" w:firstLineChars="100"/>
        <w:rPr>
          <w:rFonts w:hint="eastAsia" w:ascii="宋体" w:hAnsi="宋体" w:cs="宋体"/>
          <w:color w:val="auto"/>
          <w:sz w:val="24"/>
        </w:rPr>
      </w:pPr>
      <w:r>
        <w:rPr>
          <w:rFonts w:hint="eastAsia" w:ascii="宋体" w:hAnsi="宋体" w:cs="宋体"/>
          <w:color w:val="auto"/>
          <w:sz w:val="24"/>
        </w:rPr>
        <w:t>带★号由投标单位填写</w:t>
      </w:r>
    </w:p>
    <w:p>
      <w:pPr>
        <w:tabs>
          <w:tab w:val="left" w:pos="3288"/>
        </w:tabs>
        <w:spacing w:line="360" w:lineRule="auto"/>
        <w:rPr>
          <w:rFonts w:hint="eastAsia" w:ascii="宋体" w:hAnsi="宋体" w:cs="宋体"/>
          <w:color w:val="auto"/>
          <w:sz w:val="24"/>
        </w:rPr>
      </w:pPr>
      <w:r>
        <w:rPr>
          <w:rFonts w:hint="eastAsia" w:ascii="宋体" w:hAnsi="宋体" w:cs="宋体"/>
          <w:b/>
          <w:color w:val="auto"/>
          <w:sz w:val="28"/>
          <w:szCs w:val="28"/>
          <w:lang w:val="en-US" w:eastAsia="zh-CN"/>
        </w:rPr>
        <w:t>10</w:t>
      </w:r>
      <w:r>
        <w:rPr>
          <w:rFonts w:hint="eastAsia" w:ascii="宋体" w:hAnsi="宋体" w:cs="宋体"/>
          <w:b/>
          <w:color w:val="auto"/>
          <w:sz w:val="28"/>
          <w:szCs w:val="28"/>
        </w:rPr>
        <w:t xml:space="preserve"> 随机技术文件清单</w:t>
      </w:r>
      <w:r>
        <w:rPr>
          <w:rFonts w:hint="eastAsia" w:ascii="宋体" w:hAnsi="宋体" w:cs="宋体"/>
          <w:color w:val="auto"/>
          <w:sz w:val="24"/>
        </w:rPr>
        <w:t>（由投标方填写）</w:t>
      </w:r>
    </w:p>
    <w:tbl>
      <w:tblPr>
        <w:tblStyle w:val="28"/>
        <w:tblW w:w="8297" w:type="dxa"/>
        <w:tblInd w:w="108" w:type="dxa"/>
        <w:tblLayout w:type="fixed"/>
        <w:tblCellMar>
          <w:top w:w="0" w:type="dxa"/>
          <w:left w:w="108" w:type="dxa"/>
          <w:bottom w:w="0" w:type="dxa"/>
          <w:right w:w="108" w:type="dxa"/>
        </w:tblCellMar>
      </w:tblPr>
      <w:tblGrid>
        <w:gridCol w:w="720"/>
        <w:gridCol w:w="2752"/>
        <w:gridCol w:w="936"/>
        <w:gridCol w:w="812"/>
        <w:gridCol w:w="3077"/>
      </w:tblGrid>
      <w:tr>
        <w:tblPrEx>
          <w:tblLayout w:type="fixed"/>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275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名称</w:t>
            </w:r>
          </w:p>
        </w:tc>
        <w:tc>
          <w:tcPr>
            <w:tcW w:w="93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单位</w:t>
            </w:r>
          </w:p>
        </w:tc>
        <w:tc>
          <w:tcPr>
            <w:tcW w:w="81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数量</w:t>
            </w:r>
          </w:p>
        </w:tc>
        <w:tc>
          <w:tcPr>
            <w:tcW w:w="307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备注</w:t>
            </w:r>
          </w:p>
        </w:tc>
      </w:tr>
      <w:tr>
        <w:tblPrEx>
          <w:tblLayout w:type="fixed"/>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p>
        </w:tc>
        <w:tc>
          <w:tcPr>
            <w:tcW w:w="2752"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p>
        </w:tc>
        <w:tc>
          <w:tcPr>
            <w:tcW w:w="93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p>
        </w:tc>
        <w:tc>
          <w:tcPr>
            <w:tcW w:w="812"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p>
        </w:tc>
        <w:tc>
          <w:tcPr>
            <w:tcW w:w="3077"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rPr>
            </w:pPr>
          </w:p>
        </w:tc>
        <w:tc>
          <w:tcPr>
            <w:tcW w:w="2752" w:type="dxa"/>
            <w:tcBorders>
              <w:top w:val="single" w:color="auto" w:sz="4" w:space="0"/>
              <w:left w:val="nil"/>
              <w:bottom w:val="single" w:color="auto" w:sz="4" w:space="0"/>
              <w:right w:val="single" w:color="auto" w:sz="4" w:space="0"/>
            </w:tcBorders>
            <w:noWrap/>
            <w:vAlign w:val="center"/>
          </w:tcPr>
          <w:p>
            <w:pPr>
              <w:widowControl/>
              <w:spacing w:line="360" w:lineRule="auto"/>
              <w:jc w:val="right"/>
              <w:rPr>
                <w:rFonts w:hint="eastAsia" w:ascii="宋体" w:hAnsi="宋体" w:cs="宋体"/>
                <w:color w:val="auto"/>
                <w:kern w:val="0"/>
                <w:sz w:val="24"/>
              </w:rPr>
            </w:pPr>
            <w:r>
              <w:rPr>
                <w:rFonts w:hint="eastAsia" w:ascii="宋体" w:hAnsi="宋体" w:cs="宋体"/>
                <w:color w:val="auto"/>
                <w:kern w:val="0"/>
                <w:sz w:val="24"/>
              </w:rPr>
              <w:t>（格</w:t>
            </w:r>
          </w:p>
        </w:tc>
        <w:tc>
          <w:tcPr>
            <w:tcW w:w="93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rPr>
            </w:pPr>
          </w:p>
        </w:tc>
        <w:tc>
          <w:tcPr>
            <w:tcW w:w="81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rPr>
            </w:pPr>
          </w:p>
        </w:tc>
        <w:tc>
          <w:tcPr>
            <w:tcW w:w="3077"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宋体" w:hAnsi="宋体" w:cs="宋体"/>
                <w:color w:val="auto"/>
                <w:kern w:val="0"/>
                <w:sz w:val="24"/>
              </w:rPr>
            </w:pPr>
            <w:r>
              <w:rPr>
                <w:rFonts w:hint="eastAsia" w:ascii="宋体" w:hAnsi="宋体" w:cs="宋体"/>
                <w:color w:val="auto"/>
                <w:kern w:val="0"/>
                <w:sz w:val="24"/>
              </w:rPr>
              <w:t>式）</w:t>
            </w:r>
          </w:p>
        </w:tc>
      </w:tr>
      <w:tr>
        <w:tblPrEx>
          <w:tblLayout w:type="fixed"/>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rPr>
            </w:pPr>
          </w:p>
        </w:tc>
        <w:tc>
          <w:tcPr>
            <w:tcW w:w="275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rPr>
            </w:pPr>
          </w:p>
        </w:tc>
        <w:tc>
          <w:tcPr>
            <w:tcW w:w="93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rPr>
            </w:pPr>
          </w:p>
        </w:tc>
        <w:tc>
          <w:tcPr>
            <w:tcW w:w="81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rPr>
            </w:pPr>
          </w:p>
        </w:tc>
        <w:tc>
          <w:tcPr>
            <w:tcW w:w="307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p>
        </w:tc>
      </w:tr>
    </w:tbl>
    <w:p>
      <w:pPr>
        <w:numPr>
          <w:ilvl w:val="0"/>
          <w:numId w:val="0"/>
        </w:numPr>
        <w:ind w:firstLine="240" w:firstLineChars="100"/>
        <w:rPr>
          <w:rFonts w:hint="eastAsia" w:ascii="宋体" w:hAnsi="宋体" w:cs="宋体"/>
          <w:color w:val="auto"/>
          <w:sz w:val="24"/>
        </w:rPr>
      </w:pPr>
    </w:p>
    <w:p>
      <w:pPr>
        <w:rPr>
          <w:rFonts w:hint="eastAsia" w:ascii="宋体" w:hAnsi="宋体" w:cs="宋体"/>
          <w:b/>
          <w:color w:val="auto"/>
          <w:spacing w:val="20"/>
          <w:sz w:val="28"/>
          <w:szCs w:val="28"/>
        </w:rPr>
      </w:pPr>
      <w:r>
        <w:rPr>
          <w:rFonts w:hint="eastAsia" w:ascii="宋体" w:hAnsi="宋体" w:cs="宋体"/>
          <w:b/>
          <w:color w:val="auto"/>
          <w:spacing w:val="20"/>
          <w:sz w:val="28"/>
          <w:szCs w:val="28"/>
        </w:rPr>
        <w:t>1</w:t>
      </w:r>
      <w:r>
        <w:rPr>
          <w:rFonts w:hint="eastAsia" w:ascii="宋体" w:hAnsi="宋体" w:cs="宋体"/>
          <w:b/>
          <w:color w:val="auto"/>
          <w:spacing w:val="20"/>
          <w:sz w:val="28"/>
          <w:szCs w:val="28"/>
          <w:lang w:val="en-US" w:eastAsia="zh-CN"/>
        </w:rPr>
        <w:t>1</w:t>
      </w:r>
      <w:r>
        <w:rPr>
          <w:rFonts w:hint="eastAsia" w:ascii="宋体" w:hAnsi="宋体" w:cs="宋体"/>
          <w:b/>
          <w:color w:val="auto"/>
          <w:spacing w:val="20"/>
          <w:sz w:val="28"/>
          <w:szCs w:val="28"/>
        </w:rPr>
        <w:t xml:space="preserve">  提供技术资料</w:t>
      </w:r>
    </w:p>
    <w:p>
      <w:pPr>
        <w:spacing w:line="360" w:lineRule="auto"/>
        <w:rPr>
          <w:rFonts w:hint="eastAsia" w:ascii="宋体" w:hAnsi="宋体" w:cs="宋体"/>
          <w:color w:val="auto"/>
          <w:spacing w:val="20"/>
          <w:sz w:val="24"/>
        </w:rPr>
      </w:pPr>
      <w:r>
        <w:rPr>
          <w:rFonts w:hint="eastAsia" w:ascii="宋体" w:hAnsi="宋体" w:cs="宋体"/>
          <w:color w:val="auto"/>
          <w:spacing w:val="20"/>
          <w:sz w:val="24"/>
        </w:rPr>
        <w:t>1.）投标方应提供一套</w:t>
      </w:r>
      <w:r>
        <w:rPr>
          <w:rFonts w:hint="eastAsia" w:ascii="宋体" w:hAnsi="宋体" w:cs="宋体"/>
          <w:color w:val="auto"/>
          <w:sz w:val="24"/>
        </w:rPr>
        <w:t>用U盘保存的电子版</w:t>
      </w:r>
      <w:r>
        <w:rPr>
          <w:rFonts w:hint="eastAsia" w:ascii="宋体" w:hAnsi="宋体" w:cs="宋体"/>
          <w:color w:val="auto"/>
          <w:spacing w:val="20"/>
          <w:sz w:val="24"/>
        </w:rPr>
        <w:t>投标文件。</w:t>
      </w:r>
    </w:p>
    <w:p>
      <w:pPr>
        <w:spacing w:line="360" w:lineRule="auto"/>
        <w:rPr>
          <w:rFonts w:hint="eastAsia" w:ascii="宋体" w:hAnsi="宋体" w:cs="宋体"/>
          <w:color w:val="auto"/>
          <w:spacing w:val="20"/>
          <w:sz w:val="24"/>
        </w:rPr>
      </w:pPr>
      <w:r>
        <w:rPr>
          <w:rFonts w:hint="eastAsia" w:ascii="宋体" w:hAnsi="宋体" w:cs="宋体"/>
          <w:color w:val="auto"/>
          <w:spacing w:val="20"/>
          <w:sz w:val="24"/>
        </w:rPr>
        <w:t>2.）投标方在投标文件中应提供一份招标设备结构图的外形样本。</w:t>
      </w:r>
    </w:p>
    <w:p>
      <w:pPr>
        <w:spacing w:line="360" w:lineRule="auto"/>
        <w:ind w:left="560" w:hanging="560" w:hangingChars="200"/>
        <w:rPr>
          <w:rFonts w:hint="eastAsia" w:ascii="宋体" w:hAnsi="宋体" w:cs="宋体"/>
          <w:color w:val="auto"/>
          <w:spacing w:val="20"/>
          <w:sz w:val="24"/>
        </w:rPr>
      </w:pPr>
      <w:r>
        <w:rPr>
          <w:rFonts w:hint="eastAsia" w:ascii="宋体" w:hAnsi="宋体" w:cs="宋体"/>
          <w:color w:val="auto"/>
          <w:spacing w:val="20"/>
          <w:sz w:val="24"/>
        </w:rPr>
        <w:t>3.）投标方中标后，10天内要提供一份完整的中标设备电子版基础图。</w:t>
      </w:r>
    </w:p>
    <w:p>
      <w:pPr>
        <w:spacing w:line="360" w:lineRule="auto"/>
        <w:rPr>
          <w:rFonts w:hint="eastAsia" w:ascii="宋体" w:hAnsi="宋体" w:cs="宋体"/>
          <w:color w:val="auto"/>
          <w:spacing w:val="20"/>
          <w:sz w:val="24"/>
        </w:rPr>
      </w:pPr>
      <w:r>
        <w:rPr>
          <w:rFonts w:hint="eastAsia" w:ascii="宋体" w:hAnsi="宋体" w:cs="宋体"/>
          <w:color w:val="auto"/>
          <w:spacing w:val="20"/>
          <w:sz w:val="24"/>
        </w:rPr>
        <w:t>4.）随机应提供的技术资料。</w:t>
      </w:r>
    </w:p>
    <w:p>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pacing w:val="4"/>
          <w:sz w:val="24"/>
        </w:rPr>
        <w:t xml:space="preserve">机床使用说明书                                      </w:t>
      </w:r>
      <w:r>
        <w:rPr>
          <w:rFonts w:hint="eastAsia" w:ascii="宋体" w:hAnsi="宋体" w:cs="宋体"/>
          <w:color w:val="auto"/>
          <w:sz w:val="24"/>
        </w:rPr>
        <w:t xml:space="preserve">     2份</w:t>
      </w:r>
    </w:p>
    <w:p>
      <w:pPr>
        <w:spacing w:line="360" w:lineRule="auto"/>
        <w:ind w:left="359" w:leftChars="114" w:hanging="120" w:hangingChars="50"/>
        <w:rPr>
          <w:rFonts w:hint="eastAsia" w:ascii="宋体" w:hAnsi="宋体" w:cs="宋体"/>
          <w:color w:val="auto"/>
          <w:sz w:val="24"/>
        </w:rPr>
      </w:pPr>
      <w:r>
        <w:rPr>
          <w:rFonts w:hint="eastAsia" w:ascii="宋体" w:hAnsi="宋体" w:cs="宋体"/>
          <w:color w:val="auto"/>
          <w:sz w:val="24"/>
        </w:rPr>
        <w:t xml:space="preserve">（中标方提供的使用说明书应包含以下内容和部件结构图，方便招标方设备维护和配件采购； </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①液压站油泵型号、连接方式</w:t>
      </w:r>
    </w:p>
    <w:p>
      <w:pPr>
        <w:spacing w:line="360" w:lineRule="auto"/>
        <w:ind w:left="359" w:leftChars="171"/>
        <w:rPr>
          <w:rFonts w:hint="eastAsia" w:ascii="宋体" w:hAnsi="宋体" w:cs="宋体"/>
          <w:color w:val="auto"/>
          <w:sz w:val="24"/>
        </w:rPr>
      </w:pPr>
      <w:r>
        <w:rPr>
          <w:rFonts w:hint="eastAsia" w:ascii="宋体" w:hAnsi="宋体" w:cs="宋体"/>
          <w:color w:val="auto"/>
          <w:sz w:val="24"/>
        </w:rPr>
        <w:t>②卡盘主轴轴承型号</w:t>
      </w:r>
    </w:p>
    <w:p>
      <w:pPr>
        <w:spacing w:line="360" w:lineRule="auto"/>
        <w:ind w:left="359" w:leftChars="171"/>
        <w:rPr>
          <w:rFonts w:hint="eastAsia" w:ascii="宋体" w:hAnsi="宋体" w:cs="宋体"/>
          <w:color w:val="auto"/>
          <w:sz w:val="24"/>
        </w:rPr>
      </w:pPr>
      <w:r>
        <w:rPr>
          <w:rFonts w:hint="eastAsia" w:ascii="宋体" w:hAnsi="宋体" w:cs="宋体"/>
          <w:color w:val="auto"/>
          <w:sz w:val="24"/>
        </w:rPr>
        <w:t>③横梁升降丝杆螺母副、轴承及涡轮、蜗杆轴承、油封等规格型号</w:t>
      </w:r>
    </w:p>
    <w:p>
      <w:pPr>
        <w:spacing w:line="360" w:lineRule="auto"/>
        <w:ind w:left="359" w:leftChars="171"/>
        <w:rPr>
          <w:rFonts w:hint="eastAsia" w:ascii="宋体" w:hAnsi="宋体" w:cs="宋体"/>
          <w:color w:val="auto"/>
          <w:sz w:val="24"/>
        </w:rPr>
      </w:pPr>
      <w:r>
        <w:rPr>
          <w:rFonts w:hint="eastAsia" w:ascii="宋体" w:hAnsi="宋体" w:cs="宋体"/>
          <w:color w:val="auto"/>
          <w:sz w:val="24"/>
        </w:rPr>
        <w:t>④横向进给滚珠丝杆副、丝杆座两端轴承型号</w:t>
      </w:r>
    </w:p>
    <w:p>
      <w:pPr>
        <w:spacing w:line="360" w:lineRule="auto"/>
        <w:ind w:left="359" w:leftChars="171"/>
        <w:rPr>
          <w:rFonts w:hint="eastAsia" w:ascii="宋体" w:hAnsi="宋体" w:cs="宋体"/>
          <w:color w:val="auto"/>
          <w:sz w:val="24"/>
        </w:rPr>
      </w:pPr>
      <w:r>
        <w:rPr>
          <w:rFonts w:hint="eastAsia" w:ascii="宋体" w:hAnsi="宋体" w:cs="宋体"/>
          <w:color w:val="auto"/>
          <w:sz w:val="24"/>
        </w:rPr>
        <w:t>⑤方滑枕滚珠丝杆副，丝杆座轴承（平衡油缸）型号，各油封密封件型号</w:t>
      </w:r>
    </w:p>
    <w:p>
      <w:pPr>
        <w:spacing w:line="360" w:lineRule="auto"/>
        <w:ind w:left="359" w:leftChars="171"/>
        <w:rPr>
          <w:rFonts w:hint="eastAsia" w:ascii="宋体" w:hAnsi="宋体" w:cs="宋体"/>
          <w:color w:val="auto"/>
          <w:sz w:val="24"/>
        </w:rPr>
      </w:pPr>
      <w:r>
        <w:rPr>
          <w:rFonts w:hint="eastAsia" w:ascii="宋体" w:hAnsi="宋体" w:cs="宋体"/>
          <w:color w:val="auto"/>
          <w:sz w:val="24"/>
        </w:rPr>
        <w:t xml:space="preserve">⑥各变速机构轴承型号                                               </w:t>
      </w:r>
    </w:p>
    <w:p>
      <w:pPr>
        <w:spacing w:line="360" w:lineRule="auto"/>
        <w:ind w:left="360" w:hanging="360" w:hangingChars="150"/>
        <w:rPr>
          <w:rFonts w:hint="eastAsia" w:ascii="宋体" w:hAnsi="宋体" w:cs="宋体"/>
          <w:color w:val="auto"/>
          <w:spacing w:val="8"/>
          <w:sz w:val="24"/>
        </w:rPr>
      </w:pPr>
      <w:r>
        <w:rPr>
          <w:rFonts w:hint="eastAsia" w:ascii="宋体" w:hAnsi="宋体" w:cs="宋体"/>
          <w:color w:val="auto"/>
          <w:sz w:val="24"/>
        </w:rPr>
        <w:t xml:space="preserve">(2) </w:t>
      </w:r>
      <w:r>
        <w:rPr>
          <w:rFonts w:hint="eastAsia" w:ascii="宋体" w:hAnsi="宋体" w:cs="宋体"/>
          <w:color w:val="auto"/>
          <w:spacing w:val="8"/>
          <w:sz w:val="24"/>
        </w:rPr>
        <w:t>机床电气使用说明书（含电气原理图、电柜接线图、机床</w:t>
      </w:r>
    </w:p>
    <w:p>
      <w:pPr>
        <w:spacing w:line="360" w:lineRule="auto"/>
        <w:ind w:left="315" w:leftChars="150" w:firstLine="128" w:firstLineChars="50"/>
        <w:rPr>
          <w:rFonts w:hint="eastAsia" w:ascii="宋体" w:hAnsi="宋体" w:cs="宋体"/>
          <w:color w:val="auto"/>
          <w:sz w:val="24"/>
        </w:rPr>
      </w:pPr>
      <w:r>
        <w:rPr>
          <w:rFonts w:hint="eastAsia" w:ascii="宋体" w:hAnsi="宋体" w:cs="宋体"/>
          <w:color w:val="auto"/>
          <w:spacing w:val="8"/>
          <w:sz w:val="24"/>
        </w:rPr>
        <w:t>布线图、PLC梯形图）                                  2</w:t>
      </w:r>
      <w:r>
        <w:rPr>
          <w:rFonts w:hint="eastAsia" w:ascii="宋体" w:hAnsi="宋体" w:cs="宋体"/>
          <w:color w:val="auto"/>
          <w:sz w:val="24"/>
        </w:rPr>
        <w:t xml:space="preserve">份    </w:t>
      </w:r>
    </w:p>
    <w:p>
      <w:pPr>
        <w:spacing w:line="360" w:lineRule="auto"/>
        <w:ind w:left="360" w:hanging="360" w:hangingChars="15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bCs/>
          <w:color w:val="auto"/>
          <w:sz w:val="24"/>
        </w:rPr>
        <w:t xml:space="preserve">数控系统的标准、选择功能及安装调试手册，                   </w:t>
      </w:r>
      <w:r>
        <w:rPr>
          <w:rFonts w:hint="eastAsia" w:ascii="宋体" w:hAnsi="宋体" w:cs="宋体"/>
          <w:color w:val="auto"/>
          <w:sz w:val="24"/>
        </w:rPr>
        <w:t>2份</w:t>
      </w:r>
    </w:p>
    <w:p>
      <w:pPr>
        <w:spacing w:line="360" w:lineRule="auto"/>
        <w:ind w:left="360" w:hanging="360" w:hangingChars="150"/>
        <w:rPr>
          <w:rFonts w:hint="eastAsia" w:ascii="宋体" w:hAnsi="宋体" w:cs="宋体"/>
          <w:color w:val="auto"/>
          <w:sz w:val="24"/>
        </w:rPr>
      </w:pPr>
      <w:r>
        <w:rPr>
          <w:rFonts w:hint="eastAsia" w:ascii="宋体" w:hAnsi="宋体" w:cs="宋体"/>
          <w:color w:val="auto"/>
          <w:sz w:val="24"/>
        </w:rPr>
        <w:t>(4) 中文手册：操作指南，编程说明，诊断说明,高级编程手册        2份</w:t>
      </w:r>
    </w:p>
    <w:p>
      <w:pPr>
        <w:spacing w:line="360" w:lineRule="auto"/>
        <w:ind w:left="360" w:hanging="360" w:hangingChars="150"/>
        <w:rPr>
          <w:rFonts w:hint="eastAsia" w:ascii="宋体" w:hAnsi="宋体" w:cs="宋体"/>
          <w:color w:val="auto"/>
          <w:sz w:val="24"/>
        </w:rPr>
      </w:pPr>
      <w:r>
        <w:rPr>
          <w:rFonts w:hint="eastAsia" w:ascii="宋体" w:hAnsi="宋体" w:cs="宋体"/>
          <w:color w:val="auto"/>
          <w:sz w:val="24"/>
        </w:rPr>
        <w:t>(5) 机床安装说明书                                             2份</w:t>
      </w:r>
    </w:p>
    <w:p>
      <w:pPr>
        <w:spacing w:line="360" w:lineRule="auto"/>
        <w:ind w:left="360" w:hanging="360" w:hangingChars="150"/>
        <w:rPr>
          <w:rFonts w:hint="eastAsia" w:ascii="宋体" w:hAnsi="宋体" w:cs="宋体"/>
          <w:color w:val="auto"/>
          <w:sz w:val="24"/>
        </w:rPr>
      </w:pPr>
      <w:r>
        <w:rPr>
          <w:rFonts w:hint="eastAsia" w:ascii="宋体" w:hAnsi="宋体" w:cs="宋体"/>
          <w:color w:val="auto"/>
          <w:sz w:val="24"/>
        </w:rPr>
        <w:t>(6) 机床外购配套部件使用说明书和合格证（原件）。                1份</w:t>
      </w:r>
    </w:p>
    <w:p>
      <w:pPr>
        <w:pStyle w:val="15"/>
        <w:tabs>
          <w:tab w:val="left" w:pos="420"/>
        </w:tabs>
        <w:spacing w:line="360" w:lineRule="auto"/>
        <w:ind w:left="360" w:hanging="360" w:hangingChars="150"/>
        <w:jc w:val="left"/>
        <w:rPr>
          <w:rFonts w:hint="eastAsia" w:hAnsi="宋体" w:eastAsia="宋体" w:cs="宋体"/>
          <w:color w:val="auto"/>
          <w:sz w:val="24"/>
          <w:szCs w:val="24"/>
        </w:rPr>
      </w:pPr>
      <w:r>
        <w:rPr>
          <w:rFonts w:hint="eastAsia" w:hAnsi="宋体" w:eastAsia="宋体" w:cs="宋体"/>
          <w:color w:val="auto"/>
          <w:sz w:val="24"/>
          <w:szCs w:val="24"/>
        </w:rPr>
        <w:t>(7) 机床合格证明书，机床精度检验单                             1份</w:t>
      </w:r>
    </w:p>
    <w:p>
      <w:pPr>
        <w:spacing w:line="360" w:lineRule="auto"/>
        <w:rPr>
          <w:rFonts w:hint="eastAsia" w:ascii="宋体" w:hAnsi="宋体" w:cs="宋体"/>
          <w:color w:val="auto"/>
          <w:spacing w:val="20"/>
          <w:sz w:val="24"/>
        </w:rPr>
      </w:pPr>
      <w:r>
        <w:rPr>
          <w:rFonts w:hint="eastAsia" w:ascii="宋体" w:hAnsi="宋体" w:cs="宋体"/>
          <w:color w:val="auto"/>
          <w:sz w:val="24"/>
          <w:szCs w:val="24"/>
        </w:rPr>
        <w:t>(8) 装箱清单                                                   1份</w:t>
      </w:r>
    </w:p>
    <w:p>
      <w:pPr>
        <w:tabs>
          <w:tab w:val="left" w:pos="3288"/>
        </w:tabs>
        <w:spacing w:line="360" w:lineRule="auto"/>
        <w:rPr>
          <w:rFonts w:hint="eastAsia" w:ascii="宋体" w:hAnsi="宋体" w:cs="宋体"/>
          <w:b/>
          <w:color w:val="auto"/>
          <w:spacing w:val="20"/>
          <w:sz w:val="28"/>
          <w:szCs w:val="28"/>
        </w:rPr>
      </w:pPr>
      <w:r>
        <w:rPr>
          <w:rFonts w:hint="eastAsia" w:ascii="宋体" w:hAnsi="宋体" w:cs="宋体"/>
          <w:b/>
          <w:color w:val="auto"/>
          <w:spacing w:val="20"/>
          <w:sz w:val="28"/>
          <w:szCs w:val="28"/>
        </w:rPr>
        <w:br w:type="page"/>
      </w:r>
    </w:p>
    <w:p>
      <w:pPr>
        <w:tabs>
          <w:tab w:val="left" w:pos="3288"/>
        </w:tabs>
        <w:spacing w:line="360" w:lineRule="auto"/>
        <w:rPr>
          <w:rFonts w:hint="eastAsia" w:ascii="宋体" w:hAnsi="宋体" w:cs="宋体"/>
          <w:b/>
          <w:color w:val="auto"/>
          <w:sz w:val="28"/>
          <w:szCs w:val="28"/>
        </w:rPr>
      </w:pPr>
      <w:r>
        <w:rPr>
          <w:rFonts w:hint="eastAsia" w:ascii="宋体" w:hAnsi="宋体" w:cs="宋体"/>
          <w:b/>
          <w:color w:val="auto"/>
          <w:spacing w:val="20"/>
          <w:sz w:val="28"/>
          <w:szCs w:val="28"/>
        </w:rPr>
        <w:t>1</w:t>
      </w:r>
      <w:r>
        <w:rPr>
          <w:rFonts w:hint="eastAsia" w:ascii="宋体" w:hAnsi="宋体" w:cs="宋体"/>
          <w:b/>
          <w:color w:val="auto"/>
          <w:spacing w:val="20"/>
          <w:sz w:val="28"/>
          <w:szCs w:val="28"/>
          <w:lang w:val="en-US" w:eastAsia="zh-CN"/>
        </w:rPr>
        <w:t>2</w:t>
      </w:r>
      <w:r>
        <w:rPr>
          <w:rFonts w:hint="eastAsia" w:ascii="宋体" w:hAnsi="宋体" w:cs="宋体"/>
          <w:b/>
          <w:color w:val="auto"/>
          <w:spacing w:val="20"/>
          <w:sz w:val="28"/>
          <w:szCs w:val="28"/>
        </w:rPr>
        <w:t xml:space="preserve">  </w:t>
      </w:r>
      <w:r>
        <w:rPr>
          <w:rFonts w:hint="eastAsia" w:ascii="宋体" w:hAnsi="宋体" w:cs="宋体"/>
          <w:b/>
          <w:color w:val="auto"/>
          <w:sz w:val="28"/>
          <w:szCs w:val="28"/>
        </w:rPr>
        <w:t>安装，调试：</w:t>
      </w:r>
    </w:p>
    <w:p>
      <w:pPr>
        <w:tabs>
          <w:tab w:val="left" w:pos="3288"/>
        </w:tabs>
        <w:spacing w:line="360" w:lineRule="auto"/>
        <w:ind w:firstLine="480" w:firstLineChars="200"/>
        <w:rPr>
          <w:rFonts w:hint="eastAsia" w:ascii="宋体" w:hAnsi="宋体" w:cs="宋体"/>
          <w:color w:val="auto"/>
          <w:sz w:val="24"/>
        </w:rPr>
      </w:pPr>
      <w:r>
        <w:rPr>
          <w:rFonts w:hint="eastAsia" w:ascii="宋体" w:hAnsi="宋体" w:cs="宋体"/>
          <w:color w:val="auto"/>
          <w:sz w:val="24"/>
        </w:rPr>
        <w:t>（1）中标方在设备交付前一个月，向招标方提供一份“现场安装、调试应具备的条”传真件，以便中标方到场后能顺利安装调试。</w:t>
      </w:r>
    </w:p>
    <w:p>
      <w:pPr>
        <w:tabs>
          <w:tab w:val="left" w:pos="3288"/>
        </w:tabs>
        <w:spacing w:line="360" w:lineRule="auto"/>
        <w:ind w:firstLine="480" w:firstLineChars="200"/>
        <w:rPr>
          <w:rFonts w:hint="eastAsia" w:ascii="宋体" w:hAnsi="宋体" w:cs="宋体"/>
          <w:color w:val="auto"/>
          <w:sz w:val="24"/>
        </w:rPr>
      </w:pPr>
      <w:r>
        <w:rPr>
          <w:rFonts w:hint="eastAsia" w:ascii="宋体" w:hAnsi="宋体" w:cs="宋体"/>
          <w:color w:val="auto"/>
          <w:sz w:val="24"/>
        </w:rPr>
        <w:t>（2）作业安全</w:t>
      </w:r>
    </w:p>
    <w:p>
      <w:pPr>
        <w:widowControl/>
        <w:numPr>
          <w:ilvl w:val="0"/>
          <w:numId w:val="0"/>
        </w:numPr>
        <w:adjustRightInd/>
        <w:snapToGrid/>
        <w:spacing w:line="240" w:lineRule="auto"/>
        <w:ind w:firstLine="420"/>
        <w:jc w:val="left"/>
        <w:outlineLvl w:val="9"/>
        <w:rPr>
          <w:rFonts w:hint="eastAsia" w:ascii="宋体" w:hAnsi="宋体" w:cs="宋体"/>
          <w:color w:val="auto"/>
          <w:sz w:val="24"/>
        </w:rPr>
      </w:pPr>
      <w:r>
        <w:rPr>
          <w:rFonts w:hint="eastAsia" w:ascii="宋体" w:hAnsi="宋体" w:cs="宋体"/>
          <w:color w:val="auto"/>
          <w:sz w:val="24"/>
        </w:rPr>
        <w:t>中标方在招标方安装、调试等作业过程中，必须遵守安全操作规程，必须穿戴劳动保护用品，不得违章操作。在作业过程中，必须事先认真检查，确保人身和设备安全，如有出现安全事故，应由中标方负责。</w:t>
      </w:r>
    </w:p>
    <w:p>
      <w:pPr>
        <w:widowControl/>
        <w:numPr>
          <w:ilvl w:val="0"/>
          <w:numId w:val="0"/>
        </w:numPr>
        <w:adjustRightInd/>
        <w:snapToGrid/>
        <w:spacing w:line="240" w:lineRule="auto"/>
        <w:ind w:firstLine="420"/>
        <w:jc w:val="left"/>
        <w:outlineLvl w:val="9"/>
        <w:rPr>
          <w:rFonts w:hint="eastAsia" w:ascii="宋体" w:hAnsi="宋体" w:cs="宋体"/>
          <w:color w:val="auto"/>
          <w:sz w:val="24"/>
          <w:lang w:val="en-US" w:eastAsia="zh-CN"/>
        </w:rPr>
      </w:pPr>
    </w:p>
    <w:p>
      <w:pPr>
        <w:spacing w:line="360" w:lineRule="auto"/>
        <w:rPr>
          <w:rFonts w:hint="eastAsia" w:ascii="宋体" w:hAnsi="宋体" w:cs="宋体"/>
          <w:b/>
          <w:color w:val="auto"/>
          <w:kern w:val="0"/>
          <w:sz w:val="28"/>
          <w:szCs w:val="28"/>
        </w:rPr>
      </w:pPr>
      <w:r>
        <w:rPr>
          <w:rFonts w:hint="eastAsia" w:ascii="宋体" w:hAnsi="宋体" w:cs="宋体"/>
          <w:b/>
          <w:color w:val="auto"/>
          <w:spacing w:val="20"/>
          <w:sz w:val="28"/>
          <w:szCs w:val="28"/>
        </w:rPr>
        <w:t>1</w:t>
      </w:r>
      <w:r>
        <w:rPr>
          <w:rFonts w:hint="eastAsia" w:ascii="宋体" w:hAnsi="宋体" w:cs="宋体"/>
          <w:b/>
          <w:color w:val="auto"/>
          <w:spacing w:val="20"/>
          <w:sz w:val="28"/>
          <w:szCs w:val="28"/>
          <w:lang w:val="en-US" w:eastAsia="zh-CN"/>
        </w:rPr>
        <w:t>3 需</w:t>
      </w:r>
      <w:r>
        <w:rPr>
          <w:rFonts w:hint="eastAsia" w:ascii="宋体" w:hAnsi="宋体" w:cs="宋体"/>
          <w:b/>
          <w:color w:val="auto"/>
          <w:kern w:val="0"/>
          <w:sz w:val="28"/>
          <w:szCs w:val="28"/>
        </w:rPr>
        <w:t>提供双柱立式车床部件（零件）装配精度技术要求</w:t>
      </w:r>
    </w:p>
    <w:tbl>
      <w:tblPr>
        <w:tblStyle w:val="28"/>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64"/>
        <w:gridCol w:w="3774"/>
        <w:gridCol w:w="1938"/>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682" w:type="dxa"/>
            <w:gridSpan w:val="2"/>
            <w:vMerge w:val="restart"/>
            <w:noWrap w:val="0"/>
            <w:vAlign w:val="center"/>
          </w:tcPr>
          <w:p>
            <w:pPr>
              <w:ind w:firstLine="120" w:firstLineChars="50"/>
              <w:jc w:val="center"/>
              <w:rPr>
                <w:rFonts w:hint="eastAsia" w:ascii="宋体" w:hAnsi="宋体" w:eastAsia="宋体" w:cs="宋体"/>
                <w:color w:val="auto"/>
                <w:sz w:val="24"/>
              </w:rPr>
            </w:pPr>
          </w:p>
        </w:tc>
        <w:tc>
          <w:tcPr>
            <w:tcW w:w="3774" w:type="dxa"/>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双柱立式车床</w:t>
            </w:r>
          </w:p>
        </w:tc>
        <w:tc>
          <w:tcPr>
            <w:tcW w:w="3190" w:type="dxa"/>
            <w:gridSpan w:val="2"/>
            <w:noWrap w:val="0"/>
            <w:vAlign w:val="center"/>
          </w:tcPr>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第1页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682" w:type="dxa"/>
            <w:gridSpan w:val="2"/>
            <w:vMerge w:val="continue"/>
            <w:noWrap w:val="0"/>
            <w:vAlign w:val="top"/>
          </w:tcPr>
          <w:p>
            <w:pPr>
              <w:rPr>
                <w:rFonts w:hint="eastAsia" w:ascii="宋体" w:hAnsi="宋体" w:eastAsia="宋体" w:cs="宋体"/>
                <w:color w:val="auto"/>
                <w:sz w:val="32"/>
                <w:szCs w:val="32"/>
              </w:rPr>
            </w:pPr>
          </w:p>
        </w:tc>
        <w:tc>
          <w:tcPr>
            <w:tcW w:w="3774" w:type="dxa"/>
            <w:noWrap w:val="0"/>
            <w:vAlign w:val="top"/>
          </w:tcPr>
          <w:p>
            <w:pPr>
              <w:ind w:firstLine="472" w:firstLineChars="147"/>
              <w:rPr>
                <w:rFonts w:hint="eastAsia" w:ascii="宋体" w:hAnsi="宋体" w:eastAsia="宋体" w:cs="宋体"/>
                <w:b/>
                <w:color w:val="auto"/>
                <w:sz w:val="32"/>
                <w:szCs w:val="32"/>
              </w:rPr>
            </w:pPr>
            <w:r>
              <w:rPr>
                <w:rFonts w:hint="eastAsia" w:ascii="宋体" w:hAnsi="宋体" w:eastAsia="宋体" w:cs="宋体"/>
                <w:b/>
                <w:color w:val="auto"/>
                <w:sz w:val="32"/>
                <w:szCs w:val="32"/>
              </w:rPr>
              <w:t>精 度 检 验 报 告</w:t>
            </w:r>
          </w:p>
        </w:tc>
        <w:tc>
          <w:tcPr>
            <w:tcW w:w="3190" w:type="dxa"/>
            <w:gridSpan w:val="2"/>
            <w:noWrap w:val="0"/>
            <w:vAlign w:val="center"/>
          </w:tcPr>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共3页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18" w:type="dxa"/>
            <w:vMerge w:val="restart"/>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964" w:type="dxa"/>
            <w:vMerge w:val="restart"/>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检验项目</w:t>
            </w:r>
          </w:p>
        </w:tc>
        <w:tc>
          <w:tcPr>
            <w:tcW w:w="3774" w:type="dxa"/>
            <w:vMerge w:val="restart"/>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检验示图</w:t>
            </w:r>
          </w:p>
        </w:tc>
        <w:tc>
          <w:tcPr>
            <w:tcW w:w="3190" w:type="dxa"/>
            <w:gridSpan w:val="2"/>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精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18" w:type="dxa"/>
            <w:vMerge w:val="continue"/>
            <w:noWrap w:val="0"/>
            <w:vAlign w:val="top"/>
          </w:tcPr>
          <w:p>
            <w:pPr>
              <w:rPr>
                <w:rFonts w:hint="eastAsia" w:ascii="宋体" w:hAnsi="宋体" w:eastAsia="宋体" w:cs="宋体"/>
                <w:color w:val="auto"/>
                <w:sz w:val="32"/>
                <w:szCs w:val="32"/>
              </w:rPr>
            </w:pPr>
          </w:p>
        </w:tc>
        <w:tc>
          <w:tcPr>
            <w:tcW w:w="1964" w:type="dxa"/>
            <w:vMerge w:val="continue"/>
            <w:noWrap w:val="0"/>
            <w:vAlign w:val="top"/>
          </w:tcPr>
          <w:p>
            <w:pPr>
              <w:rPr>
                <w:rFonts w:hint="eastAsia" w:ascii="宋体" w:hAnsi="宋体" w:eastAsia="宋体" w:cs="宋体"/>
                <w:color w:val="auto"/>
                <w:sz w:val="32"/>
                <w:szCs w:val="32"/>
              </w:rPr>
            </w:pPr>
          </w:p>
        </w:tc>
        <w:tc>
          <w:tcPr>
            <w:tcW w:w="3774" w:type="dxa"/>
            <w:vMerge w:val="continue"/>
            <w:noWrap w:val="0"/>
            <w:vAlign w:val="top"/>
          </w:tcPr>
          <w:p>
            <w:pPr>
              <w:rPr>
                <w:rFonts w:hint="eastAsia" w:ascii="宋体" w:hAnsi="宋体" w:eastAsia="宋体" w:cs="宋体"/>
                <w:color w:val="auto"/>
                <w:sz w:val="28"/>
                <w:szCs w:val="28"/>
              </w:rPr>
            </w:pPr>
          </w:p>
        </w:tc>
        <w:tc>
          <w:tcPr>
            <w:tcW w:w="1938"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4"/>
              </w:rPr>
              <w:t>国标</w:t>
            </w:r>
          </w:p>
        </w:tc>
        <w:tc>
          <w:tcPr>
            <w:tcW w:w="1252"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0" w:hRule="atLeast"/>
        </w:trPr>
        <w:tc>
          <w:tcPr>
            <w:tcW w:w="718" w:type="dxa"/>
            <w:noWrap w:val="0"/>
            <w:vAlign w:val="center"/>
          </w:tcPr>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1</w:t>
            </w:r>
          </w:p>
        </w:tc>
        <w:tc>
          <w:tcPr>
            <w:tcW w:w="1964" w:type="dxa"/>
            <w:noWrap w:val="0"/>
            <w:vAlign w:val="top"/>
          </w:tcPr>
          <w:p>
            <w:pPr>
              <w:widowControl/>
              <w:ind w:firstLine="420" w:firstLineChars="150"/>
              <w:jc w:val="left"/>
              <w:rPr>
                <w:rFonts w:hint="eastAsia" w:ascii="宋体" w:hAnsi="宋体" w:eastAsia="宋体" w:cs="宋体"/>
                <w:color w:val="auto"/>
                <w:sz w:val="28"/>
                <w:szCs w:val="28"/>
              </w:rPr>
            </w:pPr>
          </w:p>
          <w:p>
            <w:pPr>
              <w:widowControl/>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立柱导轨对底座导轨的不垂直度：</w:t>
            </w:r>
          </w:p>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b/>
                <w:color w:val="auto"/>
                <w:sz w:val="28"/>
                <w:szCs w:val="28"/>
              </w:rPr>
              <w:t xml:space="preserve">a </w:t>
            </w:r>
            <w:r>
              <w:rPr>
                <w:rFonts w:hint="eastAsia" w:ascii="宋体" w:hAnsi="宋体" w:eastAsia="宋体" w:cs="宋体"/>
                <w:color w:val="auto"/>
                <w:sz w:val="24"/>
              </w:rPr>
              <w:t xml:space="preserve"> 在平行于立柱正导轨的平面内。</w:t>
            </w:r>
          </w:p>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b/>
                <w:color w:val="auto"/>
                <w:sz w:val="28"/>
                <w:szCs w:val="28"/>
              </w:rPr>
              <w:t>b</w:t>
            </w:r>
            <w:r>
              <w:rPr>
                <w:rFonts w:hint="eastAsia" w:ascii="宋体" w:hAnsi="宋体" w:eastAsia="宋体" w:cs="宋体"/>
                <w:color w:val="auto"/>
                <w:sz w:val="24"/>
              </w:rPr>
              <w:t xml:space="preserve">  在垂直于立柱正导轨的平面内。</w:t>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tc>
        <w:tc>
          <w:tcPr>
            <w:tcW w:w="3774" w:type="dxa"/>
            <w:noWrap w:val="0"/>
            <w:vAlign w:val="top"/>
          </w:tcPr>
          <w:p>
            <w:pPr>
              <w:widowControl/>
              <w:ind w:left="160" w:hanging="160" w:hangingChars="50"/>
              <w:jc w:val="left"/>
              <w:rPr>
                <w:rFonts w:hint="eastAsia" w:ascii="宋体" w:hAnsi="宋体" w:cs="宋体"/>
                <w:color w:val="auto"/>
              </w:rPr>
            </w:pPr>
            <w:r>
              <w:rPr>
                <w:rFonts w:hint="eastAsia" w:ascii="宋体" w:hAnsi="宋体" w:cs="宋体"/>
                <w:color w:val="auto"/>
                <w:sz w:val="32"/>
                <w:szCs w:val="32"/>
              </w:rPr>
              <w:t xml:space="preserve">          </w:t>
            </w:r>
          </w:p>
          <w:p>
            <w:pPr>
              <w:widowControl/>
              <w:ind w:left="105" w:leftChars="50" w:firstLine="105" w:firstLineChars="50"/>
              <w:jc w:val="left"/>
              <w:rPr>
                <w:rFonts w:hint="eastAsia" w:ascii="宋体" w:hAnsi="宋体" w:cs="宋体"/>
                <w:color w:val="auto"/>
                <w:sz w:val="32"/>
                <w:szCs w:val="32"/>
              </w:rPr>
            </w:pPr>
            <w:r>
              <w:rPr>
                <w:rFonts w:hint="eastAsia" w:ascii="宋体" w:hAnsi="宋体" w:cs="宋体"/>
                <w:color w:val="auto"/>
              </w:rPr>
              <w:drawing>
                <wp:inline distT="0" distB="0" distL="114300" distR="114300">
                  <wp:extent cx="1638935" cy="4810125"/>
                  <wp:effectExtent l="0" t="0" r="1841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1638935" cy="4810125"/>
                          </a:xfrm>
                          <a:prstGeom prst="rect">
                            <a:avLst/>
                          </a:prstGeom>
                          <a:noFill/>
                          <a:ln>
                            <a:noFill/>
                          </a:ln>
                        </pic:spPr>
                      </pic:pic>
                    </a:graphicData>
                  </a:graphic>
                </wp:inline>
              </w:drawing>
            </w:r>
          </w:p>
        </w:tc>
        <w:tc>
          <w:tcPr>
            <w:tcW w:w="1938" w:type="dxa"/>
            <w:noWrap w:val="0"/>
            <w:vAlign w:val="top"/>
          </w:tcPr>
          <w:p>
            <w:pPr>
              <w:widowControl/>
              <w:jc w:val="left"/>
              <w:rPr>
                <w:rFonts w:hint="eastAsia" w:ascii="宋体" w:hAnsi="宋体" w:cs="宋体"/>
                <w:b/>
                <w:color w:val="auto"/>
                <w:sz w:val="24"/>
              </w:rPr>
            </w:pPr>
          </w:p>
          <w:p>
            <w:pPr>
              <w:widowControl/>
              <w:jc w:val="left"/>
              <w:rPr>
                <w:rFonts w:hint="eastAsia" w:ascii="宋体" w:hAnsi="宋体" w:cs="宋体"/>
                <w:b/>
                <w:color w:val="auto"/>
                <w:sz w:val="24"/>
              </w:rPr>
            </w:pPr>
          </w:p>
          <w:p>
            <w:pPr>
              <w:widowControl/>
              <w:jc w:val="left"/>
              <w:rPr>
                <w:rFonts w:hint="eastAsia" w:ascii="宋体" w:hAnsi="宋体" w:cs="宋体"/>
                <w:b/>
                <w:color w:val="auto"/>
                <w:sz w:val="24"/>
              </w:rPr>
            </w:pPr>
          </w:p>
          <w:p>
            <w:pPr>
              <w:widowControl/>
              <w:jc w:val="left"/>
              <w:rPr>
                <w:rFonts w:hint="eastAsia" w:ascii="宋体" w:hAnsi="宋体" w:cs="宋体"/>
                <w:b/>
                <w:color w:val="auto"/>
                <w:sz w:val="24"/>
              </w:rPr>
            </w:pPr>
          </w:p>
          <w:p>
            <w:pPr>
              <w:widowControl/>
              <w:jc w:val="left"/>
              <w:rPr>
                <w:rFonts w:hint="eastAsia" w:ascii="宋体" w:hAnsi="宋体" w:cs="宋体"/>
                <w:b/>
                <w:color w:val="auto"/>
                <w:sz w:val="32"/>
                <w:szCs w:val="32"/>
              </w:rPr>
            </w:pPr>
            <w:r>
              <w:rPr>
                <w:rFonts w:hint="eastAsia" w:ascii="宋体" w:hAnsi="宋体" w:cs="宋体"/>
                <w:b/>
                <w:color w:val="auto"/>
                <w:sz w:val="28"/>
                <w:szCs w:val="28"/>
              </w:rPr>
              <w:t>a</w:t>
            </w:r>
            <w:r>
              <w:rPr>
                <w:rFonts w:hint="eastAsia" w:ascii="宋体" w:hAnsi="宋体" w:cs="宋体"/>
                <w:b/>
                <w:color w:val="auto"/>
                <w:sz w:val="32"/>
                <w:szCs w:val="32"/>
              </w:rPr>
              <w:t>：</w:t>
            </w:r>
          </w:p>
          <w:p>
            <w:pPr>
              <w:widowControl/>
              <w:ind w:firstLine="236" w:firstLineChars="98"/>
              <w:jc w:val="left"/>
              <w:rPr>
                <w:rFonts w:hint="eastAsia" w:ascii="宋体" w:hAnsi="宋体" w:cs="宋体"/>
                <w:b/>
                <w:color w:val="auto"/>
                <w:sz w:val="24"/>
              </w:rPr>
            </w:pPr>
            <w:r>
              <w:rPr>
                <w:rFonts w:hint="eastAsia" w:ascii="宋体" w:hAnsi="宋体" w:cs="宋体"/>
                <w:b/>
                <w:color w:val="auto"/>
                <w:sz w:val="24"/>
              </w:rPr>
              <w:t>0.02/1000</w:t>
            </w:r>
          </w:p>
          <w:p>
            <w:pPr>
              <w:widowControl/>
              <w:jc w:val="left"/>
              <w:rPr>
                <w:rFonts w:hint="eastAsia" w:ascii="宋体" w:hAnsi="宋体" w:cs="宋体"/>
                <w:b/>
                <w:color w:val="auto"/>
                <w:sz w:val="24"/>
              </w:rPr>
            </w:pPr>
          </w:p>
          <w:p>
            <w:pPr>
              <w:widowControl/>
              <w:jc w:val="left"/>
              <w:rPr>
                <w:rFonts w:hint="eastAsia" w:ascii="宋体" w:hAnsi="宋体" w:cs="宋体"/>
                <w:b/>
                <w:color w:val="auto"/>
                <w:sz w:val="24"/>
              </w:rPr>
            </w:pPr>
          </w:p>
          <w:p>
            <w:pPr>
              <w:widowControl/>
              <w:jc w:val="left"/>
              <w:rPr>
                <w:rFonts w:hint="eastAsia" w:ascii="宋体" w:hAnsi="宋体" w:cs="宋体"/>
                <w:b/>
                <w:color w:val="auto"/>
                <w:sz w:val="24"/>
              </w:rPr>
            </w:pPr>
          </w:p>
          <w:p>
            <w:pPr>
              <w:widowControl/>
              <w:jc w:val="left"/>
              <w:rPr>
                <w:rFonts w:hint="eastAsia" w:ascii="宋体" w:hAnsi="宋体" w:cs="宋体"/>
                <w:b/>
                <w:color w:val="auto"/>
                <w:sz w:val="24"/>
              </w:rPr>
            </w:pPr>
          </w:p>
          <w:p>
            <w:pPr>
              <w:widowControl/>
              <w:jc w:val="left"/>
              <w:rPr>
                <w:rFonts w:hint="eastAsia" w:ascii="宋体" w:hAnsi="宋体" w:cs="宋体"/>
                <w:b/>
                <w:color w:val="auto"/>
                <w:sz w:val="24"/>
              </w:rPr>
            </w:pPr>
          </w:p>
          <w:p>
            <w:pPr>
              <w:widowControl/>
              <w:jc w:val="left"/>
              <w:rPr>
                <w:rFonts w:hint="eastAsia" w:ascii="宋体" w:hAnsi="宋体" w:cs="宋体"/>
                <w:b/>
                <w:color w:val="auto"/>
                <w:sz w:val="24"/>
              </w:rPr>
            </w:pPr>
          </w:p>
          <w:p>
            <w:pPr>
              <w:widowControl/>
              <w:jc w:val="left"/>
              <w:rPr>
                <w:rFonts w:hint="eastAsia" w:ascii="宋体" w:hAnsi="宋体" w:cs="宋体"/>
                <w:b/>
                <w:color w:val="auto"/>
                <w:sz w:val="24"/>
              </w:rPr>
            </w:pPr>
          </w:p>
          <w:p>
            <w:pPr>
              <w:widowControl/>
              <w:jc w:val="left"/>
              <w:rPr>
                <w:rFonts w:hint="eastAsia" w:ascii="宋体" w:hAnsi="宋体" w:cs="宋体"/>
                <w:b/>
                <w:color w:val="auto"/>
                <w:sz w:val="32"/>
                <w:szCs w:val="32"/>
              </w:rPr>
            </w:pPr>
            <w:r>
              <w:rPr>
                <w:rFonts w:hint="eastAsia" w:ascii="宋体" w:hAnsi="宋体" w:cs="宋体"/>
                <w:b/>
                <w:color w:val="auto"/>
                <w:sz w:val="28"/>
                <w:szCs w:val="28"/>
              </w:rPr>
              <w:t>b</w:t>
            </w:r>
            <w:r>
              <w:rPr>
                <w:rFonts w:hint="eastAsia" w:ascii="宋体" w:hAnsi="宋体" w:cs="宋体"/>
                <w:b/>
                <w:color w:val="auto"/>
                <w:sz w:val="32"/>
                <w:szCs w:val="32"/>
              </w:rPr>
              <w:t>：</w:t>
            </w:r>
          </w:p>
          <w:p>
            <w:pPr>
              <w:widowControl/>
              <w:ind w:firstLine="236" w:firstLineChars="98"/>
              <w:jc w:val="left"/>
              <w:rPr>
                <w:rFonts w:hint="eastAsia" w:ascii="宋体" w:hAnsi="宋体" w:cs="宋体"/>
                <w:b/>
                <w:color w:val="auto"/>
                <w:sz w:val="24"/>
              </w:rPr>
            </w:pPr>
            <w:r>
              <w:rPr>
                <w:rFonts w:hint="eastAsia" w:ascii="宋体" w:hAnsi="宋体" w:cs="宋体"/>
                <w:b/>
                <w:color w:val="auto"/>
                <w:sz w:val="24"/>
              </w:rPr>
              <w:t>0.02/1000</w:t>
            </w:r>
          </w:p>
          <w:p>
            <w:pPr>
              <w:rPr>
                <w:rFonts w:hint="eastAsia" w:ascii="宋体" w:hAnsi="宋体" w:cs="宋体"/>
                <w:b/>
                <w:color w:val="auto"/>
                <w:sz w:val="32"/>
                <w:szCs w:val="32"/>
              </w:rPr>
            </w:pPr>
          </w:p>
        </w:tc>
        <w:tc>
          <w:tcPr>
            <w:tcW w:w="1252" w:type="dxa"/>
            <w:noWrap w:val="0"/>
            <w:vAlign w:val="top"/>
          </w:tcPr>
          <w:p>
            <w:pPr>
              <w:widowControl/>
              <w:jc w:val="left"/>
              <w:rPr>
                <w:rFonts w:hint="eastAsia" w:ascii="宋体" w:hAnsi="宋体" w:cs="宋体"/>
                <w:color w:val="auto"/>
                <w:sz w:val="32"/>
                <w:szCs w:val="32"/>
              </w:rPr>
            </w:pPr>
          </w:p>
          <w:p>
            <w:pPr>
              <w:widowControl/>
              <w:jc w:val="left"/>
              <w:rPr>
                <w:rFonts w:hint="eastAsia" w:ascii="宋体" w:hAnsi="宋体" w:cs="宋体"/>
                <w:color w:val="auto"/>
                <w:sz w:val="32"/>
                <w:szCs w:val="32"/>
              </w:rPr>
            </w:pPr>
          </w:p>
          <w:p>
            <w:pPr>
              <w:widowControl/>
              <w:jc w:val="left"/>
              <w:rPr>
                <w:rFonts w:hint="eastAsia" w:ascii="宋体" w:hAnsi="宋体" w:cs="宋体"/>
                <w:color w:val="auto"/>
                <w:sz w:val="32"/>
                <w:szCs w:val="32"/>
              </w:rPr>
            </w:pPr>
          </w:p>
          <w:p>
            <w:pPr>
              <w:rPr>
                <w:rFonts w:hint="eastAsia"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682" w:type="dxa"/>
            <w:gridSpan w:val="2"/>
            <w:vMerge w:val="restart"/>
            <w:noWrap w:val="0"/>
            <w:vAlign w:val="center"/>
          </w:tcPr>
          <w:p>
            <w:pPr>
              <w:ind w:firstLine="120" w:firstLineChars="50"/>
              <w:jc w:val="center"/>
              <w:rPr>
                <w:rFonts w:hint="eastAsia" w:ascii="宋体" w:hAnsi="宋体" w:eastAsia="宋体" w:cs="宋体"/>
                <w:color w:val="auto"/>
                <w:sz w:val="24"/>
              </w:rPr>
            </w:pPr>
          </w:p>
        </w:tc>
        <w:tc>
          <w:tcPr>
            <w:tcW w:w="3774" w:type="dxa"/>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双柱立式车床</w:t>
            </w:r>
          </w:p>
        </w:tc>
        <w:tc>
          <w:tcPr>
            <w:tcW w:w="3190" w:type="dxa"/>
            <w:gridSpan w:val="2"/>
            <w:noWrap w:val="0"/>
            <w:vAlign w:val="center"/>
          </w:tcPr>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第2页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682" w:type="dxa"/>
            <w:gridSpan w:val="2"/>
            <w:vMerge w:val="continue"/>
            <w:noWrap w:val="0"/>
            <w:vAlign w:val="top"/>
          </w:tcPr>
          <w:p>
            <w:pPr>
              <w:rPr>
                <w:rFonts w:hint="eastAsia" w:ascii="宋体" w:hAnsi="宋体" w:eastAsia="宋体" w:cs="宋体"/>
                <w:color w:val="auto"/>
                <w:sz w:val="32"/>
                <w:szCs w:val="32"/>
              </w:rPr>
            </w:pPr>
          </w:p>
        </w:tc>
        <w:tc>
          <w:tcPr>
            <w:tcW w:w="3774" w:type="dxa"/>
            <w:noWrap w:val="0"/>
            <w:vAlign w:val="top"/>
          </w:tcPr>
          <w:p>
            <w:pPr>
              <w:ind w:firstLine="472" w:firstLineChars="147"/>
              <w:rPr>
                <w:rFonts w:hint="eastAsia" w:ascii="宋体" w:hAnsi="宋体" w:eastAsia="宋体" w:cs="宋体"/>
                <w:b/>
                <w:color w:val="auto"/>
                <w:sz w:val="32"/>
                <w:szCs w:val="32"/>
              </w:rPr>
            </w:pPr>
            <w:r>
              <w:rPr>
                <w:rFonts w:hint="eastAsia" w:ascii="宋体" w:hAnsi="宋体" w:eastAsia="宋体" w:cs="宋体"/>
                <w:b/>
                <w:color w:val="auto"/>
                <w:sz w:val="32"/>
                <w:szCs w:val="32"/>
              </w:rPr>
              <w:t>精 度 检 验 报 告</w:t>
            </w:r>
          </w:p>
        </w:tc>
        <w:tc>
          <w:tcPr>
            <w:tcW w:w="3190" w:type="dxa"/>
            <w:gridSpan w:val="2"/>
            <w:noWrap w:val="0"/>
            <w:vAlign w:val="center"/>
          </w:tcPr>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共3页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18" w:type="dxa"/>
            <w:vMerge w:val="restart"/>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964" w:type="dxa"/>
            <w:vMerge w:val="restart"/>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检验项目</w:t>
            </w:r>
          </w:p>
        </w:tc>
        <w:tc>
          <w:tcPr>
            <w:tcW w:w="3774" w:type="dxa"/>
            <w:vMerge w:val="restart"/>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检验示图</w:t>
            </w:r>
          </w:p>
        </w:tc>
        <w:tc>
          <w:tcPr>
            <w:tcW w:w="3190" w:type="dxa"/>
            <w:gridSpan w:val="2"/>
            <w:noWrap w:val="0"/>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     精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18" w:type="dxa"/>
            <w:vMerge w:val="continue"/>
            <w:noWrap w:val="0"/>
            <w:vAlign w:val="top"/>
          </w:tcPr>
          <w:p>
            <w:pPr>
              <w:rPr>
                <w:rFonts w:hint="eastAsia" w:ascii="宋体" w:hAnsi="宋体" w:eastAsia="宋体" w:cs="宋体"/>
                <w:color w:val="auto"/>
                <w:sz w:val="28"/>
                <w:szCs w:val="28"/>
              </w:rPr>
            </w:pPr>
          </w:p>
        </w:tc>
        <w:tc>
          <w:tcPr>
            <w:tcW w:w="1964" w:type="dxa"/>
            <w:vMerge w:val="continue"/>
            <w:noWrap w:val="0"/>
            <w:vAlign w:val="top"/>
          </w:tcPr>
          <w:p>
            <w:pPr>
              <w:rPr>
                <w:rFonts w:hint="eastAsia" w:ascii="宋体" w:hAnsi="宋体" w:eastAsia="宋体" w:cs="宋体"/>
                <w:color w:val="auto"/>
                <w:sz w:val="28"/>
                <w:szCs w:val="28"/>
              </w:rPr>
            </w:pPr>
          </w:p>
        </w:tc>
        <w:tc>
          <w:tcPr>
            <w:tcW w:w="3774" w:type="dxa"/>
            <w:vMerge w:val="continue"/>
            <w:noWrap w:val="0"/>
            <w:vAlign w:val="top"/>
          </w:tcPr>
          <w:p>
            <w:pPr>
              <w:rPr>
                <w:rFonts w:hint="eastAsia" w:ascii="宋体" w:hAnsi="宋体" w:cs="宋体"/>
                <w:color w:val="auto"/>
                <w:sz w:val="28"/>
                <w:szCs w:val="28"/>
              </w:rPr>
            </w:pPr>
          </w:p>
        </w:tc>
        <w:tc>
          <w:tcPr>
            <w:tcW w:w="1938"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4"/>
              </w:rPr>
              <w:t>国标</w:t>
            </w:r>
          </w:p>
        </w:tc>
        <w:tc>
          <w:tcPr>
            <w:tcW w:w="1252"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3" w:hRule="atLeast"/>
        </w:trPr>
        <w:tc>
          <w:tcPr>
            <w:tcW w:w="718" w:type="dxa"/>
            <w:noWrap w:val="0"/>
            <w:vAlign w:val="center"/>
          </w:tcPr>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2</w:t>
            </w:r>
          </w:p>
        </w:tc>
        <w:tc>
          <w:tcPr>
            <w:tcW w:w="1964" w:type="dxa"/>
            <w:noWrap w:val="0"/>
            <w:vAlign w:val="center"/>
          </w:tcPr>
          <w:p>
            <w:pPr>
              <w:widowControl/>
              <w:ind w:firstLine="360" w:firstLineChars="150"/>
              <w:rPr>
                <w:rFonts w:hint="eastAsia" w:ascii="宋体" w:hAnsi="宋体" w:eastAsia="宋体" w:cs="宋体"/>
                <w:color w:val="auto"/>
                <w:sz w:val="24"/>
              </w:rPr>
            </w:pPr>
            <w:r>
              <w:rPr>
                <w:rFonts w:hint="eastAsia" w:ascii="宋体" w:hAnsi="宋体" w:eastAsia="宋体" w:cs="宋体"/>
                <w:color w:val="auto"/>
                <w:sz w:val="24"/>
              </w:rPr>
              <w:t>工作台面的不平度</w:t>
            </w:r>
          </w:p>
          <w:p>
            <w:pPr>
              <w:rPr>
                <w:rFonts w:hint="eastAsia" w:ascii="宋体" w:hAnsi="宋体" w:eastAsia="宋体" w:cs="宋体"/>
                <w:color w:val="auto"/>
                <w:sz w:val="28"/>
                <w:szCs w:val="28"/>
              </w:rPr>
            </w:pPr>
          </w:p>
        </w:tc>
        <w:tc>
          <w:tcPr>
            <w:tcW w:w="3774" w:type="dxa"/>
            <w:noWrap w:val="0"/>
            <w:vAlign w:val="top"/>
          </w:tcPr>
          <w:p>
            <w:pPr>
              <w:widowControl/>
              <w:ind w:firstLine="630" w:firstLineChars="300"/>
              <w:jc w:val="left"/>
              <w:rPr>
                <w:rFonts w:hint="eastAsia" w:ascii="宋体" w:hAnsi="宋体" w:cs="宋体"/>
                <w:color w:val="auto"/>
                <w:sz w:val="32"/>
                <w:szCs w:val="32"/>
              </w:rPr>
            </w:pPr>
            <w:r>
              <w:rPr>
                <w:rFonts w:hint="eastAsia" w:ascii="宋体" w:hAnsi="宋体" w:cs="宋体"/>
                <w:color w:val="auto"/>
              </w:rPr>
              <w:drawing>
                <wp:inline distT="0" distB="0" distL="114300" distR="114300">
                  <wp:extent cx="1676400" cy="2047875"/>
                  <wp:effectExtent l="0" t="0" r="0"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1676400" cy="2047875"/>
                          </a:xfrm>
                          <a:prstGeom prst="rect">
                            <a:avLst/>
                          </a:prstGeom>
                          <a:noFill/>
                          <a:ln>
                            <a:noFill/>
                          </a:ln>
                        </pic:spPr>
                      </pic:pic>
                    </a:graphicData>
                  </a:graphic>
                </wp:inline>
              </w:drawing>
            </w:r>
          </w:p>
        </w:tc>
        <w:tc>
          <w:tcPr>
            <w:tcW w:w="1938" w:type="dxa"/>
            <w:noWrap w:val="0"/>
            <w:vAlign w:val="top"/>
          </w:tcPr>
          <w:p>
            <w:pPr>
              <w:widowControl/>
              <w:jc w:val="left"/>
              <w:rPr>
                <w:rFonts w:hint="eastAsia" w:ascii="宋体" w:hAnsi="宋体" w:eastAsia="宋体" w:cs="宋体"/>
                <w:color w:val="auto"/>
                <w:szCs w:val="21"/>
              </w:rPr>
            </w:pPr>
            <w:r>
              <w:rPr>
                <w:rFonts w:hint="eastAsia" w:ascii="宋体" w:hAnsi="宋体" w:eastAsia="宋体" w:cs="宋体"/>
                <w:color w:val="auto"/>
                <w:szCs w:val="21"/>
              </w:rPr>
              <w:t xml:space="preserve">在工作台每1米直径上为：  </w:t>
            </w:r>
            <w:r>
              <w:rPr>
                <w:rFonts w:hint="eastAsia" w:ascii="宋体" w:hAnsi="宋体" w:eastAsia="宋体" w:cs="宋体"/>
                <w:b/>
                <w:color w:val="auto"/>
                <w:szCs w:val="21"/>
              </w:rPr>
              <w:t>0.02</w:t>
            </w:r>
          </w:p>
          <w:p>
            <w:pPr>
              <w:widowControl/>
              <w:jc w:val="left"/>
              <w:rPr>
                <w:rFonts w:hint="eastAsia" w:ascii="宋体" w:hAnsi="宋体" w:eastAsia="宋体" w:cs="宋体"/>
                <w:b/>
                <w:color w:val="auto"/>
                <w:szCs w:val="21"/>
              </w:rPr>
            </w:pPr>
            <w:r>
              <w:rPr>
                <w:rFonts w:hint="eastAsia" w:ascii="宋体" w:hAnsi="宋体" w:eastAsia="宋体" w:cs="宋体"/>
                <w:color w:val="auto"/>
                <w:szCs w:val="21"/>
              </w:rPr>
              <w:t xml:space="preserve">在工作台直径全长上为：       </w:t>
            </w:r>
            <w:r>
              <w:rPr>
                <w:rFonts w:hint="eastAsia" w:ascii="宋体" w:hAnsi="宋体" w:eastAsia="宋体" w:cs="宋体"/>
                <w:b/>
                <w:color w:val="auto"/>
                <w:szCs w:val="21"/>
              </w:rPr>
              <w:t>0.03</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工作台只许凹</w:t>
            </w:r>
          </w:p>
        </w:tc>
        <w:tc>
          <w:tcPr>
            <w:tcW w:w="1252" w:type="dxa"/>
            <w:noWrap w:val="0"/>
            <w:vAlign w:val="top"/>
          </w:tcPr>
          <w:p>
            <w:pPr>
              <w:rPr>
                <w:rFonts w:hint="eastAsia" w:ascii="宋体" w:hAnsi="宋体" w:eastAsia="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6" w:hRule="atLeast"/>
        </w:trPr>
        <w:tc>
          <w:tcPr>
            <w:tcW w:w="718" w:type="dxa"/>
            <w:noWrap w:val="0"/>
            <w:vAlign w:val="center"/>
          </w:tcPr>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3</w:t>
            </w:r>
          </w:p>
        </w:tc>
        <w:tc>
          <w:tcPr>
            <w:tcW w:w="1964" w:type="dxa"/>
            <w:noWrap w:val="0"/>
            <w:vAlign w:val="center"/>
          </w:tcPr>
          <w:p>
            <w:pPr>
              <w:widowControl/>
              <w:rPr>
                <w:rFonts w:hint="eastAsia" w:ascii="宋体" w:hAnsi="宋体" w:eastAsia="宋体" w:cs="宋体"/>
                <w:color w:val="auto"/>
                <w:sz w:val="24"/>
              </w:rPr>
            </w:pPr>
            <w:r>
              <w:rPr>
                <w:rFonts w:hint="eastAsia" w:ascii="宋体" w:hAnsi="宋体" w:eastAsia="宋体" w:cs="宋体"/>
                <w:color w:val="auto"/>
                <w:sz w:val="24"/>
              </w:rPr>
              <w:t xml:space="preserve"> 工作台面的端面跳动</w:t>
            </w:r>
          </w:p>
          <w:p>
            <w:pPr>
              <w:rPr>
                <w:rFonts w:hint="eastAsia" w:ascii="宋体" w:hAnsi="宋体" w:eastAsia="宋体" w:cs="宋体"/>
                <w:color w:val="auto"/>
                <w:sz w:val="28"/>
                <w:szCs w:val="28"/>
              </w:rPr>
            </w:pPr>
          </w:p>
        </w:tc>
        <w:tc>
          <w:tcPr>
            <w:tcW w:w="3774" w:type="dxa"/>
            <w:noWrap w:val="0"/>
            <w:vAlign w:val="top"/>
          </w:tcPr>
          <w:p>
            <w:pPr>
              <w:widowControl/>
              <w:ind w:firstLine="315" w:firstLineChars="150"/>
              <w:jc w:val="left"/>
              <w:rPr>
                <w:rFonts w:hint="eastAsia" w:ascii="宋体" w:hAnsi="宋体" w:cs="宋体"/>
                <w:color w:val="auto"/>
              </w:rPr>
            </w:pPr>
          </w:p>
          <w:p>
            <w:pPr>
              <w:widowControl/>
              <w:ind w:firstLine="315" w:firstLineChars="150"/>
              <w:jc w:val="left"/>
              <w:rPr>
                <w:rFonts w:hint="eastAsia" w:ascii="宋体" w:hAnsi="宋体" w:cs="宋体"/>
                <w:color w:val="auto"/>
              </w:rPr>
            </w:pPr>
            <w:r>
              <w:rPr>
                <w:rFonts w:hint="eastAsia" w:ascii="宋体" w:hAnsi="宋体" w:cs="宋体"/>
                <w:color w:val="auto"/>
              </w:rPr>
              <w:drawing>
                <wp:inline distT="0" distB="0" distL="114300" distR="114300">
                  <wp:extent cx="1876425" cy="1828800"/>
                  <wp:effectExtent l="0" t="0" r="9525"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1876425" cy="1828800"/>
                          </a:xfrm>
                          <a:prstGeom prst="rect">
                            <a:avLst/>
                          </a:prstGeom>
                          <a:noFill/>
                          <a:ln>
                            <a:noFill/>
                          </a:ln>
                        </pic:spPr>
                      </pic:pic>
                    </a:graphicData>
                  </a:graphic>
                </wp:inline>
              </w:drawing>
            </w:r>
          </w:p>
        </w:tc>
        <w:tc>
          <w:tcPr>
            <w:tcW w:w="1938" w:type="dxa"/>
            <w:noWrap w:val="0"/>
            <w:vAlign w:val="center"/>
          </w:tcPr>
          <w:p>
            <w:pPr>
              <w:widowControl/>
              <w:jc w:val="center"/>
              <w:rPr>
                <w:rFonts w:hint="eastAsia" w:ascii="宋体" w:hAnsi="宋体" w:eastAsia="宋体" w:cs="宋体"/>
                <w:b/>
                <w:color w:val="auto"/>
                <w:sz w:val="24"/>
              </w:rPr>
            </w:pPr>
            <w:r>
              <w:rPr>
                <w:rFonts w:hint="eastAsia" w:ascii="宋体" w:hAnsi="宋体" w:eastAsia="宋体" w:cs="宋体"/>
                <w:b/>
                <w:color w:val="auto"/>
                <w:sz w:val="24"/>
              </w:rPr>
              <w:t>0.02</w:t>
            </w:r>
          </w:p>
        </w:tc>
        <w:tc>
          <w:tcPr>
            <w:tcW w:w="1252" w:type="dxa"/>
            <w:noWrap w:val="0"/>
            <w:vAlign w:val="top"/>
          </w:tcPr>
          <w:p>
            <w:pPr>
              <w:rPr>
                <w:rFonts w:hint="eastAsia" w:ascii="宋体" w:hAnsi="宋体" w:eastAsia="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718" w:type="dxa"/>
            <w:noWrap w:val="0"/>
            <w:vAlign w:val="center"/>
          </w:tcPr>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4</w:t>
            </w:r>
          </w:p>
        </w:tc>
        <w:tc>
          <w:tcPr>
            <w:tcW w:w="1964" w:type="dxa"/>
            <w:noWrap w:val="0"/>
            <w:vAlign w:val="top"/>
          </w:tcPr>
          <w:p>
            <w:pPr>
              <w:rPr>
                <w:rFonts w:hint="eastAsia" w:ascii="宋体" w:hAnsi="宋体" w:eastAsia="宋体" w:cs="宋体"/>
                <w:color w:val="auto"/>
                <w:sz w:val="24"/>
              </w:rPr>
            </w:pPr>
          </w:p>
          <w:p>
            <w:pPr>
              <w:ind w:firstLine="360" w:firstLineChars="150"/>
              <w:rPr>
                <w:rFonts w:hint="eastAsia" w:ascii="宋体" w:hAnsi="宋体" w:eastAsia="宋体" w:cs="宋体"/>
                <w:color w:val="auto"/>
                <w:sz w:val="24"/>
              </w:rPr>
            </w:pPr>
            <w:r>
              <w:rPr>
                <w:rFonts w:hint="eastAsia" w:ascii="宋体" w:hAnsi="宋体" w:eastAsia="宋体" w:cs="宋体"/>
                <w:color w:val="auto"/>
                <w:sz w:val="24"/>
              </w:rPr>
              <w:t>工作台的径向跳动</w:t>
            </w:r>
          </w:p>
          <w:p>
            <w:pPr>
              <w:rPr>
                <w:rFonts w:hint="eastAsia" w:ascii="宋体" w:hAnsi="宋体" w:eastAsia="宋体" w:cs="宋体"/>
                <w:color w:val="auto"/>
                <w:sz w:val="28"/>
                <w:szCs w:val="28"/>
              </w:rPr>
            </w:pPr>
          </w:p>
        </w:tc>
        <w:tc>
          <w:tcPr>
            <w:tcW w:w="3774" w:type="dxa"/>
            <w:noWrap w:val="0"/>
            <w:vAlign w:val="top"/>
          </w:tcPr>
          <w:p>
            <w:pPr>
              <w:ind w:firstLine="315" w:firstLineChars="150"/>
              <w:rPr>
                <w:rFonts w:hint="eastAsia" w:ascii="宋体" w:hAnsi="宋体" w:cs="宋体"/>
                <w:color w:val="auto"/>
              </w:rPr>
            </w:pPr>
          </w:p>
          <w:p>
            <w:pPr>
              <w:rPr>
                <w:rFonts w:hint="eastAsia" w:ascii="宋体" w:hAnsi="宋体" w:cs="宋体"/>
                <w:color w:val="auto"/>
              </w:rPr>
            </w:pPr>
            <w:r>
              <w:rPr>
                <w:rFonts w:hint="eastAsia" w:ascii="宋体" w:hAnsi="宋体" w:cs="宋体"/>
                <w:color w:val="auto"/>
              </w:rPr>
              <w:drawing>
                <wp:inline distT="0" distB="0" distL="114300" distR="114300">
                  <wp:extent cx="1943100" cy="19240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tretch>
                            <a:fillRect/>
                          </a:stretch>
                        </pic:blipFill>
                        <pic:spPr>
                          <a:xfrm>
                            <a:off x="0" y="0"/>
                            <a:ext cx="1943100" cy="1924050"/>
                          </a:xfrm>
                          <a:prstGeom prst="rect">
                            <a:avLst/>
                          </a:prstGeom>
                          <a:noFill/>
                          <a:ln>
                            <a:noFill/>
                          </a:ln>
                        </pic:spPr>
                      </pic:pic>
                    </a:graphicData>
                  </a:graphic>
                </wp:inline>
              </w:drawing>
            </w:r>
          </w:p>
        </w:tc>
        <w:tc>
          <w:tcPr>
            <w:tcW w:w="1938" w:type="dxa"/>
            <w:noWrap w:val="0"/>
            <w:vAlign w:val="center"/>
          </w:tcPr>
          <w:p>
            <w:pPr>
              <w:widowControl/>
              <w:ind w:firstLine="482" w:firstLineChars="200"/>
              <w:rPr>
                <w:rFonts w:hint="eastAsia" w:ascii="宋体" w:hAnsi="宋体" w:eastAsia="宋体" w:cs="宋体"/>
                <w:b/>
                <w:color w:val="auto"/>
                <w:sz w:val="24"/>
              </w:rPr>
            </w:pPr>
            <w:r>
              <w:rPr>
                <w:rFonts w:hint="eastAsia" w:ascii="宋体" w:hAnsi="宋体" w:eastAsia="宋体" w:cs="宋体"/>
                <w:b/>
                <w:color w:val="auto"/>
                <w:sz w:val="24"/>
              </w:rPr>
              <w:t>0.02</w:t>
            </w:r>
          </w:p>
        </w:tc>
        <w:tc>
          <w:tcPr>
            <w:tcW w:w="1252" w:type="dxa"/>
            <w:noWrap w:val="0"/>
            <w:vAlign w:val="top"/>
          </w:tcPr>
          <w:p>
            <w:pPr>
              <w:rPr>
                <w:rFonts w:hint="eastAsia" w:ascii="宋体" w:hAnsi="宋体" w:eastAsia="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682" w:type="dxa"/>
            <w:gridSpan w:val="2"/>
            <w:vMerge w:val="restart"/>
            <w:noWrap w:val="0"/>
            <w:vAlign w:val="center"/>
          </w:tcPr>
          <w:p>
            <w:pPr>
              <w:ind w:firstLine="120" w:firstLineChars="50"/>
              <w:jc w:val="center"/>
              <w:rPr>
                <w:rFonts w:hint="eastAsia" w:ascii="宋体" w:hAnsi="宋体" w:eastAsia="宋体" w:cs="宋体"/>
                <w:color w:val="auto"/>
                <w:sz w:val="24"/>
              </w:rPr>
            </w:pPr>
          </w:p>
        </w:tc>
        <w:tc>
          <w:tcPr>
            <w:tcW w:w="3774" w:type="dxa"/>
            <w:noWrap w:val="0"/>
            <w:vAlign w:val="center"/>
          </w:tcPr>
          <w:p>
            <w:pPr>
              <w:jc w:val="center"/>
              <w:rPr>
                <w:rFonts w:hint="eastAsia" w:ascii="宋体" w:hAnsi="宋体" w:cs="宋体"/>
                <w:b/>
                <w:color w:val="auto"/>
                <w:sz w:val="24"/>
              </w:rPr>
            </w:pPr>
            <w:r>
              <w:rPr>
                <w:rFonts w:hint="eastAsia" w:ascii="宋体" w:hAnsi="宋体" w:cs="宋体"/>
                <w:b/>
                <w:color w:val="auto"/>
                <w:sz w:val="24"/>
              </w:rPr>
              <w:t>双柱立式车床</w:t>
            </w:r>
          </w:p>
        </w:tc>
        <w:tc>
          <w:tcPr>
            <w:tcW w:w="3190" w:type="dxa"/>
            <w:gridSpan w:val="2"/>
            <w:noWrap w:val="0"/>
            <w:vAlign w:val="center"/>
          </w:tcPr>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第3页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682" w:type="dxa"/>
            <w:gridSpan w:val="2"/>
            <w:vMerge w:val="continue"/>
            <w:noWrap w:val="0"/>
            <w:vAlign w:val="top"/>
          </w:tcPr>
          <w:p>
            <w:pPr>
              <w:rPr>
                <w:rFonts w:hint="eastAsia" w:ascii="宋体" w:hAnsi="宋体" w:eastAsia="宋体" w:cs="宋体"/>
                <w:color w:val="auto"/>
                <w:sz w:val="32"/>
                <w:szCs w:val="32"/>
              </w:rPr>
            </w:pPr>
          </w:p>
        </w:tc>
        <w:tc>
          <w:tcPr>
            <w:tcW w:w="3774" w:type="dxa"/>
            <w:noWrap w:val="0"/>
            <w:vAlign w:val="top"/>
          </w:tcPr>
          <w:p>
            <w:pPr>
              <w:ind w:firstLine="472" w:firstLineChars="147"/>
              <w:rPr>
                <w:rFonts w:hint="eastAsia" w:ascii="宋体" w:hAnsi="宋体" w:cs="宋体"/>
                <w:b/>
                <w:color w:val="auto"/>
                <w:sz w:val="32"/>
                <w:szCs w:val="32"/>
              </w:rPr>
            </w:pPr>
            <w:r>
              <w:rPr>
                <w:rFonts w:hint="eastAsia" w:ascii="宋体" w:hAnsi="宋体" w:cs="宋体"/>
                <w:b/>
                <w:color w:val="auto"/>
                <w:sz w:val="32"/>
                <w:szCs w:val="32"/>
              </w:rPr>
              <w:t>精 度 检 验 报 告</w:t>
            </w:r>
          </w:p>
        </w:tc>
        <w:tc>
          <w:tcPr>
            <w:tcW w:w="3190" w:type="dxa"/>
            <w:gridSpan w:val="2"/>
            <w:noWrap w:val="0"/>
            <w:vAlign w:val="center"/>
          </w:tcPr>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共3页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18" w:type="dxa"/>
            <w:vMerge w:val="restart"/>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964" w:type="dxa"/>
            <w:vMerge w:val="restart"/>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检验项目</w:t>
            </w:r>
          </w:p>
        </w:tc>
        <w:tc>
          <w:tcPr>
            <w:tcW w:w="3774" w:type="dxa"/>
            <w:vMerge w:val="restar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检验示图</w:t>
            </w:r>
          </w:p>
        </w:tc>
        <w:tc>
          <w:tcPr>
            <w:tcW w:w="3190" w:type="dxa"/>
            <w:gridSpan w:val="2"/>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精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18" w:type="dxa"/>
            <w:vMerge w:val="continue"/>
            <w:noWrap w:val="0"/>
            <w:vAlign w:val="top"/>
          </w:tcPr>
          <w:p>
            <w:pPr>
              <w:rPr>
                <w:rFonts w:hint="eastAsia" w:ascii="宋体" w:hAnsi="宋体" w:eastAsia="宋体" w:cs="宋体"/>
                <w:color w:val="auto"/>
                <w:sz w:val="28"/>
                <w:szCs w:val="28"/>
              </w:rPr>
            </w:pPr>
          </w:p>
        </w:tc>
        <w:tc>
          <w:tcPr>
            <w:tcW w:w="1964" w:type="dxa"/>
            <w:vMerge w:val="continue"/>
            <w:noWrap w:val="0"/>
            <w:vAlign w:val="top"/>
          </w:tcPr>
          <w:p>
            <w:pPr>
              <w:rPr>
                <w:rFonts w:hint="eastAsia" w:ascii="宋体" w:hAnsi="宋体" w:eastAsia="宋体" w:cs="宋体"/>
                <w:color w:val="auto"/>
                <w:sz w:val="28"/>
                <w:szCs w:val="28"/>
              </w:rPr>
            </w:pPr>
          </w:p>
        </w:tc>
        <w:tc>
          <w:tcPr>
            <w:tcW w:w="3774" w:type="dxa"/>
            <w:vMerge w:val="continue"/>
            <w:noWrap w:val="0"/>
            <w:vAlign w:val="top"/>
          </w:tcPr>
          <w:p>
            <w:pPr>
              <w:rPr>
                <w:rFonts w:hint="eastAsia" w:ascii="宋体" w:hAnsi="宋体" w:cs="宋体"/>
                <w:color w:val="auto"/>
                <w:sz w:val="28"/>
                <w:szCs w:val="28"/>
              </w:rPr>
            </w:pPr>
          </w:p>
        </w:tc>
        <w:tc>
          <w:tcPr>
            <w:tcW w:w="1938"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4"/>
              </w:rPr>
              <w:t>国标</w:t>
            </w:r>
          </w:p>
        </w:tc>
        <w:tc>
          <w:tcPr>
            <w:tcW w:w="1252"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9" w:hRule="atLeast"/>
        </w:trPr>
        <w:tc>
          <w:tcPr>
            <w:tcW w:w="718" w:type="dxa"/>
            <w:noWrap w:val="0"/>
            <w:vAlign w:val="center"/>
          </w:tcPr>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5</w:t>
            </w:r>
          </w:p>
        </w:tc>
        <w:tc>
          <w:tcPr>
            <w:tcW w:w="1964" w:type="dxa"/>
            <w:noWrap w:val="0"/>
            <w:vAlign w:val="center"/>
          </w:tcPr>
          <w:p>
            <w:pPr>
              <w:widowControl/>
              <w:rPr>
                <w:rFonts w:hint="eastAsia" w:ascii="宋体" w:hAnsi="宋体" w:eastAsia="宋体" w:cs="宋体"/>
                <w:color w:val="auto"/>
                <w:sz w:val="24"/>
              </w:rPr>
            </w:pPr>
          </w:p>
          <w:p>
            <w:pPr>
              <w:widowControl/>
              <w:ind w:firstLine="360" w:firstLineChars="150"/>
              <w:rPr>
                <w:rFonts w:hint="eastAsia" w:ascii="宋体" w:hAnsi="宋体" w:eastAsia="宋体" w:cs="宋体"/>
                <w:color w:val="auto"/>
                <w:sz w:val="24"/>
              </w:rPr>
            </w:pPr>
            <w:r>
              <w:rPr>
                <w:rFonts w:hint="eastAsia" w:ascii="宋体" w:hAnsi="宋体" w:eastAsia="宋体" w:cs="宋体"/>
                <w:color w:val="auto"/>
                <w:sz w:val="24"/>
              </w:rPr>
              <w:t>横梁移动时的倾斜</w:t>
            </w:r>
          </w:p>
          <w:p>
            <w:pPr>
              <w:rPr>
                <w:rFonts w:hint="eastAsia" w:ascii="宋体" w:hAnsi="宋体" w:eastAsia="宋体" w:cs="宋体"/>
                <w:color w:val="auto"/>
                <w:sz w:val="24"/>
              </w:rPr>
            </w:pPr>
          </w:p>
        </w:tc>
        <w:tc>
          <w:tcPr>
            <w:tcW w:w="3774" w:type="dxa"/>
            <w:noWrap w:val="0"/>
            <w:vAlign w:val="top"/>
          </w:tcPr>
          <w:p>
            <w:pPr>
              <w:widowControl/>
              <w:jc w:val="left"/>
              <w:rPr>
                <w:rFonts w:hint="eastAsia" w:ascii="宋体" w:hAnsi="宋体" w:cs="宋体"/>
                <w:color w:val="auto"/>
                <w:szCs w:val="21"/>
              </w:rPr>
            </w:pPr>
          </w:p>
          <w:p>
            <w:pPr>
              <w:ind w:firstLine="210" w:firstLineChars="100"/>
              <w:jc w:val="left"/>
              <w:rPr>
                <w:rFonts w:hint="eastAsia" w:ascii="宋体" w:hAnsi="宋体" w:cs="宋体"/>
                <w:color w:val="auto"/>
                <w:szCs w:val="21"/>
              </w:rPr>
            </w:pPr>
            <w:r>
              <w:rPr>
                <w:rFonts w:hint="eastAsia" w:ascii="宋体" w:hAnsi="宋体" w:cs="宋体"/>
                <w:color w:val="auto"/>
              </w:rPr>
              <w:drawing>
                <wp:inline distT="0" distB="0" distL="114300" distR="114300">
                  <wp:extent cx="1981200" cy="1914525"/>
                  <wp:effectExtent l="0" t="0" r="0"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5"/>
                          <a:stretch>
                            <a:fillRect/>
                          </a:stretch>
                        </pic:blipFill>
                        <pic:spPr>
                          <a:xfrm>
                            <a:off x="0" y="0"/>
                            <a:ext cx="1981200" cy="1914525"/>
                          </a:xfrm>
                          <a:prstGeom prst="rect">
                            <a:avLst/>
                          </a:prstGeom>
                          <a:noFill/>
                          <a:ln>
                            <a:noFill/>
                          </a:ln>
                        </pic:spPr>
                      </pic:pic>
                    </a:graphicData>
                  </a:graphic>
                </wp:inline>
              </w:drawing>
            </w:r>
          </w:p>
        </w:tc>
        <w:tc>
          <w:tcPr>
            <w:tcW w:w="1938" w:type="dxa"/>
            <w:noWrap w:val="0"/>
            <w:vAlign w:val="top"/>
          </w:tcPr>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color w:val="auto"/>
                <w:sz w:val="24"/>
              </w:rPr>
              <w:t>在横梁每1米行程上为：</w:t>
            </w:r>
          </w:p>
          <w:p>
            <w:pPr>
              <w:widowControl/>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0.03</w:t>
            </w:r>
          </w:p>
          <w:p>
            <w:pPr>
              <w:widowControl/>
              <w:jc w:val="left"/>
              <w:rPr>
                <w:rFonts w:hint="eastAsia" w:ascii="宋体" w:hAnsi="宋体" w:eastAsia="宋体" w:cs="宋体"/>
                <w:color w:val="auto"/>
                <w:sz w:val="24"/>
              </w:rPr>
            </w:pPr>
            <w:r>
              <w:rPr>
                <w:rFonts w:hint="eastAsia" w:ascii="宋体" w:hAnsi="宋体" w:eastAsia="宋体" w:cs="宋体"/>
                <w:color w:val="auto"/>
                <w:sz w:val="24"/>
              </w:rPr>
              <w:t>在横梁全部行程上为：</w:t>
            </w:r>
          </w:p>
          <w:p>
            <w:pPr>
              <w:widowControl/>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0.04</w:t>
            </w:r>
          </w:p>
          <w:p>
            <w:pPr>
              <w:rPr>
                <w:rFonts w:hint="eastAsia" w:ascii="宋体" w:hAnsi="宋体" w:eastAsia="宋体" w:cs="宋体"/>
                <w:color w:val="auto"/>
                <w:sz w:val="28"/>
                <w:szCs w:val="28"/>
              </w:rPr>
            </w:pPr>
          </w:p>
        </w:tc>
        <w:tc>
          <w:tcPr>
            <w:tcW w:w="1252" w:type="dxa"/>
            <w:noWrap w:val="0"/>
            <w:vAlign w:val="top"/>
          </w:tcPr>
          <w:p>
            <w:pPr>
              <w:widowControl/>
              <w:jc w:val="left"/>
              <w:rPr>
                <w:rFonts w:hint="eastAsia" w:ascii="宋体" w:hAnsi="宋体" w:eastAsia="宋体" w:cs="宋体"/>
                <w:color w:val="auto"/>
                <w:sz w:val="28"/>
                <w:szCs w:val="28"/>
              </w:rPr>
            </w:pPr>
          </w:p>
          <w:p>
            <w:pP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1" w:hRule="atLeast"/>
        </w:trPr>
        <w:tc>
          <w:tcPr>
            <w:tcW w:w="718" w:type="dxa"/>
            <w:noWrap w:val="0"/>
            <w:vAlign w:val="center"/>
          </w:tcPr>
          <w:p>
            <w:pPr>
              <w:jc w:val="center"/>
              <w:rPr>
                <w:rFonts w:hint="eastAsia" w:ascii="宋体" w:hAnsi="宋体" w:cs="宋体"/>
                <w:b/>
                <w:color w:val="auto"/>
                <w:sz w:val="28"/>
                <w:szCs w:val="28"/>
              </w:rPr>
            </w:pPr>
            <w:r>
              <w:rPr>
                <w:rFonts w:hint="eastAsia" w:ascii="宋体" w:hAnsi="宋体" w:cs="宋体"/>
                <w:b/>
                <w:color w:val="auto"/>
                <w:sz w:val="28"/>
                <w:szCs w:val="28"/>
              </w:rPr>
              <w:t>6</w:t>
            </w:r>
          </w:p>
        </w:tc>
        <w:tc>
          <w:tcPr>
            <w:tcW w:w="1964" w:type="dxa"/>
            <w:noWrap w:val="0"/>
            <w:vAlign w:val="top"/>
          </w:tcPr>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  立刀架水平移动对工作台面的不平行度</w:t>
            </w:r>
          </w:p>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 xml:space="preserve">  立刀架水平移动的不直度</w:t>
            </w:r>
          </w:p>
        </w:tc>
        <w:tc>
          <w:tcPr>
            <w:tcW w:w="3774" w:type="dxa"/>
            <w:noWrap w:val="0"/>
            <w:vAlign w:val="top"/>
          </w:tcPr>
          <w:p>
            <w:pPr>
              <w:widowControl/>
              <w:jc w:val="left"/>
              <w:rPr>
                <w:rFonts w:hint="eastAsia" w:ascii="宋体" w:hAnsi="宋体" w:cs="宋体"/>
                <w:color w:val="auto"/>
              </w:rPr>
            </w:pPr>
          </w:p>
          <w:p>
            <w:pPr>
              <w:widowControl/>
              <w:ind w:firstLine="315" w:firstLineChars="150"/>
              <w:jc w:val="left"/>
              <w:rPr>
                <w:rFonts w:hint="eastAsia" w:ascii="宋体" w:hAnsi="宋体" w:cs="宋体"/>
                <w:color w:val="auto"/>
              </w:rPr>
            </w:pPr>
            <w:r>
              <w:rPr>
                <w:rFonts w:hint="eastAsia" w:ascii="宋体" w:hAnsi="宋体" w:cs="宋体"/>
                <w:color w:val="auto"/>
              </w:rPr>
              <w:drawing>
                <wp:inline distT="0" distB="0" distL="114300" distR="114300">
                  <wp:extent cx="1914525" cy="1962150"/>
                  <wp:effectExtent l="0" t="0" r="952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6"/>
                          <a:stretch>
                            <a:fillRect/>
                          </a:stretch>
                        </pic:blipFill>
                        <pic:spPr>
                          <a:xfrm>
                            <a:off x="0" y="0"/>
                            <a:ext cx="1914525" cy="1962150"/>
                          </a:xfrm>
                          <a:prstGeom prst="rect">
                            <a:avLst/>
                          </a:prstGeom>
                          <a:noFill/>
                          <a:ln>
                            <a:noFill/>
                          </a:ln>
                        </pic:spPr>
                      </pic:pic>
                    </a:graphicData>
                  </a:graphic>
                </wp:inline>
              </w:drawing>
            </w:r>
          </w:p>
        </w:tc>
        <w:tc>
          <w:tcPr>
            <w:tcW w:w="1938" w:type="dxa"/>
            <w:noWrap w:val="0"/>
            <w:vAlign w:val="top"/>
          </w:tcPr>
          <w:p>
            <w:pPr>
              <w:widowControl/>
              <w:jc w:val="left"/>
              <w:rPr>
                <w:rFonts w:hint="eastAsia" w:ascii="宋体" w:hAnsi="宋体" w:eastAsia="宋体" w:cs="宋体"/>
                <w:color w:val="auto"/>
                <w:sz w:val="24"/>
              </w:rPr>
            </w:pPr>
            <w:r>
              <w:rPr>
                <w:rFonts w:hint="eastAsia" w:ascii="宋体" w:hAnsi="宋体" w:eastAsia="宋体" w:cs="宋体"/>
                <w:b/>
                <w:color w:val="auto"/>
                <w:sz w:val="24"/>
              </w:rPr>
              <w:t xml:space="preserve">a </w:t>
            </w:r>
            <w:r>
              <w:rPr>
                <w:rFonts w:hint="eastAsia" w:ascii="宋体" w:hAnsi="宋体" w:eastAsia="宋体" w:cs="宋体"/>
                <w:color w:val="auto"/>
                <w:sz w:val="24"/>
              </w:rPr>
              <w:t xml:space="preserve"> 在立刀架每1米行程上为：</w:t>
            </w:r>
          </w:p>
          <w:p>
            <w:pPr>
              <w:widowControl/>
              <w:ind w:firstLine="590" w:firstLineChars="245"/>
              <w:jc w:val="left"/>
              <w:rPr>
                <w:rFonts w:hint="eastAsia" w:ascii="宋体" w:hAnsi="宋体" w:eastAsia="宋体" w:cs="宋体"/>
                <w:b/>
                <w:color w:val="auto"/>
                <w:sz w:val="24"/>
              </w:rPr>
            </w:pPr>
            <w:r>
              <w:rPr>
                <w:rFonts w:hint="eastAsia" w:ascii="宋体" w:hAnsi="宋体" w:eastAsia="宋体" w:cs="宋体"/>
                <w:b/>
                <w:color w:val="auto"/>
                <w:sz w:val="24"/>
              </w:rPr>
              <w:t>0.02．</w:t>
            </w:r>
          </w:p>
          <w:p>
            <w:pPr>
              <w:widowControl/>
              <w:jc w:val="left"/>
              <w:rPr>
                <w:rFonts w:hint="eastAsia" w:ascii="宋体" w:hAnsi="宋体" w:eastAsia="宋体" w:cs="宋体"/>
                <w:b/>
                <w:color w:val="auto"/>
                <w:sz w:val="24"/>
              </w:rPr>
            </w:pPr>
            <w:r>
              <w:rPr>
                <w:rFonts w:hint="eastAsia" w:ascii="宋体" w:hAnsi="宋体" w:eastAsia="宋体" w:cs="宋体"/>
                <w:b/>
                <w:color w:val="auto"/>
                <w:sz w:val="24"/>
              </w:rPr>
              <w:t xml:space="preserve"> </w:t>
            </w:r>
            <w:r>
              <w:rPr>
                <w:rFonts w:hint="eastAsia" w:ascii="宋体" w:hAnsi="宋体" w:eastAsia="宋体" w:cs="宋体"/>
                <w:color w:val="auto"/>
                <w:sz w:val="24"/>
              </w:rPr>
              <w:t xml:space="preserve"> 只许横梁中间向工作台偏。</w:t>
            </w:r>
          </w:p>
          <w:p>
            <w:pPr>
              <w:widowControl/>
              <w:jc w:val="left"/>
              <w:rPr>
                <w:rFonts w:hint="eastAsia" w:ascii="宋体" w:hAnsi="宋体" w:eastAsia="宋体" w:cs="宋体"/>
                <w:color w:val="auto"/>
                <w:sz w:val="24"/>
              </w:rPr>
            </w:pPr>
            <w:r>
              <w:rPr>
                <w:rFonts w:hint="eastAsia" w:ascii="宋体" w:hAnsi="宋体" w:eastAsia="宋体" w:cs="宋体"/>
                <w:b/>
                <w:color w:val="auto"/>
                <w:sz w:val="24"/>
              </w:rPr>
              <w:t xml:space="preserve">b </w:t>
            </w:r>
            <w:r>
              <w:rPr>
                <w:rFonts w:hint="eastAsia" w:ascii="宋体" w:hAnsi="宋体" w:eastAsia="宋体" w:cs="宋体"/>
                <w:color w:val="auto"/>
                <w:sz w:val="24"/>
              </w:rPr>
              <w:t xml:space="preserve"> 在工作台半径上为</w:t>
            </w:r>
          </w:p>
          <w:p>
            <w:pPr>
              <w:widowControl/>
              <w:ind w:firstLine="590" w:firstLineChars="245"/>
              <w:jc w:val="left"/>
              <w:rPr>
                <w:rFonts w:hint="eastAsia" w:ascii="宋体" w:hAnsi="宋体" w:eastAsia="宋体" w:cs="宋体"/>
                <w:b/>
                <w:color w:val="auto"/>
                <w:sz w:val="24"/>
              </w:rPr>
            </w:pPr>
            <w:r>
              <w:rPr>
                <w:rFonts w:hint="eastAsia" w:ascii="宋体" w:hAnsi="宋体" w:eastAsia="宋体" w:cs="宋体"/>
                <w:b/>
                <w:color w:val="auto"/>
                <w:sz w:val="24"/>
              </w:rPr>
              <w:t>0.03．</w:t>
            </w:r>
          </w:p>
        </w:tc>
        <w:tc>
          <w:tcPr>
            <w:tcW w:w="1252" w:type="dxa"/>
            <w:noWrap w:val="0"/>
            <w:vAlign w:val="top"/>
          </w:tcPr>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color w:val="auto"/>
                <w:sz w:val="24"/>
              </w:rPr>
              <w:t>右刀架</w:t>
            </w:r>
          </w:p>
          <w:p>
            <w:pPr>
              <w:widowControl/>
              <w:jc w:val="left"/>
              <w:rPr>
                <w:rFonts w:hint="eastAsia" w:ascii="宋体" w:hAnsi="宋体" w:eastAsia="宋体" w:cs="宋体"/>
                <w:b/>
                <w:color w:val="auto"/>
                <w:sz w:val="24"/>
              </w:rPr>
            </w:pPr>
            <w:r>
              <w:rPr>
                <w:rFonts w:hint="eastAsia" w:ascii="宋体" w:hAnsi="宋体" w:eastAsia="宋体" w:cs="宋体"/>
                <w:b/>
                <w:color w:val="auto"/>
                <w:sz w:val="24"/>
              </w:rPr>
              <w:t>a</w:t>
            </w:r>
          </w:p>
          <w:p>
            <w:pPr>
              <w:rPr>
                <w:rFonts w:hint="eastAsia" w:ascii="宋体" w:hAnsi="宋体" w:eastAsia="宋体" w:cs="宋体"/>
                <w:b/>
                <w:color w:val="auto"/>
                <w:sz w:val="24"/>
              </w:rPr>
            </w:pPr>
            <w:r>
              <w:rPr>
                <w:rFonts w:hint="eastAsia" w:ascii="宋体" w:hAnsi="宋体" w:eastAsia="宋体" w:cs="宋体"/>
                <w:b/>
                <w:color w:val="auto"/>
                <w:sz w:val="24"/>
              </w:rPr>
              <w:t>b</w:t>
            </w: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左刀架</w:t>
            </w:r>
          </w:p>
          <w:p>
            <w:pPr>
              <w:rPr>
                <w:rFonts w:hint="eastAsia" w:ascii="宋体" w:hAnsi="宋体" w:eastAsia="宋体" w:cs="宋体"/>
                <w:b/>
                <w:color w:val="auto"/>
                <w:sz w:val="24"/>
              </w:rPr>
            </w:pPr>
            <w:r>
              <w:rPr>
                <w:rFonts w:hint="eastAsia" w:ascii="宋体" w:hAnsi="宋体" w:eastAsia="宋体" w:cs="宋体"/>
                <w:b/>
                <w:color w:val="auto"/>
                <w:sz w:val="24"/>
              </w:rPr>
              <w:t>a</w:t>
            </w:r>
          </w:p>
          <w:p>
            <w:pPr>
              <w:rPr>
                <w:rFonts w:hint="eastAsia" w:ascii="宋体" w:hAnsi="宋体" w:eastAsia="宋体" w:cs="宋体"/>
                <w:color w:val="auto"/>
                <w:sz w:val="24"/>
              </w:rPr>
            </w:pPr>
            <w:r>
              <w:rPr>
                <w:rFonts w:hint="eastAsia" w:ascii="宋体" w:hAnsi="宋体" w:eastAsia="宋体" w:cs="宋体"/>
                <w:b/>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0" w:hRule="atLeast"/>
        </w:trPr>
        <w:tc>
          <w:tcPr>
            <w:tcW w:w="718" w:type="dxa"/>
            <w:noWrap w:val="0"/>
            <w:vAlign w:val="center"/>
          </w:tcPr>
          <w:p>
            <w:pPr>
              <w:jc w:val="center"/>
              <w:rPr>
                <w:rFonts w:hint="eastAsia" w:ascii="宋体" w:hAnsi="宋体" w:cs="宋体"/>
                <w:b/>
                <w:color w:val="auto"/>
                <w:sz w:val="28"/>
                <w:szCs w:val="28"/>
              </w:rPr>
            </w:pPr>
            <w:r>
              <w:rPr>
                <w:rFonts w:hint="eastAsia" w:ascii="宋体" w:hAnsi="宋体" w:cs="宋体"/>
                <w:b/>
                <w:color w:val="auto"/>
                <w:sz w:val="28"/>
                <w:szCs w:val="28"/>
              </w:rPr>
              <w:t>7</w:t>
            </w:r>
          </w:p>
        </w:tc>
        <w:tc>
          <w:tcPr>
            <w:tcW w:w="1964" w:type="dxa"/>
            <w:noWrap w:val="0"/>
            <w:vAlign w:val="top"/>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  立刀架滑枕移动对工作台面的不垂直度</w:t>
            </w: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 xml:space="preserve">  立刀架滑枕移动的不直度</w:t>
            </w:r>
          </w:p>
        </w:tc>
        <w:tc>
          <w:tcPr>
            <w:tcW w:w="3774" w:type="dxa"/>
            <w:noWrap w:val="0"/>
            <w:vAlign w:val="top"/>
          </w:tcPr>
          <w:p>
            <w:pPr>
              <w:widowControl/>
              <w:ind w:firstLine="315" w:firstLineChars="150"/>
              <w:jc w:val="left"/>
              <w:rPr>
                <w:rFonts w:hint="eastAsia" w:ascii="宋体" w:hAnsi="宋体" w:cs="宋体"/>
                <w:color w:val="auto"/>
                <w:szCs w:val="21"/>
              </w:rPr>
            </w:pPr>
            <w:r>
              <w:rPr>
                <w:rFonts w:hint="eastAsia" w:ascii="宋体" w:hAnsi="宋体" w:cs="宋体"/>
                <w:color w:val="auto"/>
              </w:rPr>
              <w:drawing>
                <wp:inline distT="0" distB="0" distL="114300" distR="114300">
                  <wp:extent cx="1933575" cy="21050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1933575" cy="2105025"/>
                          </a:xfrm>
                          <a:prstGeom prst="rect">
                            <a:avLst/>
                          </a:prstGeom>
                          <a:noFill/>
                          <a:ln>
                            <a:noFill/>
                          </a:ln>
                        </pic:spPr>
                      </pic:pic>
                    </a:graphicData>
                  </a:graphic>
                </wp:inline>
              </w:drawing>
            </w:r>
          </w:p>
        </w:tc>
        <w:tc>
          <w:tcPr>
            <w:tcW w:w="1938" w:type="dxa"/>
            <w:noWrap w:val="0"/>
            <w:vAlign w:val="top"/>
          </w:tcPr>
          <w:p>
            <w:pPr>
              <w:widowControl/>
              <w:rPr>
                <w:rFonts w:hint="eastAsia" w:ascii="宋体" w:hAnsi="宋体" w:eastAsia="宋体" w:cs="宋体"/>
                <w:color w:val="auto"/>
                <w:sz w:val="24"/>
              </w:rPr>
            </w:pPr>
          </w:p>
          <w:p>
            <w:pPr>
              <w:widowControl/>
              <w:rPr>
                <w:rFonts w:hint="eastAsia" w:ascii="宋体" w:hAnsi="宋体" w:eastAsia="宋体" w:cs="宋体"/>
                <w:color w:val="auto"/>
                <w:sz w:val="24"/>
              </w:rPr>
            </w:pPr>
            <w:r>
              <w:rPr>
                <w:rFonts w:hint="eastAsia" w:ascii="宋体" w:hAnsi="宋体" w:eastAsia="宋体" w:cs="宋体"/>
                <w:b/>
                <w:color w:val="auto"/>
                <w:sz w:val="24"/>
              </w:rPr>
              <w:t xml:space="preserve">a </w:t>
            </w:r>
            <w:r>
              <w:rPr>
                <w:rFonts w:hint="eastAsia" w:ascii="宋体" w:hAnsi="宋体" w:eastAsia="宋体" w:cs="宋体"/>
                <w:color w:val="auto"/>
                <w:sz w:val="24"/>
              </w:rPr>
              <w:t xml:space="preserve"> 在滑枕500行程上为：</w:t>
            </w:r>
          </w:p>
          <w:p>
            <w:pPr>
              <w:widowControl/>
              <w:ind w:firstLine="482" w:firstLineChars="200"/>
              <w:rPr>
                <w:rFonts w:hint="eastAsia" w:ascii="宋体" w:hAnsi="宋体" w:eastAsia="宋体" w:cs="宋体"/>
                <w:b/>
                <w:color w:val="auto"/>
                <w:sz w:val="24"/>
              </w:rPr>
            </w:pPr>
            <w:r>
              <w:rPr>
                <w:rFonts w:hint="eastAsia" w:ascii="宋体" w:hAnsi="宋体" w:eastAsia="宋体" w:cs="宋体"/>
                <w:b/>
                <w:color w:val="auto"/>
                <w:sz w:val="24"/>
              </w:rPr>
              <w:t>0.02</w:t>
            </w:r>
          </w:p>
          <w:p>
            <w:pPr>
              <w:widowControl/>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 xml:space="preserve">  在滑枕全部行程上为：</w:t>
            </w:r>
          </w:p>
          <w:p>
            <w:pPr>
              <w:widowControl/>
              <w:ind w:firstLine="482" w:firstLineChars="200"/>
              <w:rPr>
                <w:rFonts w:hint="eastAsia" w:ascii="宋体" w:hAnsi="宋体" w:eastAsia="宋体" w:cs="宋体"/>
                <w:b/>
                <w:color w:val="auto"/>
                <w:sz w:val="24"/>
              </w:rPr>
            </w:pPr>
            <w:r>
              <w:rPr>
                <w:rFonts w:hint="eastAsia" w:ascii="宋体" w:hAnsi="宋体" w:eastAsia="宋体" w:cs="宋体"/>
                <w:b/>
                <w:color w:val="auto"/>
                <w:sz w:val="24"/>
              </w:rPr>
              <w:t>0.03</w:t>
            </w:r>
          </w:p>
          <w:p>
            <w:pPr>
              <w:rPr>
                <w:rFonts w:hint="eastAsia" w:ascii="宋体" w:hAnsi="宋体" w:eastAsia="宋体" w:cs="宋体"/>
                <w:color w:val="auto"/>
                <w:sz w:val="24"/>
              </w:rPr>
            </w:pPr>
          </w:p>
        </w:tc>
        <w:tc>
          <w:tcPr>
            <w:tcW w:w="1252" w:type="dxa"/>
            <w:noWrap w:val="0"/>
            <w:vAlign w:val="top"/>
          </w:tcPr>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color w:val="auto"/>
                <w:sz w:val="24"/>
              </w:rPr>
              <w:t>右刀架</w:t>
            </w:r>
          </w:p>
          <w:p>
            <w:pPr>
              <w:widowControl/>
              <w:jc w:val="left"/>
              <w:rPr>
                <w:rFonts w:hint="eastAsia" w:ascii="宋体" w:hAnsi="宋体" w:eastAsia="宋体" w:cs="宋体"/>
                <w:b/>
                <w:color w:val="auto"/>
                <w:sz w:val="24"/>
              </w:rPr>
            </w:pPr>
            <w:r>
              <w:rPr>
                <w:rFonts w:hint="eastAsia" w:ascii="宋体" w:hAnsi="宋体" w:eastAsia="宋体" w:cs="宋体"/>
                <w:b/>
                <w:color w:val="auto"/>
                <w:sz w:val="24"/>
              </w:rPr>
              <w:t>a；</w:t>
            </w:r>
          </w:p>
          <w:p>
            <w:pPr>
              <w:rPr>
                <w:rFonts w:hint="eastAsia" w:ascii="宋体" w:hAnsi="宋体" w:eastAsia="宋体" w:cs="宋体"/>
                <w:b/>
                <w:color w:val="auto"/>
                <w:sz w:val="24"/>
              </w:rPr>
            </w:pPr>
            <w:r>
              <w:rPr>
                <w:rFonts w:hint="eastAsia" w:ascii="宋体" w:hAnsi="宋体" w:eastAsia="宋体" w:cs="宋体"/>
                <w:b/>
                <w:color w:val="auto"/>
                <w:sz w:val="24"/>
              </w:rPr>
              <w:t>b；</w:t>
            </w: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左刀架</w:t>
            </w:r>
          </w:p>
          <w:p>
            <w:pPr>
              <w:rPr>
                <w:rFonts w:hint="eastAsia" w:ascii="宋体" w:hAnsi="宋体" w:eastAsia="宋体" w:cs="宋体"/>
                <w:b/>
                <w:color w:val="auto"/>
                <w:sz w:val="24"/>
              </w:rPr>
            </w:pPr>
            <w:r>
              <w:rPr>
                <w:rFonts w:hint="eastAsia" w:ascii="宋体" w:hAnsi="宋体" w:eastAsia="宋体" w:cs="宋体"/>
                <w:b/>
                <w:color w:val="auto"/>
                <w:sz w:val="24"/>
              </w:rPr>
              <w:t>a；</w:t>
            </w:r>
          </w:p>
          <w:p>
            <w:pPr>
              <w:rPr>
                <w:rFonts w:hint="eastAsia" w:ascii="宋体" w:hAnsi="宋体" w:eastAsia="宋体" w:cs="宋体"/>
                <w:color w:val="auto"/>
                <w:sz w:val="28"/>
                <w:szCs w:val="28"/>
              </w:rPr>
            </w:pPr>
            <w:r>
              <w:rPr>
                <w:rFonts w:hint="eastAsia" w:ascii="宋体" w:hAnsi="宋体" w:eastAsia="宋体" w:cs="宋体"/>
                <w:b/>
                <w:color w:val="auto"/>
                <w:sz w:val="24"/>
              </w:rPr>
              <w:t>b</w:t>
            </w:r>
            <w:r>
              <w:rPr>
                <w:rFonts w:hint="eastAsia" w:ascii="宋体" w:hAnsi="宋体" w:eastAsia="宋体" w:cs="宋体"/>
                <w:b/>
                <w:color w:val="auto"/>
                <w:sz w:val="28"/>
                <w:szCs w:val="28"/>
              </w:rPr>
              <w:t>；</w:t>
            </w:r>
          </w:p>
        </w:tc>
      </w:tr>
    </w:tbl>
    <w:p>
      <w:pPr>
        <w:widowControl/>
        <w:numPr>
          <w:ilvl w:val="0"/>
          <w:numId w:val="0"/>
        </w:numPr>
        <w:adjustRightInd/>
        <w:snapToGrid/>
        <w:spacing w:line="240" w:lineRule="auto"/>
        <w:ind w:firstLine="420"/>
        <w:jc w:val="left"/>
        <w:outlineLvl w:val="9"/>
        <w:rPr>
          <w:rFonts w:hint="eastAsia" w:ascii="宋体" w:hAnsi="宋体" w:cs="宋体"/>
          <w:color w:val="auto"/>
          <w:sz w:val="24"/>
          <w:lang w:val="en-US" w:eastAsia="zh-CN"/>
        </w:rPr>
      </w:pPr>
    </w:p>
    <w:p>
      <w:pPr>
        <w:numPr>
          <w:ilvl w:val="0"/>
          <w:numId w:val="6"/>
        </w:numPr>
        <w:adjustRightInd w:val="0"/>
        <w:snapToGrid w:val="0"/>
        <w:spacing w:line="360" w:lineRule="auto"/>
        <w:outlineLvl w:val="1"/>
        <w:rPr>
          <w:rFonts w:hint="eastAsia" w:ascii="宋体" w:hAnsi="宋体" w:cs="宋体"/>
          <w:b w:val="0"/>
          <w:bCs/>
          <w:color w:val="auto"/>
          <w:sz w:val="24"/>
          <w:szCs w:val="24"/>
        </w:rPr>
      </w:pPr>
      <w:bookmarkStart w:id="696" w:name="_Toc21658"/>
      <w:bookmarkStart w:id="697" w:name="_Toc15565"/>
      <w:bookmarkStart w:id="698" w:name="_Toc5550"/>
      <w:bookmarkStart w:id="699" w:name="_Toc1050"/>
      <w:bookmarkStart w:id="700" w:name="_Toc2975"/>
      <w:bookmarkStart w:id="701" w:name="_Toc19868"/>
      <w:r>
        <w:rPr>
          <w:rFonts w:hint="eastAsia" w:ascii="宋体" w:hAnsi="宋体" w:cs="宋体"/>
          <w:b w:val="0"/>
          <w:bCs/>
          <w:color w:val="auto"/>
          <w:sz w:val="24"/>
          <w:szCs w:val="24"/>
        </w:rPr>
        <w:t>设备验收标准及方式</w:t>
      </w:r>
      <w:bookmarkEnd w:id="696"/>
      <w:bookmarkEnd w:id="697"/>
      <w:bookmarkEnd w:id="698"/>
      <w:bookmarkEnd w:id="699"/>
      <w:bookmarkEnd w:id="700"/>
      <w:bookmarkEnd w:id="701"/>
    </w:p>
    <w:p>
      <w:pPr>
        <w:widowControl w:val="0"/>
        <w:numPr>
          <w:ilvl w:val="0"/>
          <w:numId w:val="0"/>
        </w:numPr>
        <w:adjustRightInd w:val="0"/>
        <w:snapToGrid w:val="0"/>
        <w:spacing w:line="360" w:lineRule="auto"/>
        <w:jc w:val="both"/>
        <w:outlineLvl w:val="9"/>
        <w:rPr>
          <w:rFonts w:hint="eastAsia" w:ascii="宋体" w:hAnsi="宋体" w:cs="宋体"/>
          <w:b w:val="0"/>
          <w:bCs/>
          <w:color w:val="auto"/>
          <w:sz w:val="24"/>
          <w:szCs w:val="24"/>
          <w:lang w:val="en-US" w:eastAsia="zh-CN"/>
        </w:rPr>
      </w:pPr>
      <w:bookmarkStart w:id="702" w:name="_Toc24846"/>
      <w:r>
        <w:rPr>
          <w:rFonts w:hint="eastAsia" w:ascii="宋体" w:hAnsi="宋体" w:cs="宋体"/>
          <w:b w:val="0"/>
          <w:bCs/>
          <w:color w:val="auto"/>
          <w:sz w:val="24"/>
          <w:szCs w:val="24"/>
          <w:lang w:val="en-US" w:eastAsia="zh-CN"/>
        </w:rPr>
        <w:t>设备验收依据如下标准</w:t>
      </w:r>
      <w:bookmarkEnd w:id="702"/>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（1）GB 5226.1-2008  机械电气安全机械电气设备 </w:t>
      </w:r>
    </w:p>
    <w:p>
      <w:pPr>
        <w:pStyle w:val="38"/>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第1部分：通用技术条件；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（2）GB 15760-2004   金属切削机床安全防护通用技术条件；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（3）GB/T 9061-2006  金属切削机床通用技术条件；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（4）GB/T 23570-2009 金属切削机床焊接件通用技术条件；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（5）GB/T 23572-2009 金属切削机床液压系统通用技术条件；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（6）GB/T 25373-2010 金属切削机床装配通用技术条件；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（7）JB/T6105-2007 数控机床液压泵站  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（8）JB/T7452-2007 数控机床润滑系统供油装置  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（9）JB/T8356.2-1996  机床包装  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（10）JB/T 3665.3-2006  单柱、双柱立式车床  第3部分：技术条件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（11）GB 17888.1-2008 机械安全 进入机械的固定设施 </w:t>
      </w:r>
    </w:p>
    <w:p>
      <w:pPr>
        <w:pStyle w:val="38"/>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第1部分：进入两级平面之间的固定设施的选择</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（12）GB 17888.2-2008机械安全 进入机械的固定设施 </w:t>
      </w:r>
    </w:p>
    <w:p>
      <w:pPr>
        <w:pStyle w:val="38"/>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第2部分：工作平台和通道；</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（13）GB 17888.3-2008 机械安全 进入机械的固定设施 </w:t>
      </w:r>
    </w:p>
    <w:p>
      <w:pPr>
        <w:pStyle w:val="38"/>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第3部分：楼梯、阶梯和护栏；</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（14）GB 17888.4-2008 机械安全 进入机械的固定设施 </w:t>
      </w:r>
    </w:p>
    <w:p>
      <w:pPr>
        <w:pStyle w:val="38"/>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第4部分：固定式直梯；</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（15）GB/T 25376-2010 金属切削机床机械加工件通用技术条件；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（16）GB/T 16769-2008 金属切削机床 噪声声压级测量方法；</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（17）JB/T 9934.1-1999 数控立式车床 第1部分：精度检验；</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（18）JB/T 9934.2-1999 数控立式车床 第2部分：技术条件；</w:t>
      </w:r>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（19）GB/T17421.2-2000  机床检验通则  第2部分：数控轴线的定位精度和重复定位精度的确定</w:t>
      </w:r>
    </w:p>
    <w:p>
      <w:pPr>
        <w:pStyle w:val="3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除上述标准之外，其他部件和元件都应符合国家相关标准和行业标准。</w:t>
      </w:r>
    </w:p>
    <w:p>
      <w:pPr>
        <w:rPr>
          <w:rFonts w:hint="eastAsia" w:ascii="宋体" w:hAnsi="宋体" w:cs="宋体"/>
          <w:b/>
          <w:color w:val="auto"/>
          <w:spacing w:val="20"/>
          <w:sz w:val="28"/>
          <w:szCs w:val="28"/>
        </w:rPr>
      </w:pPr>
      <w:r>
        <w:rPr>
          <w:rFonts w:hint="eastAsia" w:ascii="宋体" w:hAnsi="宋体" w:cs="宋体"/>
          <w:color w:val="auto"/>
          <w:sz w:val="24"/>
        </w:rPr>
        <w:t>验收技术内容</w:t>
      </w:r>
    </w:p>
    <w:p>
      <w:pPr>
        <w:spacing w:line="360" w:lineRule="auto"/>
        <w:rPr>
          <w:rFonts w:hint="eastAsia" w:ascii="宋体" w:hAnsi="宋体" w:cs="宋体"/>
          <w:color w:val="auto"/>
          <w:sz w:val="24"/>
        </w:rPr>
      </w:pPr>
      <w:r>
        <w:rPr>
          <w:rFonts w:hint="eastAsia" w:ascii="宋体" w:hAnsi="宋体" w:cs="宋体"/>
          <w:color w:val="auto"/>
          <w:sz w:val="24"/>
        </w:rPr>
        <w:t>（1）机床精度检验：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a  几何精度检验。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b  定位精度检验</w:t>
      </w:r>
    </w:p>
    <w:p>
      <w:pPr>
        <w:spacing w:line="360" w:lineRule="auto"/>
        <w:ind w:firstLine="480" w:firstLineChars="200"/>
        <w:rPr>
          <w:rFonts w:hint="eastAsia" w:ascii="宋体" w:hAnsi="宋体" w:cs="宋体"/>
          <w:color w:val="auto"/>
          <w:sz w:val="24"/>
        </w:rPr>
        <w:sectPr>
          <w:headerReference r:id="rId3" w:type="default"/>
          <w:footerReference r:id="rId4" w:type="default"/>
          <w:pgSz w:w="11907" w:h="16840"/>
          <w:pgMar w:top="1474" w:right="1474" w:bottom="1474" w:left="1474" w:header="851" w:footer="1418" w:gutter="0"/>
          <w:cols w:space="720" w:num="1"/>
          <w:docGrid w:linePitch="312" w:charSpace="0"/>
        </w:sectPr>
      </w:pPr>
      <w:r>
        <w:rPr>
          <w:rFonts w:hint="eastAsia" w:ascii="宋体" w:hAnsi="宋体" w:cs="宋体"/>
          <w:color w:val="auto"/>
          <w:sz w:val="24"/>
        </w:rPr>
        <w:t>c  机床切削精度（工作精度）检验（标准试件预验收由中标方提供，终验收由招标方提供）</w:t>
      </w:r>
    </w:p>
    <w:p>
      <w:pPr>
        <w:spacing w:line="360" w:lineRule="auto"/>
        <w:rPr>
          <w:rFonts w:hint="eastAsia" w:ascii="宋体" w:hAnsi="宋体" w:cs="宋体"/>
          <w:color w:val="auto"/>
          <w:sz w:val="24"/>
        </w:rPr>
      </w:pPr>
      <w:r>
        <w:rPr>
          <w:rFonts w:hint="eastAsia" w:ascii="宋体" w:hAnsi="宋体" w:cs="宋体"/>
          <w:color w:val="auto"/>
          <w:sz w:val="24"/>
        </w:rPr>
        <w:t>（2） 检验标准：</w:t>
      </w:r>
    </w:p>
    <w:p>
      <w:pPr>
        <w:spacing w:line="360" w:lineRule="auto"/>
        <w:ind w:left="67" w:leftChars="32" w:firstLine="360" w:firstLineChars="150"/>
        <w:rPr>
          <w:rFonts w:hint="eastAsia" w:ascii="宋体" w:hAnsi="宋体" w:cs="宋体"/>
          <w:color w:val="auto"/>
          <w:sz w:val="24"/>
        </w:rPr>
      </w:pPr>
      <w:r>
        <w:rPr>
          <w:rFonts w:hint="eastAsia" w:ascii="宋体" w:hAnsi="宋体" w:cs="宋体"/>
          <w:color w:val="auto"/>
          <w:sz w:val="24"/>
        </w:rPr>
        <w:t>a  机床精度要按照机床制造相关的检验标准进行，投标方将机床各项检验单附到投标文件中。</w:t>
      </w:r>
    </w:p>
    <w:p>
      <w:pPr>
        <w:spacing w:line="360" w:lineRule="auto"/>
        <w:ind w:left="67" w:leftChars="32" w:firstLine="360" w:firstLineChars="150"/>
        <w:rPr>
          <w:rFonts w:hint="eastAsia" w:ascii="宋体" w:hAnsi="宋体" w:cs="宋体"/>
          <w:color w:val="auto"/>
          <w:sz w:val="24"/>
        </w:rPr>
      </w:pPr>
      <w:r>
        <w:rPr>
          <w:rFonts w:hint="eastAsia" w:ascii="宋体" w:hAnsi="宋体" w:cs="宋体"/>
          <w:color w:val="auto"/>
          <w:sz w:val="24"/>
        </w:rPr>
        <w:t>b  机床切削（工作）精度要按照机床制造相关的试件标准进行，投标方将试件图纸附到投标文件中。</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检验程序：须完成预验收和终验收。</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（4） 预验收：</w:t>
      </w:r>
    </w:p>
    <w:p>
      <w:pPr>
        <w:spacing w:line="360" w:lineRule="auto"/>
        <w:ind w:firstLine="600" w:firstLineChars="250"/>
        <w:rPr>
          <w:rFonts w:hint="eastAsia" w:ascii="宋体" w:hAnsi="宋体" w:cs="宋体"/>
          <w:color w:val="auto"/>
          <w:sz w:val="24"/>
        </w:rPr>
      </w:pPr>
      <w:r>
        <w:rPr>
          <w:rFonts w:hint="eastAsia" w:ascii="宋体" w:hAnsi="宋体" w:cs="宋体"/>
          <w:color w:val="auto"/>
          <w:sz w:val="24"/>
        </w:rPr>
        <w:t>预验收在中标方机床制造地完成，并保证机床精度检验中提到的精度要求。</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（5）终验收：</w:t>
      </w:r>
    </w:p>
    <w:p>
      <w:pPr>
        <w:spacing w:line="360" w:lineRule="auto"/>
        <w:ind w:firstLine="592" w:firstLineChars="247"/>
        <w:rPr>
          <w:rFonts w:hint="eastAsia" w:ascii="宋体" w:hAnsi="宋体" w:cs="宋体"/>
          <w:color w:val="auto"/>
          <w:sz w:val="24"/>
        </w:rPr>
      </w:pPr>
      <w:r>
        <w:rPr>
          <w:rFonts w:hint="eastAsia" w:ascii="宋体" w:hAnsi="宋体" w:cs="宋体"/>
          <w:color w:val="auto"/>
          <w:sz w:val="24"/>
        </w:rPr>
        <w:t>a  机床终验收前中标方要完成以下准备工作：</w:t>
      </w:r>
    </w:p>
    <w:p>
      <w:pPr>
        <w:spacing w:line="360" w:lineRule="auto"/>
        <w:ind w:left="212" w:leftChars="101" w:firstLine="360" w:firstLineChars="150"/>
        <w:rPr>
          <w:rFonts w:hint="eastAsia" w:ascii="宋体" w:hAnsi="宋体" w:cs="宋体"/>
          <w:color w:val="auto"/>
          <w:sz w:val="24"/>
        </w:rPr>
      </w:pPr>
      <w:r>
        <w:rPr>
          <w:rFonts w:hint="eastAsia" w:ascii="宋体" w:hAnsi="宋体" w:cs="宋体"/>
          <w:color w:val="auto"/>
          <w:sz w:val="24"/>
        </w:rPr>
        <w:t>b  为终验收提供所有检验几何精度、定位精度和切削（工作）精度的检验工具、测量仪器以及所需的辅助工具。</w:t>
      </w:r>
    </w:p>
    <w:p>
      <w:pPr>
        <w:spacing w:line="360" w:lineRule="auto"/>
        <w:ind w:left="208" w:leftChars="99" w:firstLine="360" w:firstLineChars="150"/>
        <w:rPr>
          <w:rFonts w:hint="eastAsia" w:ascii="宋体" w:hAnsi="宋体" w:cs="宋体"/>
          <w:color w:val="auto"/>
          <w:sz w:val="24"/>
        </w:rPr>
      </w:pPr>
      <w:r>
        <w:rPr>
          <w:rFonts w:hint="eastAsia" w:ascii="宋体" w:hAnsi="宋体" w:cs="宋体"/>
          <w:color w:val="auto"/>
          <w:sz w:val="24"/>
        </w:rPr>
        <w:t>c  提供切削试件图纸和加工工艺，并列出所需的各种切削刀具规格、型号，以便招标方及时准备。</w:t>
      </w:r>
    </w:p>
    <w:p>
      <w:pPr>
        <w:spacing w:line="360" w:lineRule="auto"/>
        <w:ind w:left="839" w:leftChars="228" w:hanging="360" w:hangingChars="150"/>
        <w:rPr>
          <w:rFonts w:hint="eastAsia" w:ascii="宋体" w:hAnsi="宋体" w:cs="宋体"/>
          <w:color w:val="auto"/>
          <w:sz w:val="24"/>
        </w:rPr>
      </w:pPr>
      <w:r>
        <w:rPr>
          <w:rFonts w:hint="eastAsia" w:ascii="宋体" w:hAnsi="宋体" w:cs="宋体"/>
          <w:color w:val="auto"/>
          <w:sz w:val="24"/>
        </w:rPr>
        <w:t xml:space="preserve">d  终验收在招标方进行，须满足机床精度检验中提到的各项精度要求。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e  噪音检测：整机噪音须在83dB以下。</w:t>
      </w:r>
    </w:p>
    <w:p>
      <w:pPr>
        <w:widowControl w:val="0"/>
        <w:numPr>
          <w:ilvl w:val="0"/>
          <w:numId w:val="0"/>
        </w:numPr>
        <w:adjustRightInd w:val="0"/>
        <w:snapToGrid w:val="0"/>
        <w:spacing w:line="360" w:lineRule="auto"/>
        <w:ind w:firstLine="420"/>
        <w:jc w:val="both"/>
        <w:outlineLvl w:val="9"/>
        <w:rPr>
          <w:rFonts w:hint="eastAsia" w:ascii="宋体" w:hAnsi="宋体" w:cs="宋体"/>
          <w:b w:val="0"/>
          <w:bCs/>
          <w:color w:val="auto"/>
          <w:sz w:val="24"/>
          <w:szCs w:val="24"/>
          <w:lang w:val="en-US" w:eastAsia="zh-CN"/>
        </w:rPr>
      </w:pPr>
      <w:bookmarkStart w:id="703" w:name="_Toc8686"/>
      <w:r>
        <w:rPr>
          <w:rFonts w:hint="eastAsia" w:ascii="宋体" w:hAnsi="宋体" w:cs="宋体"/>
          <w:color w:val="auto"/>
          <w:sz w:val="24"/>
        </w:rPr>
        <w:t>f  终验收结束后，中标方要提供给招标方二份试车和验收记录以及精度检查报告，如果机床的功能、技术规格、性能、内外观质量以及各项精度等检验符合“技术协议书”要求，且运行状态良好。届时，机床终验收证明文件将由双方签字，中标方提供的机床被视为验收合格。</w:t>
      </w:r>
      <w:bookmarkEnd w:id="703"/>
    </w:p>
    <w:p>
      <w:pPr>
        <w:numPr>
          <w:ilvl w:val="0"/>
          <w:numId w:val="6"/>
        </w:numPr>
        <w:adjustRightInd w:val="0"/>
        <w:snapToGrid w:val="0"/>
        <w:spacing w:line="360" w:lineRule="auto"/>
        <w:outlineLvl w:val="1"/>
        <w:rPr>
          <w:rFonts w:hint="eastAsia" w:ascii="宋体" w:hAnsi="宋体" w:cs="宋体"/>
          <w:b/>
          <w:bCs/>
          <w:color w:val="auto"/>
          <w:sz w:val="24"/>
          <w:szCs w:val="24"/>
        </w:rPr>
      </w:pPr>
      <w:bookmarkStart w:id="704" w:name="_Toc20179"/>
      <w:bookmarkStart w:id="705" w:name="_Toc4051"/>
      <w:bookmarkStart w:id="706" w:name="_Toc16036"/>
      <w:bookmarkStart w:id="707" w:name="_Toc29619"/>
      <w:bookmarkStart w:id="708" w:name="_Toc12638"/>
      <w:bookmarkStart w:id="709" w:name="_Toc19867"/>
      <w:r>
        <w:rPr>
          <w:rFonts w:hint="eastAsia" w:ascii="宋体" w:hAnsi="宋体" w:cs="宋体"/>
          <w:b/>
          <w:bCs/>
          <w:color w:val="auto"/>
          <w:sz w:val="24"/>
          <w:szCs w:val="24"/>
        </w:rPr>
        <w:t>技术培训</w:t>
      </w:r>
      <w:bookmarkEnd w:id="704"/>
      <w:bookmarkEnd w:id="705"/>
      <w:bookmarkEnd w:id="706"/>
      <w:bookmarkEnd w:id="707"/>
      <w:bookmarkEnd w:id="708"/>
      <w:bookmarkEnd w:id="709"/>
    </w:p>
    <w:p>
      <w:pPr>
        <w:pStyle w:val="38"/>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（1）中标方在设备组装时提前一星期通知招标方；招标方根据情况，有可能派出钳工和电工跟班学习5～6天，中标方应给予安排。 </w:t>
      </w:r>
    </w:p>
    <w:p>
      <w:pPr>
        <w:pStyle w:val="38"/>
        <w:spacing w:line="360" w:lineRule="auto"/>
        <w:ind w:firstLine="360" w:firstLineChars="150"/>
        <w:rPr>
          <w:rFonts w:hint="eastAsia"/>
          <w:color w:val="auto"/>
          <w:sz w:val="24"/>
          <w:szCs w:val="24"/>
        </w:rPr>
      </w:pPr>
      <w:r>
        <w:rPr>
          <w:rFonts w:hint="eastAsia" w:ascii="宋体" w:hAnsi="宋体" w:eastAsia="宋体" w:cs="宋体"/>
          <w:color w:val="auto"/>
          <w:sz w:val="24"/>
          <w:szCs w:val="24"/>
        </w:rPr>
        <w:t>（2）终验收结束后，中标方在招标方现场，要对招标方操作人员和技术人员进行操作、编程、维修、保养培训，并提供三套相关培训资料。培训时间不少于3天，确保招标方操作、编程、维修人员能够熟练正常操作、编程及处理常见问题。</w:t>
      </w:r>
    </w:p>
    <w:p>
      <w:pPr>
        <w:numPr>
          <w:ilvl w:val="0"/>
          <w:numId w:val="0"/>
        </w:numPr>
        <w:adjustRightInd w:val="0"/>
        <w:snapToGrid w:val="0"/>
        <w:spacing w:line="360" w:lineRule="auto"/>
        <w:outlineLvl w:val="1"/>
        <w:rPr>
          <w:rFonts w:hint="eastAsia" w:cs="宋体"/>
          <w:b/>
          <w:bCs/>
          <w:sz w:val="24"/>
          <w:szCs w:val="24"/>
        </w:rPr>
      </w:pPr>
    </w:p>
    <w:p>
      <w:pPr>
        <w:adjustRightInd/>
        <w:snapToGrid/>
        <w:spacing w:line="240" w:lineRule="auto"/>
        <w:outlineLvl w:val="9"/>
        <w:rPr>
          <w:rFonts w:hint="eastAsia" w:cs="宋体"/>
          <w:b/>
          <w:bCs/>
          <w:sz w:val="24"/>
          <w:szCs w:val="24"/>
        </w:rPr>
      </w:pPr>
      <w:bookmarkStart w:id="710" w:name="_Toc17567"/>
      <w:bookmarkStart w:id="711" w:name="_Toc17797"/>
      <w:r>
        <w:rPr>
          <w:rFonts w:hint="eastAsia" w:cs="宋体"/>
          <w:b/>
          <w:bCs/>
          <w:sz w:val="24"/>
          <w:szCs w:val="24"/>
        </w:rPr>
        <w:br w:type="page"/>
      </w:r>
    </w:p>
    <w:p>
      <w:pPr>
        <w:adjustRightInd w:val="0"/>
        <w:snapToGrid w:val="0"/>
        <w:spacing w:line="360" w:lineRule="auto"/>
        <w:outlineLvl w:val="1"/>
        <w:rPr>
          <w:rFonts w:hint="eastAsia" w:cs="宋体"/>
          <w:sz w:val="24"/>
          <w:szCs w:val="24"/>
        </w:rPr>
      </w:pPr>
      <w:bookmarkStart w:id="712" w:name="_Toc20547"/>
      <w:bookmarkStart w:id="713" w:name="_Toc31154"/>
      <w:bookmarkStart w:id="714" w:name="_Toc15020"/>
      <w:bookmarkStart w:id="715" w:name="_Toc17516"/>
      <w:r>
        <w:rPr>
          <w:rFonts w:hint="eastAsia" w:cs="宋体"/>
          <w:b/>
          <w:bCs/>
          <w:sz w:val="24"/>
          <w:szCs w:val="24"/>
        </w:rPr>
        <w:t>四、交货及售后服务</w:t>
      </w:r>
      <w:bookmarkEnd w:id="710"/>
      <w:bookmarkEnd w:id="711"/>
      <w:bookmarkEnd w:id="712"/>
      <w:bookmarkEnd w:id="713"/>
      <w:bookmarkEnd w:id="714"/>
      <w:bookmarkEnd w:id="715"/>
    </w:p>
    <w:p>
      <w:pPr>
        <w:adjustRightInd w:val="0"/>
        <w:snapToGrid w:val="0"/>
        <w:spacing w:line="360" w:lineRule="auto"/>
        <w:ind w:firstLine="482" w:firstLineChars="200"/>
        <w:rPr>
          <w:rFonts w:hint="eastAsia" w:cs="宋体"/>
          <w:b/>
          <w:bCs/>
          <w:sz w:val="24"/>
          <w:szCs w:val="24"/>
        </w:rPr>
      </w:pPr>
      <w:r>
        <w:rPr>
          <w:rFonts w:hint="eastAsia" w:cs="宋体"/>
          <w:b/>
          <w:bCs/>
          <w:sz w:val="24"/>
          <w:szCs w:val="24"/>
        </w:rPr>
        <w:t>★1.本次招标为交钥匙工程，所需设备、物料、服务等均须按招标文件技术要求由投标方负责全部提供。</w:t>
      </w:r>
    </w:p>
    <w:p>
      <w:pPr>
        <w:adjustRightInd w:val="0"/>
        <w:snapToGrid w:val="0"/>
        <w:spacing w:line="360" w:lineRule="auto"/>
        <w:ind w:firstLine="482" w:firstLineChars="200"/>
        <w:rPr>
          <w:rFonts w:hint="eastAsia" w:cs="宋体"/>
          <w:sz w:val="24"/>
          <w:szCs w:val="24"/>
        </w:rPr>
      </w:pPr>
      <w:r>
        <w:rPr>
          <w:rFonts w:hint="eastAsia" w:cs="宋体"/>
          <w:b/>
          <w:bCs/>
          <w:sz w:val="24"/>
          <w:szCs w:val="24"/>
        </w:rPr>
        <w:t>★</w:t>
      </w:r>
      <w:r>
        <w:rPr>
          <w:rFonts w:hint="eastAsia" w:cs="宋体"/>
          <w:sz w:val="24"/>
          <w:szCs w:val="24"/>
        </w:rPr>
        <w:t>2.全部设备在合同签订后</w:t>
      </w:r>
      <w:r>
        <w:rPr>
          <w:rFonts w:hint="eastAsia" w:cs="宋体"/>
          <w:sz w:val="24"/>
          <w:szCs w:val="24"/>
          <w:u w:val="single"/>
          <w:lang w:val="en-US" w:eastAsia="zh-CN"/>
        </w:rPr>
        <w:t>4个月</w:t>
      </w:r>
      <w:r>
        <w:rPr>
          <w:rFonts w:hint="eastAsia" w:cs="宋体"/>
          <w:sz w:val="24"/>
          <w:szCs w:val="24"/>
          <w:u w:val="single"/>
        </w:rPr>
        <w:t>内</w:t>
      </w:r>
      <w:r>
        <w:rPr>
          <w:rFonts w:hint="eastAsia" w:cs="宋体"/>
          <w:sz w:val="24"/>
          <w:szCs w:val="24"/>
        </w:rPr>
        <w:t>交货到招标人的指定地点，并在具备安装条件后</w:t>
      </w:r>
      <w:r>
        <w:rPr>
          <w:rFonts w:hint="eastAsia" w:cs="宋体"/>
          <w:sz w:val="24"/>
          <w:szCs w:val="24"/>
          <w:u w:val="single"/>
          <w:lang w:val="en-US" w:eastAsia="zh-CN"/>
        </w:rPr>
        <w:t>45</w:t>
      </w:r>
      <w:r>
        <w:rPr>
          <w:rFonts w:hint="eastAsia" w:cs="宋体"/>
          <w:sz w:val="24"/>
          <w:szCs w:val="24"/>
        </w:rPr>
        <w:t>天内完成设备的安装调试。</w:t>
      </w:r>
    </w:p>
    <w:p>
      <w:pPr>
        <w:pStyle w:val="65"/>
        <w:snapToGrid w:val="0"/>
        <w:spacing w:line="360" w:lineRule="auto"/>
        <w:ind w:firstLine="480" w:firstLineChars="200"/>
        <w:rPr>
          <w:rFonts w:hint="eastAsia"/>
          <w:color w:val="auto"/>
        </w:rPr>
      </w:pPr>
      <w:r>
        <w:rPr>
          <w:rFonts w:hint="eastAsia"/>
          <w:color w:val="auto"/>
        </w:rPr>
        <w:t>3.投标方负责交货及安装过程的运输及吊装。</w:t>
      </w:r>
    </w:p>
    <w:p>
      <w:pPr>
        <w:adjustRightInd w:val="0"/>
        <w:snapToGrid w:val="0"/>
        <w:spacing w:line="360" w:lineRule="auto"/>
        <w:ind w:firstLine="480" w:firstLineChars="200"/>
        <w:rPr>
          <w:rFonts w:hint="eastAsia" w:cs="宋体"/>
          <w:sz w:val="24"/>
          <w:szCs w:val="24"/>
        </w:rPr>
      </w:pPr>
      <w:r>
        <w:rPr>
          <w:rFonts w:hint="eastAsia" w:cs="宋体"/>
          <w:sz w:val="24"/>
          <w:szCs w:val="24"/>
        </w:rPr>
        <w:t>4.合同生效后</w:t>
      </w:r>
      <w:r>
        <w:rPr>
          <w:rFonts w:hint="eastAsia" w:cs="宋体"/>
          <w:sz w:val="24"/>
          <w:szCs w:val="24"/>
          <w:lang w:val="en-US" w:eastAsia="zh-CN"/>
        </w:rPr>
        <w:t>10</w:t>
      </w:r>
      <w:r>
        <w:rPr>
          <w:rFonts w:hint="eastAsia" w:cs="宋体"/>
          <w:sz w:val="24"/>
          <w:szCs w:val="24"/>
        </w:rPr>
        <w:t>天内提供设备</w:t>
      </w:r>
      <w:r>
        <w:rPr>
          <w:rFonts w:hint="eastAsia" w:cs="宋体"/>
          <w:sz w:val="24"/>
          <w:szCs w:val="24"/>
          <w:lang w:val="en-US" w:eastAsia="zh-CN"/>
        </w:rPr>
        <w:t>相关</w:t>
      </w:r>
      <w:r>
        <w:rPr>
          <w:rFonts w:hint="eastAsia" w:cs="宋体"/>
          <w:sz w:val="24"/>
          <w:szCs w:val="24"/>
        </w:rPr>
        <w:t>图</w:t>
      </w:r>
      <w:r>
        <w:rPr>
          <w:rFonts w:hint="eastAsia" w:cs="宋体"/>
          <w:sz w:val="24"/>
          <w:szCs w:val="24"/>
          <w:lang w:val="en-US" w:eastAsia="zh-CN"/>
        </w:rPr>
        <w:t>纸</w:t>
      </w:r>
      <w:r>
        <w:rPr>
          <w:rFonts w:hint="eastAsia" w:cs="宋体"/>
          <w:sz w:val="24"/>
          <w:szCs w:val="24"/>
        </w:rPr>
        <w:t>；</w:t>
      </w:r>
    </w:p>
    <w:p>
      <w:pPr>
        <w:adjustRightInd w:val="0"/>
        <w:snapToGrid w:val="0"/>
        <w:spacing w:line="360" w:lineRule="auto"/>
        <w:ind w:firstLine="482" w:firstLineChars="200"/>
        <w:rPr>
          <w:rFonts w:hint="eastAsia" w:eastAsia="宋体" w:cs="宋体"/>
          <w:b/>
          <w:bCs/>
          <w:sz w:val="24"/>
          <w:szCs w:val="24"/>
          <w:lang w:eastAsia="zh-CN"/>
        </w:rPr>
      </w:pPr>
      <w:r>
        <w:rPr>
          <w:rFonts w:hint="eastAsia" w:cs="宋体"/>
          <w:b/>
          <w:bCs/>
          <w:sz w:val="24"/>
          <w:szCs w:val="24"/>
        </w:rPr>
        <w:t>★5.质保期：</w:t>
      </w:r>
      <w:r>
        <w:rPr>
          <w:rFonts w:hint="eastAsia" w:ascii="宋体" w:hAnsi="宋体"/>
          <w:b/>
          <w:color w:val="FF0000"/>
          <w:sz w:val="24"/>
        </w:rPr>
        <w:t>数控系统终检合格之日起（  ）个月。其他为终检合格之日起（   ）个月，由投标方填写</w:t>
      </w:r>
      <w:r>
        <w:rPr>
          <w:rFonts w:hint="eastAsia" w:ascii="宋体" w:hAnsi="宋体"/>
          <w:b/>
          <w:color w:val="FF0000"/>
          <w:sz w:val="24"/>
          <w:lang w:eastAsia="zh-CN"/>
        </w:rPr>
        <w:t>。</w:t>
      </w:r>
      <w:r>
        <w:rPr>
          <w:rFonts w:hint="eastAsia" w:ascii="宋体" w:hAnsi="宋体"/>
          <w:sz w:val="24"/>
        </w:rPr>
        <w:t>设备运行一年之后，中标方应安排人员对设备各项精度复检，</w:t>
      </w:r>
      <w:r>
        <w:rPr>
          <w:rFonts w:hint="eastAsia" w:ascii="宋体" w:hAnsi="宋体"/>
          <w:b/>
          <w:bCs/>
          <w:sz w:val="24"/>
          <w:lang w:val="en-US" w:eastAsia="zh-CN"/>
        </w:rPr>
        <w:t>存在</w:t>
      </w:r>
      <w:r>
        <w:rPr>
          <w:rFonts w:hint="eastAsia" w:ascii="宋体" w:hAnsi="宋体"/>
          <w:b/>
          <w:bCs/>
          <w:sz w:val="24"/>
        </w:rPr>
        <w:t>偏差应调整恢复出厂精度</w:t>
      </w:r>
      <w:r>
        <w:rPr>
          <w:rFonts w:hint="eastAsia" w:ascii="宋体" w:hAnsi="宋体"/>
          <w:b/>
          <w:bCs/>
          <w:sz w:val="24"/>
          <w:lang w:eastAsia="zh-CN"/>
        </w:rPr>
        <w:t>（</w:t>
      </w:r>
      <w:r>
        <w:rPr>
          <w:rFonts w:hint="eastAsia" w:ascii="宋体" w:hAnsi="宋体"/>
          <w:b/>
          <w:bCs/>
          <w:sz w:val="24"/>
        </w:rPr>
        <w:t>含激光干涉仪检测重复定位精度</w:t>
      </w:r>
      <w:r>
        <w:rPr>
          <w:rFonts w:hint="eastAsia" w:ascii="宋体" w:hAnsi="宋体"/>
          <w:b/>
          <w:bCs/>
          <w:sz w:val="24"/>
          <w:lang w:eastAsia="zh-CN"/>
        </w:rPr>
        <w:t>）</w:t>
      </w:r>
      <w:r>
        <w:rPr>
          <w:rFonts w:hint="eastAsia" w:ascii="宋体" w:hAnsi="宋体"/>
          <w:b/>
          <w:bCs/>
          <w:sz w:val="24"/>
        </w:rPr>
        <w:t>。</w:t>
      </w:r>
    </w:p>
    <w:p>
      <w:pPr>
        <w:adjustRightInd w:val="0"/>
        <w:snapToGrid w:val="0"/>
        <w:spacing w:line="360" w:lineRule="auto"/>
        <w:ind w:firstLine="480" w:firstLineChars="200"/>
        <w:rPr>
          <w:rFonts w:hint="eastAsia" w:eastAsia="宋体" w:cs="宋体"/>
          <w:sz w:val="24"/>
          <w:szCs w:val="24"/>
          <w:lang w:val="en-US" w:eastAsia="zh-CN"/>
        </w:rPr>
      </w:pPr>
      <w:r>
        <w:rPr>
          <w:rFonts w:hint="eastAsia" w:cs="宋体"/>
          <w:sz w:val="24"/>
          <w:szCs w:val="24"/>
        </w:rPr>
        <w:t>6.质保期内，因产品质量引起的任何缺陷，由投标方（制造方）负责解决，所有费用均由投标方（制造方）承担，并应在接到招标方（使用方）通知后24小时内到达现场服务；</w:t>
      </w:r>
    </w:p>
    <w:p>
      <w:pPr>
        <w:adjustRightInd w:val="0"/>
        <w:snapToGrid w:val="0"/>
        <w:spacing w:line="360" w:lineRule="auto"/>
        <w:ind w:firstLine="480" w:firstLineChars="200"/>
        <w:rPr>
          <w:rFonts w:hint="eastAsia" w:cs="宋体"/>
          <w:sz w:val="24"/>
          <w:szCs w:val="24"/>
        </w:rPr>
      </w:pPr>
      <w:r>
        <w:rPr>
          <w:rFonts w:hint="eastAsia" w:cs="宋体"/>
          <w:sz w:val="24"/>
          <w:szCs w:val="24"/>
        </w:rPr>
        <w:t>7.质保期后，终身为用户服务，接到招标方报修通知后，投标方（制造方）应在</w:t>
      </w:r>
      <w:r>
        <w:rPr>
          <w:rFonts w:hint="eastAsia" w:cs="宋体"/>
          <w:sz w:val="24"/>
          <w:szCs w:val="24"/>
          <w:lang w:val="en-US" w:eastAsia="zh-CN"/>
        </w:rPr>
        <w:t>4</w:t>
      </w:r>
      <w:r>
        <w:rPr>
          <w:rFonts w:hint="eastAsia" w:cs="宋体"/>
          <w:sz w:val="24"/>
          <w:szCs w:val="24"/>
        </w:rPr>
        <w:t>小时内作出反应，如招标方（使用方）不能解决问题，投标方（制造方）立即派员48小时内到达服务现场，服务费用以优惠价格收取成本费。</w:t>
      </w:r>
    </w:p>
    <w:p>
      <w:pPr>
        <w:adjustRightInd w:val="0"/>
        <w:snapToGrid w:val="0"/>
        <w:spacing w:line="360" w:lineRule="auto"/>
        <w:outlineLvl w:val="1"/>
        <w:rPr>
          <w:rFonts w:hint="eastAsia" w:cs="宋体"/>
          <w:b/>
          <w:bCs/>
          <w:sz w:val="24"/>
          <w:szCs w:val="24"/>
        </w:rPr>
      </w:pPr>
      <w:bookmarkStart w:id="716" w:name="_Toc24879"/>
      <w:bookmarkStart w:id="717" w:name="_Toc14950"/>
      <w:bookmarkStart w:id="718" w:name="_Toc20712"/>
      <w:bookmarkStart w:id="719" w:name="_Toc10386"/>
      <w:bookmarkStart w:id="720" w:name="_Toc28551"/>
      <w:bookmarkStart w:id="721" w:name="_Toc25557"/>
      <w:r>
        <w:rPr>
          <w:rFonts w:hint="eastAsia" w:cs="宋体"/>
          <w:b/>
          <w:bCs/>
          <w:sz w:val="24"/>
          <w:szCs w:val="24"/>
        </w:rPr>
        <w:t>五、★付款方式</w:t>
      </w:r>
      <w:bookmarkEnd w:id="716"/>
      <w:bookmarkEnd w:id="717"/>
      <w:bookmarkEnd w:id="718"/>
      <w:bookmarkEnd w:id="719"/>
      <w:bookmarkEnd w:id="720"/>
      <w:bookmarkEnd w:id="721"/>
    </w:p>
    <w:p>
      <w:pPr>
        <w:pStyle w:val="13"/>
        <w:snapToGrid w:val="0"/>
        <w:spacing w:line="500" w:lineRule="exact"/>
        <w:ind w:left="0" w:leftChars="0" w:firstLine="420" w:firstLineChars="0"/>
        <w:rPr>
          <w:rFonts w:hint="default" w:eastAsia="宋体" w:cs="宋体"/>
          <w:bCs/>
          <w:sz w:val="24"/>
          <w:szCs w:val="24"/>
          <w:highlight w:val="none"/>
          <w:lang w:val="en-US" w:eastAsia="zh-CN"/>
        </w:rPr>
      </w:pPr>
      <w:r>
        <w:rPr>
          <w:rFonts w:hint="eastAsia" w:cs="宋体"/>
          <w:bCs/>
          <w:sz w:val="24"/>
          <w:szCs w:val="24"/>
          <w:highlight w:val="none"/>
        </w:rPr>
        <w:t>合同签订收到</w:t>
      </w:r>
      <w:r>
        <w:rPr>
          <w:rFonts w:hint="eastAsia" w:cs="宋体"/>
          <w:bCs/>
          <w:sz w:val="24"/>
          <w:szCs w:val="24"/>
          <w:highlight w:val="none"/>
          <w:lang w:val="en-US" w:eastAsia="zh-CN"/>
        </w:rPr>
        <w:t>中标</w:t>
      </w:r>
      <w:r>
        <w:rPr>
          <w:rFonts w:hint="eastAsia" w:cs="宋体"/>
          <w:bCs/>
          <w:sz w:val="24"/>
          <w:szCs w:val="24"/>
          <w:highlight w:val="none"/>
        </w:rPr>
        <w:t>方“制造商的项目实施计划表”后十天内</w:t>
      </w:r>
      <w:r>
        <w:rPr>
          <w:rFonts w:hint="eastAsia" w:cs="宋体"/>
          <w:bCs/>
          <w:sz w:val="24"/>
          <w:szCs w:val="24"/>
          <w:highlight w:val="none"/>
          <w:lang w:val="en-US" w:eastAsia="zh-CN"/>
        </w:rPr>
        <w:t>招标方</w:t>
      </w:r>
      <w:r>
        <w:rPr>
          <w:rFonts w:hint="eastAsia" w:cs="宋体"/>
          <w:bCs/>
          <w:sz w:val="24"/>
          <w:szCs w:val="24"/>
          <w:highlight w:val="none"/>
        </w:rPr>
        <w:t>向</w:t>
      </w:r>
      <w:r>
        <w:rPr>
          <w:rFonts w:hint="eastAsia" w:cs="宋体"/>
          <w:bCs/>
          <w:sz w:val="24"/>
          <w:szCs w:val="24"/>
          <w:highlight w:val="none"/>
          <w:lang w:val="en-US" w:eastAsia="zh-CN"/>
        </w:rPr>
        <w:t>中标</w:t>
      </w:r>
      <w:r>
        <w:rPr>
          <w:rFonts w:hint="eastAsia" w:cs="宋体"/>
          <w:bCs/>
          <w:sz w:val="24"/>
          <w:szCs w:val="24"/>
          <w:highlight w:val="none"/>
        </w:rPr>
        <w:t>方支付合同总额30％的预付货款。</w:t>
      </w:r>
      <w:r>
        <w:rPr>
          <w:rFonts w:hint="eastAsia" w:hAnsi="宋体"/>
          <w:color w:val="000000"/>
          <w:sz w:val="24"/>
          <w:szCs w:val="24"/>
        </w:rPr>
        <w:t>设备预验收合格发货前</w:t>
      </w:r>
      <w:r>
        <w:rPr>
          <w:rFonts w:hint="eastAsia" w:cs="宋体"/>
          <w:bCs/>
          <w:sz w:val="24"/>
          <w:szCs w:val="24"/>
          <w:highlight w:val="none"/>
        </w:rPr>
        <w:t>再支付3</w:t>
      </w:r>
      <w:r>
        <w:rPr>
          <w:rFonts w:cs="宋体"/>
          <w:bCs/>
          <w:sz w:val="24"/>
          <w:szCs w:val="24"/>
          <w:highlight w:val="none"/>
        </w:rPr>
        <w:t>0%</w:t>
      </w:r>
      <w:r>
        <w:rPr>
          <w:rFonts w:hint="eastAsia" w:hAnsi="宋体"/>
          <w:color w:val="000000"/>
          <w:sz w:val="24"/>
          <w:szCs w:val="24"/>
        </w:rPr>
        <w:t>工程进度款</w:t>
      </w:r>
      <w:r>
        <w:rPr>
          <w:rFonts w:hint="eastAsia" w:cs="宋体"/>
          <w:bCs/>
          <w:sz w:val="24"/>
          <w:szCs w:val="24"/>
          <w:highlight w:val="none"/>
        </w:rPr>
        <w:t>，</w:t>
      </w:r>
      <w:r>
        <w:rPr>
          <w:rFonts w:hint="eastAsia" w:cs="宋体"/>
          <w:bCs/>
          <w:sz w:val="24"/>
          <w:szCs w:val="24"/>
          <w:highlight w:val="none"/>
          <w:lang w:val="en-US" w:eastAsia="zh-CN"/>
        </w:rPr>
        <w:t>设备在招标</w:t>
      </w:r>
      <w:r>
        <w:rPr>
          <w:rFonts w:hint="eastAsia" w:cs="宋体"/>
          <w:bCs/>
          <w:sz w:val="24"/>
          <w:szCs w:val="24"/>
          <w:highlight w:val="none"/>
        </w:rPr>
        <w:t>方现场安装调试完毕并经最终综合验收合格（三包期起算日）后10日内</w:t>
      </w:r>
      <w:r>
        <w:rPr>
          <w:rFonts w:hint="eastAsia" w:cs="宋体"/>
          <w:bCs/>
          <w:sz w:val="24"/>
          <w:szCs w:val="24"/>
          <w:highlight w:val="none"/>
          <w:lang w:val="en-US" w:eastAsia="zh-CN"/>
        </w:rPr>
        <w:t>收到合同全额</w:t>
      </w:r>
      <w:r>
        <w:rPr>
          <w:rFonts w:hint="eastAsia" w:cs="宋体"/>
          <w:bCs/>
          <w:sz w:val="24"/>
          <w:szCs w:val="24"/>
          <w:highlight w:val="none"/>
        </w:rPr>
        <w:t>增值税发票后，向</w:t>
      </w:r>
      <w:r>
        <w:rPr>
          <w:rFonts w:hint="eastAsia" w:cs="宋体"/>
          <w:bCs/>
          <w:sz w:val="24"/>
          <w:szCs w:val="24"/>
          <w:highlight w:val="none"/>
          <w:lang w:val="en-US" w:eastAsia="zh-CN"/>
        </w:rPr>
        <w:t>中标</w:t>
      </w:r>
      <w:r>
        <w:rPr>
          <w:rFonts w:hint="eastAsia" w:cs="宋体"/>
          <w:bCs/>
          <w:sz w:val="24"/>
          <w:szCs w:val="24"/>
          <w:highlight w:val="none"/>
        </w:rPr>
        <w:t>方支付合同金额</w:t>
      </w:r>
      <w:r>
        <w:rPr>
          <w:rFonts w:cs="宋体"/>
          <w:bCs/>
          <w:sz w:val="24"/>
          <w:szCs w:val="24"/>
          <w:highlight w:val="none"/>
        </w:rPr>
        <w:t>3</w:t>
      </w:r>
      <w:r>
        <w:rPr>
          <w:rFonts w:hint="eastAsia" w:cs="宋体"/>
          <w:bCs/>
          <w:sz w:val="24"/>
          <w:szCs w:val="24"/>
          <w:highlight w:val="none"/>
        </w:rPr>
        <w:t>0％；余10%的质保金验收合格后满一年一个月内结清。</w:t>
      </w:r>
    </w:p>
    <w:p>
      <w:pPr>
        <w:adjustRightInd w:val="0"/>
        <w:snapToGrid w:val="0"/>
        <w:spacing w:line="360" w:lineRule="auto"/>
        <w:outlineLvl w:val="1"/>
        <w:rPr>
          <w:rFonts w:hint="eastAsia" w:cs="宋体"/>
          <w:b/>
          <w:bCs/>
          <w:sz w:val="24"/>
          <w:szCs w:val="24"/>
        </w:rPr>
      </w:pPr>
      <w:bookmarkStart w:id="722" w:name="_Toc20374"/>
      <w:bookmarkStart w:id="723" w:name="_Toc5409"/>
      <w:bookmarkStart w:id="724" w:name="_Toc10148"/>
      <w:bookmarkStart w:id="725" w:name="_Toc13100"/>
      <w:bookmarkStart w:id="726" w:name="_Toc305"/>
      <w:bookmarkStart w:id="727" w:name="_Toc17453"/>
      <w:r>
        <w:rPr>
          <w:rFonts w:hint="eastAsia" w:cs="宋体"/>
          <w:b/>
          <w:bCs/>
          <w:sz w:val="24"/>
          <w:szCs w:val="24"/>
        </w:rPr>
        <w:t>六、报价要求</w:t>
      </w:r>
      <w:bookmarkEnd w:id="722"/>
      <w:bookmarkEnd w:id="723"/>
      <w:bookmarkEnd w:id="724"/>
      <w:bookmarkEnd w:id="725"/>
      <w:bookmarkEnd w:id="726"/>
      <w:bookmarkEnd w:id="727"/>
    </w:p>
    <w:p>
      <w:pPr>
        <w:adjustRightInd w:val="0"/>
        <w:snapToGrid w:val="0"/>
        <w:spacing w:line="360" w:lineRule="auto"/>
        <w:ind w:firstLine="480" w:firstLineChars="200"/>
        <w:rPr>
          <w:rFonts w:hint="eastAsia" w:cs="宋体"/>
          <w:sz w:val="24"/>
          <w:szCs w:val="24"/>
        </w:rPr>
      </w:pPr>
      <w:r>
        <w:rPr>
          <w:rFonts w:hint="eastAsia" w:cs="宋体"/>
          <w:sz w:val="24"/>
          <w:szCs w:val="24"/>
        </w:rPr>
        <w:t>1、投标报价以人民币为货币单位，应分单价、小计和总价。</w:t>
      </w:r>
    </w:p>
    <w:p>
      <w:pPr>
        <w:adjustRightInd w:val="0"/>
        <w:snapToGrid w:val="0"/>
        <w:spacing w:line="360" w:lineRule="auto"/>
        <w:ind w:firstLine="480" w:firstLineChars="200"/>
        <w:rPr>
          <w:rFonts w:hint="eastAsia" w:cs="宋体"/>
          <w:sz w:val="24"/>
          <w:szCs w:val="24"/>
        </w:rPr>
      </w:pPr>
      <w:r>
        <w:rPr>
          <w:rFonts w:hint="eastAsia" w:cs="宋体"/>
          <w:sz w:val="24"/>
          <w:szCs w:val="24"/>
        </w:rPr>
        <w:t>2、投标总报价为货物送达采购人指定地点并实施安装调试，经采购人验收合格并交货完毕所发生的一切费用，其包括货物设计、制造、运输、采购保管、保险、售后服务（含保修期内的上门服务）、资料图册提供及伴随服务等费用。所有报价均应已包含国家规定的所有税费。报价人应自行核算项目正常、合法运作及使用所必需的费用。</w:t>
      </w:r>
    </w:p>
    <w:p>
      <w:pPr>
        <w:adjustRightInd w:val="0"/>
        <w:snapToGrid w:val="0"/>
        <w:spacing w:line="360" w:lineRule="auto"/>
        <w:ind w:firstLine="480" w:firstLineChars="200"/>
        <w:rPr>
          <w:rFonts w:hint="eastAsia" w:cs="宋体"/>
          <w:sz w:val="24"/>
          <w:szCs w:val="24"/>
        </w:rPr>
      </w:pPr>
      <w:r>
        <w:rPr>
          <w:rFonts w:hint="eastAsia" w:cs="宋体"/>
          <w:sz w:val="24"/>
          <w:szCs w:val="24"/>
        </w:rPr>
        <w:t>3、投标人漏报的单价或每单价报价中漏报、少报的费用，视为此项费用已隐含在报价报价中，中标后不得再向招标人收取任何费用。</w:t>
      </w:r>
    </w:p>
    <w:p>
      <w:pPr>
        <w:adjustRightInd w:val="0"/>
        <w:snapToGrid w:val="0"/>
        <w:spacing w:line="360" w:lineRule="auto"/>
        <w:ind w:firstLine="480" w:firstLineChars="200"/>
        <w:rPr>
          <w:rFonts w:hint="eastAsia" w:cs="宋体"/>
          <w:sz w:val="24"/>
          <w:szCs w:val="24"/>
        </w:rPr>
      </w:pPr>
      <w:r>
        <w:rPr>
          <w:rFonts w:hint="eastAsia" w:cs="宋体"/>
          <w:sz w:val="24"/>
          <w:szCs w:val="24"/>
        </w:rPr>
        <w:t>4、投标人对本项目只能有一个报价，招标采购单位不接受有选择的报价。</w:t>
      </w:r>
    </w:p>
    <w:p>
      <w:pPr>
        <w:adjustRightInd w:val="0"/>
        <w:snapToGrid w:val="0"/>
        <w:spacing w:line="360" w:lineRule="auto"/>
        <w:outlineLvl w:val="1"/>
        <w:rPr>
          <w:rFonts w:hint="eastAsia" w:cs="宋体"/>
          <w:b/>
          <w:bCs/>
          <w:sz w:val="24"/>
          <w:szCs w:val="24"/>
        </w:rPr>
      </w:pPr>
      <w:bookmarkStart w:id="728" w:name="_Toc28835"/>
      <w:bookmarkStart w:id="729" w:name="_Toc8031"/>
      <w:bookmarkStart w:id="730" w:name="_Toc23752"/>
      <w:bookmarkStart w:id="731" w:name="_Toc7498"/>
      <w:bookmarkStart w:id="732" w:name="_Toc778"/>
      <w:bookmarkStart w:id="733" w:name="_Toc9032"/>
      <w:r>
        <w:rPr>
          <w:rFonts w:hint="eastAsia" w:cs="宋体"/>
          <w:b/>
          <w:bCs/>
          <w:sz w:val="24"/>
          <w:szCs w:val="24"/>
        </w:rPr>
        <w:t>七、违约责任</w:t>
      </w:r>
      <w:bookmarkEnd w:id="728"/>
      <w:bookmarkEnd w:id="729"/>
      <w:bookmarkEnd w:id="730"/>
      <w:bookmarkEnd w:id="731"/>
      <w:bookmarkEnd w:id="732"/>
      <w:bookmarkEnd w:id="733"/>
    </w:p>
    <w:p>
      <w:pPr>
        <w:spacing w:line="360" w:lineRule="auto"/>
        <w:ind w:firstLine="480" w:firstLineChars="200"/>
        <w:rPr>
          <w:rFonts w:hint="eastAsia" w:cs="宋体"/>
          <w:sz w:val="24"/>
          <w:szCs w:val="24"/>
        </w:rPr>
      </w:pPr>
      <w:r>
        <w:rPr>
          <w:rFonts w:hint="eastAsia" w:cs="宋体"/>
          <w:sz w:val="24"/>
          <w:szCs w:val="24"/>
        </w:rPr>
        <w:t>1、因中标人原因造成采购合同无法按时签订，视为中标人违约，中标人违约对招标人造成的损失的，需另行支付相应的赔偿，并不予退还投标保证金。</w:t>
      </w:r>
    </w:p>
    <w:p>
      <w:pPr>
        <w:spacing w:line="360" w:lineRule="auto"/>
        <w:ind w:firstLine="480" w:firstLineChars="200"/>
        <w:rPr>
          <w:rFonts w:hint="eastAsia" w:cs="宋体"/>
          <w:sz w:val="24"/>
          <w:szCs w:val="24"/>
        </w:rPr>
      </w:pPr>
      <w:r>
        <w:rPr>
          <w:rFonts w:hint="eastAsia" w:cs="宋体"/>
          <w:sz w:val="24"/>
          <w:szCs w:val="24"/>
        </w:rPr>
        <w:t>2、在签定采购合同之后，中标人要求解除合同的，视为中标人违约，对招标人造成的损失的，中标人需支付相应的赔偿。</w:t>
      </w:r>
    </w:p>
    <w:p>
      <w:pPr>
        <w:spacing w:line="360" w:lineRule="auto"/>
        <w:ind w:firstLine="480" w:firstLineChars="200"/>
        <w:rPr>
          <w:rFonts w:hint="eastAsia" w:cs="宋体"/>
          <w:sz w:val="24"/>
          <w:szCs w:val="24"/>
        </w:rPr>
      </w:pPr>
      <w:r>
        <w:rPr>
          <w:rFonts w:hint="eastAsia" w:cs="宋体"/>
          <w:sz w:val="24"/>
          <w:szCs w:val="24"/>
        </w:rPr>
        <w:t>3、因中标人原因发生重大质量事故，除依约承担赔偿责任外，还将按有关质量管理办法规定执行。同时，招标人有权保留更换中标人的权利，并报相关部门处罚。</w:t>
      </w:r>
    </w:p>
    <w:p>
      <w:pPr>
        <w:spacing w:line="360" w:lineRule="auto"/>
        <w:ind w:firstLine="480" w:firstLineChars="200"/>
        <w:rPr>
          <w:rFonts w:hint="eastAsia" w:cs="宋体"/>
          <w:sz w:val="24"/>
          <w:szCs w:val="24"/>
        </w:rPr>
      </w:pPr>
      <w:r>
        <w:rPr>
          <w:rFonts w:hint="eastAsia" w:cs="宋体"/>
          <w:sz w:val="24"/>
          <w:szCs w:val="24"/>
        </w:rPr>
        <w:t>4、若发生死亡安全事故，除按国家有关安全管理规定及招标人有关安全管理办法执行外，并报相关部门处罚；发生重大安全事故或特大安全事故，除按国家有关安全管理规定及招标人有关安全管理办法执行外，招标人有权终止合同，给招标人造成的损失，还应承担赔偿责任。</w:t>
      </w:r>
    </w:p>
    <w:p>
      <w:pPr>
        <w:spacing w:line="360" w:lineRule="auto"/>
        <w:ind w:firstLine="480" w:firstLineChars="200"/>
        <w:rPr>
          <w:rFonts w:hint="eastAsia" w:cs="宋体"/>
          <w:sz w:val="24"/>
          <w:szCs w:val="24"/>
        </w:rPr>
      </w:pPr>
      <w:r>
        <w:rPr>
          <w:rFonts w:hint="eastAsia" w:cs="宋体"/>
          <w:sz w:val="24"/>
          <w:szCs w:val="24"/>
        </w:rPr>
        <w:t>5、在明确违约责任后，中标人应在接到书面通知书起七日内支付违约金、赔偿金等。</w:t>
      </w:r>
    </w:p>
    <w:p>
      <w:pPr>
        <w:adjustRightInd w:val="0"/>
        <w:snapToGrid w:val="0"/>
        <w:spacing w:line="360" w:lineRule="auto"/>
        <w:outlineLvl w:val="1"/>
        <w:rPr>
          <w:rFonts w:hint="eastAsia" w:cs="宋体"/>
          <w:b/>
          <w:bCs/>
          <w:sz w:val="24"/>
          <w:szCs w:val="24"/>
        </w:rPr>
      </w:pPr>
      <w:bookmarkStart w:id="734" w:name="_Toc31665"/>
      <w:bookmarkStart w:id="735" w:name="_Toc12200"/>
      <w:bookmarkStart w:id="736" w:name="_Toc8981"/>
      <w:bookmarkStart w:id="737" w:name="_Toc28351"/>
      <w:bookmarkStart w:id="738" w:name="_Toc31202"/>
      <w:bookmarkStart w:id="739" w:name="_Toc13288"/>
      <w:r>
        <w:rPr>
          <w:rFonts w:hint="eastAsia" w:cs="宋体"/>
          <w:b/>
          <w:bCs/>
          <w:sz w:val="24"/>
          <w:szCs w:val="24"/>
        </w:rPr>
        <w:t>八、知识产权</w:t>
      </w:r>
      <w:bookmarkEnd w:id="734"/>
      <w:bookmarkEnd w:id="735"/>
      <w:bookmarkEnd w:id="736"/>
      <w:bookmarkEnd w:id="737"/>
      <w:bookmarkEnd w:id="738"/>
      <w:bookmarkEnd w:id="739"/>
    </w:p>
    <w:p>
      <w:pPr>
        <w:spacing w:line="360" w:lineRule="auto"/>
        <w:ind w:firstLine="480" w:firstLineChars="200"/>
        <w:rPr>
          <w:rFonts w:hint="eastAsia" w:cs="宋体"/>
          <w:sz w:val="24"/>
          <w:szCs w:val="24"/>
        </w:rPr>
      </w:pPr>
      <w:r>
        <w:rPr>
          <w:rFonts w:hint="eastAsia" w:cs="宋体"/>
          <w:sz w:val="24"/>
          <w:szCs w:val="24"/>
        </w:rPr>
        <w:t>1、投标人必须通过合法渠道获取，并保证招标人在使用过程的任何时候不受到知识产权或版权的纠纷。否则，由此产生的责任，完全由投标人承担。</w:t>
      </w:r>
    </w:p>
    <w:p>
      <w:pPr>
        <w:spacing w:line="360" w:lineRule="auto"/>
        <w:ind w:firstLine="480" w:firstLineChars="200"/>
        <w:rPr>
          <w:rFonts w:hint="eastAsia" w:cs="宋体"/>
          <w:sz w:val="24"/>
          <w:szCs w:val="24"/>
        </w:rPr>
      </w:pPr>
      <w:r>
        <w:rPr>
          <w:rFonts w:hint="eastAsia" w:cs="宋体"/>
          <w:sz w:val="24"/>
          <w:szCs w:val="24"/>
        </w:rPr>
        <w:t>2、投标人必须保证招标人在使用项目成果过程的任何时候均不侵犯第三方的知识产权（包括但不限于专利权、商标权、著作权和技术秘密等权利）。若任何第三方针对投标人根据本项目提供的货物及服务行为提出知识产权侵权指控，投标人须与第三方交涉并承担由此而引起的一切法律责任和费用。如果招标人因为第三方的侵权指控遭受了损失（包括但不限于律师费、诉讼费、生效法律文书要求招标人承担法律责任等），招标人有权向供应商追偿。</w:t>
      </w:r>
    </w:p>
    <w:p>
      <w:pPr>
        <w:adjustRightInd w:val="0"/>
        <w:snapToGrid w:val="0"/>
        <w:spacing w:line="360" w:lineRule="auto"/>
        <w:outlineLvl w:val="1"/>
        <w:rPr>
          <w:rFonts w:hint="eastAsia" w:cs="宋体"/>
          <w:b/>
          <w:bCs/>
          <w:sz w:val="24"/>
          <w:szCs w:val="24"/>
        </w:rPr>
      </w:pPr>
      <w:bookmarkStart w:id="740" w:name="_Toc9717"/>
      <w:bookmarkStart w:id="741" w:name="_Toc25563"/>
      <w:bookmarkStart w:id="742" w:name="_Toc20517"/>
      <w:bookmarkStart w:id="743" w:name="_Toc4818"/>
      <w:bookmarkStart w:id="744" w:name="_Toc13807"/>
      <w:bookmarkStart w:id="745" w:name="_Toc8624"/>
      <w:r>
        <w:rPr>
          <w:rFonts w:hint="eastAsia" w:cs="宋体"/>
          <w:b/>
          <w:bCs/>
          <w:sz w:val="24"/>
          <w:szCs w:val="24"/>
        </w:rPr>
        <w:t>九、合同签订</w:t>
      </w:r>
      <w:bookmarkEnd w:id="740"/>
      <w:bookmarkEnd w:id="741"/>
      <w:bookmarkEnd w:id="742"/>
      <w:bookmarkEnd w:id="743"/>
      <w:bookmarkEnd w:id="744"/>
      <w:bookmarkEnd w:id="745"/>
    </w:p>
    <w:p>
      <w:pPr>
        <w:spacing w:line="360" w:lineRule="auto"/>
        <w:ind w:firstLine="480" w:firstLineChars="200"/>
        <w:rPr>
          <w:rFonts w:hint="eastAsia" w:cs="宋体"/>
          <w:sz w:val="24"/>
          <w:szCs w:val="24"/>
        </w:rPr>
      </w:pPr>
      <w:r>
        <w:rPr>
          <w:rFonts w:hint="eastAsia" w:cs="宋体"/>
          <w:sz w:val="24"/>
          <w:szCs w:val="24"/>
        </w:rPr>
        <w:t>1、中标公告发布后，中标人应及时领取《中标通知书》，持《中标通知书》与招标人签订合同，招标文件、中标人的投标文件均作为合同订立的基础。</w:t>
      </w:r>
    </w:p>
    <w:p>
      <w:pPr>
        <w:spacing w:line="360" w:lineRule="auto"/>
        <w:ind w:firstLine="482" w:firstLineChars="200"/>
        <w:rPr>
          <w:rFonts w:cs="宋体"/>
          <w:b/>
          <w:bCs/>
          <w:sz w:val="24"/>
          <w:szCs w:val="24"/>
        </w:rPr>
      </w:pPr>
      <w:r>
        <w:rPr>
          <w:rFonts w:hint="eastAsia" w:cs="宋体"/>
          <w:b/>
          <w:bCs/>
          <w:sz w:val="24"/>
          <w:szCs w:val="24"/>
        </w:rPr>
        <w:t>2、中标人应当在《中标通知书》发出之日起7日内，派代表与招标人签订合同，如中标人因自身原因不能按时和招标人签订合同，招标人有权取消其成交资格，由第二中标候选人依次递补，并按有关规定对其进行处罚。</w:t>
      </w:r>
    </w:p>
    <w:p>
      <w:pPr>
        <w:pStyle w:val="3"/>
        <w:rPr>
          <w:rFonts w:hint="eastAsia"/>
        </w:rPr>
      </w:pPr>
    </w:p>
    <w:p>
      <w:pPr>
        <w:pStyle w:val="38"/>
        <w:spacing w:line="360" w:lineRule="auto"/>
        <w:ind w:firstLine="480"/>
        <w:rPr>
          <w:rFonts w:hint="eastAsia" w:ascii="宋体" w:hAnsi="宋体" w:eastAsia="宋体"/>
          <w:sz w:val="24"/>
          <w:szCs w:val="24"/>
        </w:rPr>
      </w:pPr>
    </w:p>
    <w:p>
      <w:pPr>
        <w:pStyle w:val="25"/>
        <w:rPr>
          <w:rFonts w:hint="eastAsia"/>
        </w:rPr>
      </w:pPr>
      <w:bookmarkStart w:id="746" w:name="_Toc176509528"/>
    </w:p>
    <w:bookmarkEnd w:id="746"/>
    <w:p>
      <w:pPr>
        <w:spacing w:line="360" w:lineRule="auto"/>
        <w:jc w:val="center"/>
        <w:outlineLvl w:val="0"/>
        <w:rPr>
          <w:rFonts w:hint="eastAsia"/>
          <w:b/>
          <w:bCs/>
          <w:sz w:val="36"/>
          <w:szCs w:val="36"/>
        </w:rPr>
      </w:pPr>
    </w:p>
    <w:p>
      <w:pPr>
        <w:spacing w:line="240" w:lineRule="auto"/>
        <w:jc w:val="left"/>
        <w:outlineLvl w:val="9"/>
        <w:rPr>
          <w:rFonts w:hint="eastAsia"/>
          <w:b/>
          <w:bCs/>
          <w:sz w:val="36"/>
          <w:szCs w:val="36"/>
        </w:rPr>
      </w:pPr>
      <w:bookmarkStart w:id="747" w:name="_Toc1402"/>
      <w:bookmarkStart w:id="748" w:name="_Toc5573"/>
      <w:r>
        <w:rPr>
          <w:rFonts w:hint="eastAsia"/>
          <w:b/>
          <w:bCs/>
          <w:sz w:val="36"/>
          <w:szCs w:val="36"/>
        </w:rPr>
        <w:br w:type="page"/>
      </w:r>
    </w:p>
    <w:p>
      <w:pPr>
        <w:spacing w:line="360" w:lineRule="auto"/>
        <w:jc w:val="center"/>
        <w:outlineLvl w:val="0"/>
        <w:rPr>
          <w:rFonts w:hint="eastAsia"/>
          <w:b/>
          <w:bCs/>
          <w:sz w:val="36"/>
          <w:szCs w:val="36"/>
        </w:rPr>
      </w:pPr>
      <w:bookmarkStart w:id="749" w:name="_Toc356"/>
      <w:bookmarkStart w:id="750" w:name="_Toc12665"/>
      <w:bookmarkStart w:id="751" w:name="_Toc3801"/>
      <w:bookmarkStart w:id="752" w:name="_Toc32411"/>
      <w:r>
        <w:rPr>
          <w:rFonts w:hint="eastAsia"/>
          <w:b/>
          <w:bCs/>
          <w:sz w:val="36"/>
          <w:szCs w:val="36"/>
        </w:rPr>
        <w:t>第五章  合同条款</w:t>
      </w:r>
      <w:bookmarkEnd w:id="747"/>
      <w:bookmarkEnd w:id="748"/>
      <w:bookmarkEnd w:id="749"/>
      <w:bookmarkEnd w:id="750"/>
      <w:bookmarkEnd w:id="751"/>
      <w:bookmarkEnd w:id="752"/>
    </w:p>
    <w:tbl>
      <w:tblPr>
        <w:tblStyle w:val="28"/>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7" w:hRule="atLeast"/>
        </w:trPr>
        <w:tc>
          <w:tcPr>
            <w:tcW w:w="863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rPr>
                <w:rFonts w:hint="eastAsia" w:cs="宋体"/>
                <w:sz w:val="24"/>
                <w:szCs w:val="24"/>
              </w:rPr>
            </w:pPr>
            <w:r>
              <w:rPr>
                <w:rFonts w:hint="eastAsia" w:cs="宋体"/>
                <w:sz w:val="24"/>
                <w:szCs w:val="24"/>
              </w:rPr>
              <w:t>注释：</w:t>
            </w:r>
          </w:p>
          <w:p>
            <w:pPr>
              <w:snapToGrid w:val="0"/>
              <w:spacing w:line="360" w:lineRule="auto"/>
              <w:ind w:firstLine="720" w:firstLineChars="300"/>
              <w:rPr>
                <w:rFonts w:hint="eastAsia" w:cs="宋体"/>
                <w:sz w:val="24"/>
                <w:szCs w:val="24"/>
              </w:rPr>
            </w:pPr>
            <w:r>
              <w:rPr>
                <w:rFonts w:hint="eastAsia" w:cs="宋体"/>
                <w:sz w:val="24"/>
                <w:szCs w:val="24"/>
              </w:rPr>
              <w:t>本格式条款仅作为双方签订合同的参考，为阐明各方的权利和义务，经协商可增加新的条款、修改相关条款，但不得与招标文件、投标文件的实质性内容相背离。</w:t>
            </w:r>
          </w:p>
        </w:tc>
      </w:tr>
    </w:tbl>
    <w:p>
      <w:pPr>
        <w:spacing w:line="360" w:lineRule="auto"/>
        <w:jc w:val="center"/>
        <w:rPr>
          <w:rFonts w:hint="eastAsia" w:cs="宋体"/>
          <w:b/>
          <w:sz w:val="28"/>
          <w:szCs w:val="28"/>
        </w:rPr>
      </w:pPr>
      <w:r>
        <w:rPr>
          <w:rFonts w:hint="eastAsia" w:cs="宋体"/>
          <w:b/>
          <w:sz w:val="28"/>
          <w:szCs w:val="28"/>
        </w:rPr>
        <w:t xml:space="preserve">设  备  买  卖  合  同 </w:t>
      </w:r>
    </w:p>
    <w:p>
      <w:pPr>
        <w:spacing w:line="360" w:lineRule="auto"/>
        <w:rPr>
          <w:rFonts w:hint="eastAsia" w:cs="宋体"/>
          <w:sz w:val="24"/>
          <w:szCs w:val="24"/>
        </w:rPr>
      </w:pPr>
      <w:r>
        <w:rPr>
          <w:rFonts w:hint="eastAsia" w:cs="宋体"/>
          <w:sz w:val="24"/>
          <w:szCs w:val="24"/>
        </w:rPr>
        <w:t>买方：厦工（三明）重型机器有限公司            合同签订地点：三明沙县</w:t>
      </w:r>
    </w:p>
    <w:p>
      <w:pPr>
        <w:pStyle w:val="24"/>
        <w:shd w:val="clear" w:color="auto" w:fill="FFFFFF"/>
        <w:spacing w:line="360" w:lineRule="auto"/>
        <w:rPr>
          <w:rFonts w:hint="eastAsia" w:cs="宋体"/>
          <w:szCs w:val="24"/>
        </w:rPr>
      </w:pPr>
      <w:r>
        <w:rPr>
          <w:rFonts w:hint="eastAsia" w:cs="宋体"/>
          <w:szCs w:val="24"/>
        </w:rPr>
        <w:t>卖方：                                                 合同编号：</w:t>
      </w:r>
    </w:p>
    <w:p>
      <w:pPr>
        <w:pStyle w:val="24"/>
        <w:shd w:val="clear" w:color="auto" w:fill="FFFFFF"/>
        <w:spacing w:line="360" w:lineRule="auto"/>
        <w:rPr>
          <w:rFonts w:hint="eastAsia" w:cs="宋体"/>
          <w:szCs w:val="24"/>
        </w:rPr>
      </w:pPr>
    </w:p>
    <w:p>
      <w:pPr>
        <w:spacing w:line="360" w:lineRule="auto"/>
        <w:ind w:right="-624" w:rightChars="-297"/>
        <w:rPr>
          <w:rFonts w:hint="eastAsia" w:cs="宋体"/>
          <w:sz w:val="24"/>
          <w:szCs w:val="24"/>
        </w:rPr>
      </w:pPr>
      <w:r>
        <w:rPr>
          <w:rFonts w:hint="eastAsia" w:cs="宋体"/>
          <w:sz w:val="24"/>
          <w:szCs w:val="24"/>
        </w:rPr>
        <w:t>买卖双方根据相关法律法规的规定，在平等互利友好协商的基础上达成如下合同条款：</w:t>
      </w:r>
    </w:p>
    <w:p>
      <w:pPr>
        <w:numPr>
          <w:ilvl w:val="0"/>
          <w:numId w:val="8"/>
        </w:numPr>
        <w:spacing w:line="360" w:lineRule="auto"/>
        <w:outlineLvl w:val="1"/>
        <w:rPr>
          <w:rFonts w:hint="eastAsia" w:cs="宋体"/>
          <w:b/>
          <w:sz w:val="24"/>
          <w:szCs w:val="24"/>
        </w:rPr>
      </w:pPr>
      <w:bookmarkStart w:id="753" w:name="_Toc3294"/>
      <w:bookmarkStart w:id="754" w:name="_Toc27343"/>
      <w:bookmarkStart w:id="755" w:name="_Toc20318"/>
      <w:bookmarkStart w:id="756" w:name="_Toc19633"/>
      <w:bookmarkStart w:id="757" w:name="_Toc10188"/>
      <w:bookmarkStart w:id="758" w:name="_Toc13183"/>
      <w:r>
        <w:rPr>
          <w:rFonts w:hint="eastAsia" w:cs="宋体"/>
          <w:b/>
          <w:sz w:val="24"/>
          <w:szCs w:val="24"/>
        </w:rPr>
        <w:t>设备的名称、型号、数量、单价、总价（单位：元）</w:t>
      </w:r>
      <w:bookmarkEnd w:id="753"/>
      <w:bookmarkEnd w:id="754"/>
      <w:bookmarkEnd w:id="755"/>
      <w:bookmarkEnd w:id="756"/>
      <w:bookmarkEnd w:id="757"/>
      <w:bookmarkEnd w:id="758"/>
    </w:p>
    <w:tbl>
      <w:tblPr>
        <w:tblStyle w:val="28"/>
        <w:tblW w:w="85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044"/>
        <w:gridCol w:w="1417"/>
        <w:gridCol w:w="867"/>
        <w:gridCol w:w="1150"/>
        <w:gridCol w:w="1283"/>
        <w:gridCol w:w="1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hint="eastAsia" w:cs="宋体"/>
                <w:sz w:val="24"/>
                <w:szCs w:val="24"/>
              </w:rPr>
            </w:pPr>
            <w:r>
              <w:rPr>
                <w:rFonts w:hint="eastAsia" w:cs="宋体"/>
                <w:sz w:val="24"/>
                <w:szCs w:val="24"/>
              </w:rPr>
              <w:t>序号</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hint="eastAsia" w:cs="宋体"/>
                <w:sz w:val="24"/>
                <w:szCs w:val="24"/>
              </w:rPr>
            </w:pPr>
            <w:r>
              <w:rPr>
                <w:rFonts w:hint="eastAsia" w:cs="宋体"/>
                <w:sz w:val="24"/>
                <w:szCs w:val="24"/>
              </w:rPr>
              <w:t>产品名称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hint="eastAsia" w:cs="宋体"/>
                <w:sz w:val="24"/>
                <w:szCs w:val="24"/>
              </w:rPr>
            </w:pPr>
            <w:r>
              <w:rPr>
                <w:rFonts w:hint="eastAsia" w:cs="宋体"/>
                <w:sz w:val="24"/>
                <w:szCs w:val="24"/>
              </w:rPr>
              <w:t>规格型号</w:t>
            </w:r>
          </w:p>
        </w:tc>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hint="eastAsia" w:cs="宋体"/>
                <w:sz w:val="24"/>
                <w:szCs w:val="24"/>
              </w:rPr>
            </w:pPr>
            <w:r>
              <w:rPr>
                <w:rFonts w:hint="eastAsia" w:cs="宋体"/>
                <w:sz w:val="24"/>
                <w:szCs w:val="24"/>
              </w:rPr>
              <w:t>数量</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jc w:val="center"/>
              <w:rPr>
                <w:rFonts w:hint="eastAsia" w:cs="宋体"/>
                <w:sz w:val="24"/>
                <w:szCs w:val="24"/>
              </w:rPr>
            </w:pPr>
            <w:r>
              <w:rPr>
                <w:rFonts w:hint="eastAsia" w:cs="宋体"/>
                <w:sz w:val="24"/>
                <w:szCs w:val="24"/>
              </w:rPr>
              <w:t>单价</w:t>
            </w:r>
          </w:p>
          <w:p>
            <w:pPr>
              <w:adjustRightInd w:val="0"/>
              <w:snapToGrid w:val="0"/>
              <w:spacing w:before="156" w:beforeLines="50"/>
              <w:jc w:val="center"/>
              <w:rPr>
                <w:rFonts w:hint="eastAsia" w:cs="宋体"/>
                <w:sz w:val="24"/>
                <w:szCs w:val="24"/>
              </w:rPr>
            </w:pPr>
            <w:r>
              <w:rPr>
                <w:rFonts w:hint="eastAsia" w:cs="宋体"/>
                <w:sz w:val="24"/>
                <w:szCs w:val="24"/>
              </w:rPr>
              <w:t>（含税）</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jc w:val="center"/>
              <w:rPr>
                <w:rFonts w:hint="eastAsia" w:cs="宋体"/>
                <w:sz w:val="24"/>
                <w:szCs w:val="24"/>
              </w:rPr>
            </w:pPr>
            <w:r>
              <w:rPr>
                <w:rFonts w:hint="eastAsia" w:cs="宋体"/>
                <w:sz w:val="24"/>
                <w:szCs w:val="24"/>
              </w:rPr>
              <w:t>总价</w:t>
            </w:r>
          </w:p>
          <w:p>
            <w:pPr>
              <w:adjustRightInd w:val="0"/>
              <w:snapToGrid w:val="0"/>
              <w:spacing w:before="156" w:beforeLines="50"/>
              <w:jc w:val="center"/>
              <w:rPr>
                <w:rFonts w:hint="eastAsia" w:cs="宋体"/>
                <w:sz w:val="24"/>
                <w:szCs w:val="24"/>
              </w:rPr>
            </w:pPr>
            <w:r>
              <w:rPr>
                <w:rFonts w:hint="eastAsia" w:cs="宋体"/>
                <w:sz w:val="24"/>
                <w:szCs w:val="24"/>
              </w:rPr>
              <w:t>（含税）</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jc w:val="center"/>
              <w:rPr>
                <w:rFonts w:hint="eastAsia" w:cs="宋体"/>
                <w:sz w:val="24"/>
                <w:szCs w:val="24"/>
              </w:rPr>
            </w:pPr>
            <w:r>
              <w:rPr>
                <w:rFonts w:hint="eastAsia" w:cs="宋体"/>
                <w:sz w:val="24"/>
                <w:szCs w:val="24"/>
              </w:rPr>
              <w:t>备注</w:t>
            </w:r>
          </w:p>
          <w:p>
            <w:pPr>
              <w:adjustRightInd w:val="0"/>
              <w:snapToGrid w:val="0"/>
              <w:spacing w:before="156" w:beforeLines="50"/>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417"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8555" w:type="dxa"/>
            <w:gridSpan w:val="7"/>
            <w:tcBorders>
              <w:top w:val="single" w:color="auto" w:sz="4" w:space="0"/>
              <w:left w:val="single" w:color="auto" w:sz="4" w:space="0"/>
              <w:bottom w:val="single" w:color="auto" w:sz="4" w:space="0"/>
            </w:tcBorders>
            <w:noWrap w:val="0"/>
            <w:vAlign w:val="center"/>
          </w:tcPr>
          <w:p>
            <w:pPr>
              <w:widowControl/>
              <w:spacing w:line="360" w:lineRule="auto"/>
              <w:jc w:val="left"/>
              <w:rPr>
                <w:rFonts w:hint="eastAsia" w:cs="宋体"/>
                <w:kern w:val="0"/>
                <w:sz w:val="24"/>
                <w:szCs w:val="24"/>
              </w:rPr>
            </w:pPr>
            <w:r>
              <w:rPr>
                <w:rFonts w:hint="eastAsia" w:cs="宋体"/>
                <w:sz w:val="24"/>
                <w:szCs w:val="24"/>
              </w:rPr>
              <w:t>合计人民币含税总金额： 元      大写（人民币）：</w:t>
            </w:r>
            <w:r>
              <w:rPr>
                <w:rFonts w:hint="eastAsia"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8555" w:type="dxa"/>
            <w:gridSpan w:val="7"/>
            <w:tcBorders>
              <w:top w:val="single" w:color="auto" w:sz="4" w:space="0"/>
              <w:left w:val="single" w:color="auto" w:sz="4" w:space="0"/>
              <w:bottom w:val="single" w:color="auto" w:sz="4" w:space="0"/>
            </w:tcBorders>
            <w:noWrap w:val="0"/>
            <w:vAlign w:val="center"/>
          </w:tcPr>
          <w:p>
            <w:pPr>
              <w:widowControl/>
              <w:spacing w:line="360" w:lineRule="auto"/>
              <w:jc w:val="left"/>
              <w:rPr>
                <w:rFonts w:hint="eastAsia" w:cs="宋体"/>
                <w:sz w:val="24"/>
                <w:szCs w:val="24"/>
              </w:rPr>
            </w:pPr>
            <w:r>
              <w:rPr>
                <w:rFonts w:hint="eastAsia" w:cs="宋体"/>
                <w:sz w:val="24"/>
                <w:szCs w:val="24"/>
              </w:rPr>
              <w:t>总价包含备用物品、专用工具、安装调试、培训、产品运至目的所需的运费、保险费等各项费用</w:t>
            </w:r>
          </w:p>
        </w:tc>
      </w:tr>
    </w:tbl>
    <w:p>
      <w:pPr>
        <w:spacing w:line="360" w:lineRule="auto"/>
        <w:outlineLvl w:val="1"/>
        <w:rPr>
          <w:rFonts w:hint="eastAsia" w:cs="宋体"/>
          <w:b/>
          <w:sz w:val="24"/>
          <w:szCs w:val="24"/>
        </w:rPr>
      </w:pPr>
      <w:bookmarkStart w:id="759" w:name="_Toc22919"/>
      <w:bookmarkStart w:id="760" w:name="_Toc8935"/>
      <w:bookmarkStart w:id="761" w:name="_Toc113"/>
      <w:bookmarkStart w:id="762" w:name="_Toc4467"/>
      <w:bookmarkStart w:id="763" w:name="_Toc21176"/>
      <w:bookmarkStart w:id="764" w:name="_Toc32408"/>
      <w:r>
        <w:rPr>
          <w:rFonts w:hint="eastAsia" w:cs="宋体"/>
          <w:b/>
          <w:sz w:val="24"/>
          <w:szCs w:val="24"/>
        </w:rPr>
        <w:t>二、设备的技术标准和质量要求：</w:t>
      </w:r>
      <w:bookmarkEnd w:id="759"/>
      <w:bookmarkEnd w:id="760"/>
      <w:bookmarkEnd w:id="761"/>
      <w:bookmarkEnd w:id="762"/>
      <w:bookmarkEnd w:id="763"/>
      <w:bookmarkEnd w:id="764"/>
    </w:p>
    <w:p>
      <w:pPr>
        <w:spacing w:line="360" w:lineRule="auto"/>
        <w:ind w:firstLine="480"/>
        <w:rPr>
          <w:rFonts w:hint="eastAsia" w:cs="宋体"/>
          <w:sz w:val="24"/>
          <w:szCs w:val="24"/>
        </w:rPr>
      </w:pPr>
      <w:r>
        <w:rPr>
          <w:rFonts w:hint="eastAsia" w:cs="宋体"/>
          <w:sz w:val="24"/>
          <w:szCs w:val="24"/>
        </w:rPr>
        <w:t>□  1、按照国标GB</w:t>
      </w:r>
      <w:r>
        <w:rPr>
          <w:rFonts w:hint="eastAsia" w:cs="宋体"/>
          <w:sz w:val="24"/>
          <w:szCs w:val="24"/>
          <w:u w:val="single"/>
        </w:rPr>
        <w:t xml:space="preserve">                  </w:t>
      </w:r>
      <w:r>
        <w:rPr>
          <w:rFonts w:hint="eastAsia" w:cs="宋体"/>
          <w:sz w:val="24"/>
          <w:szCs w:val="24"/>
        </w:rPr>
        <w:t>执行。</w:t>
      </w:r>
    </w:p>
    <w:p>
      <w:pPr>
        <w:spacing w:line="360" w:lineRule="auto"/>
        <w:ind w:firstLine="480"/>
        <w:rPr>
          <w:rFonts w:hint="eastAsia" w:cs="宋体"/>
          <w:sz w:val="24"/>
          <w:szCs w:val="24"/>
          <w:u w:val="single"/>
        </w:rPr>
      </w:pPr>
      <w:r>
        <w:rPr>
          <w:rFonts w:hint="eastAsia" w:cs="宋体"/>
          <w:sz w:val="24"/>
          <w:szCs w:val="24"/>
        </w:rPr>
        <w:t>□  2、按照合同附件</w:t>
      </w:r>
      <w:r>
        <w:rPr>
          <w:rFonts w:hint="eastAsia" w:cs="宋体"/>
          <w:sz w:val="24"/>
          <w:szCs w:val="24"/>
          <w:u w:val="single"/>
        </w:rPr>
        <w:t xml:space="preserve">                   </w:t>
      </w:r>
    </w:p>
    <w:p>
      <w:pPr>
        <w:spacing w:line="360" w:lineRule="auto"/>
        <w:ind w:firstLine="480"/>
        <w:rPr>
          <w:rFonts w:hint="eastAsia" w:cs="宋体"/>
          <w:sz w:val="24"/>
          <w:szCs w:val="24"/>
        </w:rPr>
      </w:pPr>
      <w:r>
        <w:rPr>
          <w:rFonts w:hint="eastAsia" w:cs="宋体"/>
          <w:sz w:val="24"/>
          <w:szCs w:val="24"/>
        </w:rPr>
        <w:sym w:font="Wingdings 2" w:char="0052"/>
      </w:r>
      <w:r>
        <w:rPr>
          <w:rFonts w:hint="eastAsia" w:cs="宋体"/>
          <w:sz w:val="24"/>
          <w:szCs w:val="24"/>
        </w:rPr>
        <w:t xml:space="preserve">  3、按照双方签订的</w:t>
      </w:r>
      <w:r>
        <w:rPr>
          <w:rFonts w:hint="eastAsia" w:cs="宋体"/>
          <w:sz w:val="24"/>
          <w:szCs w:val="24"/>
          <w:u w:val="single"/>
        </w:rPr>
        <w:t xml:space="preserve">    技术协议      </w:t>
      </w:r>
      <w:r>
        <w:rPr>
          <w:rFonts w:hint="eastAsia" w:cs="宋体"/>
          <w:sz w:val="24"/>
          <w:szCs w:val="24"/>
        </w:rPr>
        <w:t>。</w:t>
      </w:r>
    </w:p>
    <w:p>
      <w:pPr>
        <w:spacing w:line="360" w:lineRule="auto"/>
        <w:ind w:firstLine="480"/>
        <w:rPr>
          <w:rFonts w:hint="eastAsia" w:cs="宋体"/>
          <w:sz w:val="24"/>
          <w:szCs w:val="24"/>
        </w:rPr>
      </w:pPr>
      <w:r>
        <w:rPr>
          <w:rFonts w:hint="eastAsia" w:cs="宋体"/>
          <w:sz w:val="24"/>
          <w:szCs w:val="24"/>
        </w:rPr>
        <w:t>□  4、其他标准_______________________。</w:t>
      </w:r>
    </w:p>
    <w:p>
      <w:pPr>
        <w:pStyle w:val="13"/>
        <w:spacing w:line="360" w:lineRule="auto"/>
        <w:ind w:left="0" w:leftChars="0"/>
        <w:outlineLvl w:val="1"/>
        <w:rPr>
          <w:rFonts w:hint="eastAsia" w:cs="宋体"/>
          <w:b/>
          <w:sz w:val="24"/>
          <w:szCs w:val="24"/>
        </w:rPr>
      </w:pPr>
      <w:bookmarkStart w:id="765" w:name="_Toc5201"/>
      <w:bookmarkStart w:id="766" w:name="_Toc21324"/>
      <w:bookmarkStart w:id="767" w:name="_Toc1527"/>
      <w:bookmarkStart w:id="768" w:name="_Toc25602"/>
      <w:bookmarkStart w:id="769" w:name="_Toc20486"/>
      <w:bookmarkStart w:id="770" w:name="_Toc18830"/>
      <w:r>
        <w:rPr>
          <w:rFonts w:hint="eastAsia" w:cs="宋体"/>
          <w:b/>
          <w:sz w:val="24"/>
          <w:szCs w:val="24"/>
        </w:rPr>
        <w:t>三、设备的包装标准和包装物的供应与回收</w:t>
      </w:r>
      <w:bookmarkEnd w:id="765"/>
      <w:bookmarkEnd w:id="766"/>
      <w:bookmarkEnd w:id="767"/>
      <w:bookmarkEnd w:id="768"/>
      <w:bookmarkEnd w:id="769"/>
      <w:bookmarkEnd w:id="770"/>
    </w:p>
    <w:p>
      <w:pPr>
        <w:pStyle w:val="13"/>
        <w:spacing w:line="360" w:lineRule="auto"/>
        <w:ind w:left="0" w:leftChars="0" w:firstLine="480" w:firstLineChars="200"/>
        <w:rPr>
          <w:rFonts w:hint="eastAsia" w:cs="宋体"/>
          <w:sz w:val="24"/>
          <w:szCs w:val="24"/>
        </w:rPr>
      </w:pPr>
      <w:r>
        <w:rPr>
          <w:rFonts w:hint="eastAsia" w:cs="宋体"/>
          <w:sz w:val="24"/>
          <w:szCs w:val="24"/>
        </w:rPr>
        <w:t>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因此导致逾期交货的，按逾期交货承担违约责任。</w:t>
      </w:r>
    </w:p>
    <w:p>
      <w:pPr>
        <w:pStyle w:val="13"/>
        <w:spacing w:line="360" w:lineRule="auto"/>
        <w:ind w:left="0" w:leftChars="0" w:firstLine="480" w:firstLineChars="200"/>
        <w:rPr>
          <w:rFonts w:hint="eastAsia" w:cs="宋体"/>
          <w:sz w:val="24"/>
          <w:szCs w:val="24"/>
        </w:rPr>
      </w:pPr>
      <w:r>
        <w:rPr>
          <w:rFonts w:hint="eastAsia" w:cs="宋体"/>
          <w:sz w:val="24"/>
          <w:szCs w:val="24"/>
        </w:rPr>
        <w:t>2、本合同设备的包装物不回收，由买方处置。</w:t>
      </w:r>
    </w:p>
    <w:p>
      <w:pPr>
        <w:pStyle w:val="13"/>
        <w:spacing w:line="360" w:lineRule="auto"/>
        <w:ind w:left="0" w:leftChars="0" w:firstLine="480" w:firstLineChars="200"/>
        <w:rPr>
          <w:rFonts w:hint="eastAsia" w:cs="宋体"/>
          <w:sz w:val="24"/>
          <w:szCs w:val="24"/>
        </w:rPr>
      </w:pPr>
      <w:r>
        <w:rPr>
          <w:rFonts w:hint="eastAsia" w:cs="宋体"/>
          <w:sz w:val="24"/>
          <w:szCs w:val="24"/>
        </w:rPr>
        <w:t>3、包装费由卖方负担。</w:t>
      </w:r>
    </w:p>
    <w:p>
      <w:pPr>
        <w:pStyle w:val="13"/>
        <w:spacing w:line="360" w:lineRule="auto"/>
        <w:ind w:left="0" w:leftChars="0"/>
        <w:outlineLvl w:val="1"/>
        <w:rPr>
          <w:rFonts w:hint="eastAsia" w:cs="宋体"/>
          <w:b/>
          <w:sz w:val="24"/>
          <w:szCs w:val="24"/>
        </w:rPr>
      </w:pPr>
      <w:bookmarkStart w:id="771" w:name="_Toc24586"/>
      <w:bookmarkStart w:id="772" w:name="_Toc25535"/>
      <w:bookmarkStart w:id="773" w:name="_Toc25296"/>
      <w:bookmarkStart w:id="774" w:name="_Toc12910"/>
      <w:bookmarkStart w:id="775" w:name="_Toc21476"/>
      <w:bookmarkStart w:id="776" w:name="_Toc26762"/>
      <w:r>
        <w:rPr>
          <w:rFonts w:hint="eastAsia" w:cs="宋体"/>
          <w:b/>
          <w:sz w:val="24"/>
          <w:szCs w:val="24"/>
        </w:rPr>
        <w:t>四、交货方式和交货地点：</w:t>
      </w:r>
      <w:bookmarkEnd w:id="771"/>
      <w:bookmarkEnd w:id="772"/>
      <w:bookmarkEnd w:id="773"/>
      <w:bookmarkEnd w:id="774"/>
      <w:bookmarkEnd w:id="775"/>
      <w:bookmarkEnd w:id="776"/>
    </w:p>
    <w:p>
      <w:pPr>
        <w:pStyle w:val="13"/>
        <w:spacing w:line="360" w:lineRule="auto"/>
        <w:ind w:left="0" w:leftChars="0" w:firstLine="480" w:firstLineChars="200"/>
        <w:rPr>
          <w:rFonts w:hint="eastAsia" w:cs="宋体"/>
          <w:sz w:val="24"/>
          <w:szCs w:val="24"/>
        </w:rPr>
      </w:pPr>
      <w:r>
        <w:rPr>
          <w:rFonts w:hint="eastAsia" w:cs="宋体"/>
          <w:sz w:val="24"/>
          <w:szCs w:val="24"/>
        </w:rPr>
        <w:t>1、交货方式：卖方送货方式。由卖方将设备送到买方指定地点交货，交货地点为：</w:t>
      </w:r>
      <w:r>
        <w:rPr>
          <w:rFonts w:hint="eastAsia" w:cs="宋体"/>
          <w:sz w:val="24"/>
          <w:szCs w:val="24"/>
          <w:u w:val="single"/>
        </w:rPr>
        <w:t xml:space="preserve">厦工（三明）重型机器有限公司（详细地址： </w:t>
      </w:r>
      <w:r>
        <w:rPr>
          <w:rFonts w:cs="宋体"/>
          <w:sz w:val="24"/>
          <w:szCs w:val="24"/>
          <w:u w:val="single"/>
        </w:rPr>
        <w:t xml:space="preserve">                   </w:t>
      </w:r>
      <w:r>
        <w:rPr>
          <w:rFonts w:hint="eastAsia" w:cs="宋体"/>
          <w:sz w:val="24"/>
          <w:szCs w:val="24"/>
          <w:u w:val="single"/>
        </w:rPr>
        <w:t xml:space="preserve">） </w:t>
      </w:r>
      <w:r>
        <w:rPr>
          <w:rFonts w:hint="eastAsia" w:cs="宋体"/>
          <w:sz w:val="24"/>
          <w:szCs w:val="24"/>
        </w:rPr>
        <w:t>。</w:t>
      </w:r>
    </w:p>
    <w:p>
      <w:pPr>
        <w:pStyle w:val="13"/>
        <w:spacing w:line="360" w:lineRule="auto"/>
        <w:ind w:left="0" w:leftChars="0" w:firstLine="480" w:firstLineChars="200"/>
        <w:rPr>
          <w:rFonts w:hint="eastAsia" w:cs="宋体"/>
          <w:sz w:val="24"/>
          <w:szCs w:val="24"/>
        </w:rPr>
      </w:pPr>
      <w:r>
        <w:rPr>
          <w:rFonts w:hint="eastAsia" w:cs="宋体"/>
          <w:sz w:val="24"/>
          <w:szCs w:val="24"/>
        </w:rPr>
        <w:t>2、运输方式</w:t>
      </w:r>
      <w:r>
        <w:rPr>
          <w:rFonts w:hint="eastAsia" w:cs="宋体"/>
          <w:sz w:val="24"/>
          <w:szCs w:val="24"/>
          <w:u w:val="single"/>
        </w:rPr>
        <w:t xml:space="preserve">  </w:t>
      </w:r>
      <w:r>
        <w:rPr>
          <w:rFonts w:hint="eastAsia" w:cs="宋体"/>
          <w:b/>
          <w:sz w:val="24"/>
          <w:szCs w:val="24"/>
          <w:u w:val="single"/>
        </w:rPr>
        <w:t xml:space="preserve">      </w:t>
      </w:r>
      <w:r>
        <w:rPr>
          <w:rFonts w:hint="eastAsia" w:cs="宋体"/>
          <w:sz w:val="24"/>
          <w:szCs w:val="24"/>
        </w:rPr>
        <w:t>，运输费及保险等相关费用由卖方承担。</w:t>
      </w:r>
    </w:p>
    <w:p>
      <w:pPr>
        <w:pStyle w:val="13"/>
        <w:spacing w:line="360" w:lineRule="auto"/>
        <w:ind w:left="0" w:leftChars="0" w:firstLine="480" w:firstLineChars="200"/>
        <w:rPr>
          <w:rFonts w:hint="eastAsia" w:cs="宋体"/>
          <w:sz w:val="24"/>
          <w:szCs w:val="24"/>
        </w:rPr>
      </w:pPr>
      <w:r>
        <w:rPr>
          <w:rFonts w:hint="eastAsia" w:cs="宋体"/>
          <w:sz w:val="24"/>
          <w:szCs w:val="24"/>
        </w:rPr>
        <w:t>3、在合同签订后，如买方的指定地点发生变化，买方应在发货前</w:t>
      </w:r>
      <w:r>
        <w:rPr>
          <w:rFonts w:hint="eastAsia" w:cs="宋体"/>
          <w:sz w:val="24"/>
          <w:szCs w:val="24"/>
          <w:u w:val="single"/>
        </w:rPr>
        <w:t xml:space="preserve"> 3</w:t>
      </w:r>
      <w:r>
        <w:rPr>
          <w:rFonts w:hint="eastAsia" w:cs="宋体"/>
          <w:sz w:val="24"/>
          <w:szCs w:val="24"/>
        </w:rPr>
        <w:t>日内通知卖方，卖方应按照买方通知的地点交货。</w:t>
      </w:r>
    </w:p>
    <w:p>
      <w:pPr>
        <w:pStyle w:val="13"/>
        <w:spacing w:line="360" w:lineRule="auto"/>
        <w:ind w:left="0" w:leftChars="0" w:firstLine="480" w:firstLineChars="200"/>
        <w:rPr>
          <w:rFonts w:hint="eastAsia" w:cs="宋体"/>
          <w:sz w:val="24"/>
          <w:szCs w:val="24"/>
        </w:rPr>
      </w:pPr>
      <w:r>
        <w:rPr>
          <w:rFonts w:hint="eastAsia" w:cs="宋体"/>
          <w:sz w:val="24"/>
          <w:szCs w:val="24"/>
        </w:rPr>
        <w:t>4、标的物所有权及风险转移：自设备交付时起，买方获得合同标的物的所有权。卖方在交货地点将标的物交给买方前标的物毁损、灭失的风险由卖方承担，此后由买方承担。</w:t>
      </w:r>
    </w:p>
    <w:p>
      <w:pPr>
        <w:pStyle w:val="13"/>
        <w:spacing w:line="360" w:lineRule="auto"/>
        <w:ind w:left="0" w:leftChars="0"/>
        <w:outlineLvl w:val="1"/>
        <w:rPr>
          <w:rFonts w:hint="eastAsia" w:cs="宋体"/>
          <w:b/>
          <w:sz w:val="24"/>
          <w:szCs w:val="24"/>
        </w:rPr>
      </w:pPr>
      <w:bookmarkStart w:id="777" w:name="_Toc17527"/>
      <w:bookmarkStart w:id="778" w:name="_Toc32309"/>
      <w:bookmarkStart w:id="779" w:name="_Toc14096"/>
      <w:bookmarkStart w:id="780" w:name="_Toc19559"/>
      <w:bookmarkStart w:id="781" w:name="_Toc5935"/>
      <w:bookmarkStart w:id="782" w:name="_Toc9202"/>
      <w:r>
        <w:rPr>
          <w:rFonts w:hint="eastAsia" w:cs="宋体"/>
          <w:b/>
          <w:sz w:val="24"/>
          <w:szCs w:val="24"/>
        </w:rPr>
        <w:t>五、交货时间：</w:t>
      </w:r>
      <w:bookmarkEnd w:id="777"/>
      <w:bookmarkEnd w:id="778"/>
      <w:bookmarkEnd w:id="779"/>
      <w:bookmarkEnd w:id="780"/>
      <w:bookmarkEnd w:id="781"/>
      <w:bookmarkEnd w:id="782"/>
    </w:p>
    <w:p>
      <w:pPr>
        <w:pStyle w:val="13"/>
        <w:spacing w:line="360" w:lineRule="auto"/>
        <w:ind w:left="0" w:leftChars="0" w:firstLine="480" w:firstLineChars="200"/>
        <w:rPr>
          <w:rFonts w:hint="eastAsia" w:cs="宋体"/>
          <w:sz w:val="24"/>
          <w:szCs w:val="24"/>
        </w:rPr>
      </w:pPr>
      <w:r>
        <w:rPr>
          <w:rFonts w:hint="eastAsia" w:cs="宋体"/>
          <w:sz w:val="24"/>
          <w:szCs w:val="24"/>
        </w:rPr>
        <w:t>1、全部设备在合同签订并收到预付款后分批交货到买方的指定地点，并在具备安装条件后</w:t>
      </w:r>
      <w:r>
        <w:rPr>
          <w:rFonts w:hint="eastAsia" w:cs="宋体"/>
          <w:sz w:val="24"/>
          <w:szCs w:val="24"/>
          <w:u w:val="single"/>
        </w:rPr>
        <w:t xml:space="preserve">         </w:t>
      </w:r>
      <w:r>
        <w:rPr>
          <w:rFonts w:hint="eastAsia" w:cs="宋体"/>
          <w:sz w:val="24"/>
          <w:szCs w:val="24"/>
        </w:rPr>
        <w:t>天内完成设备的安装调试。</w:t>
      </w:r>
    </w:p>
    <w:p>
      <w:pPr>
        <w:pStyle w:val="13"/>
        <w:spacing w:line="360" w:lineRule="auto"/>
        <w:ind w:left="0" w:leftChars="0" w:firstLine="480" w:firstLineChars="200"/>
        <w:rPr>
          <w:rFonts w:hint="eastAsia" w:cs="宋体"/>
          <w:sz w:val="24"/>
          <w:szCs w:val="24"/>
        </w:rPr>
      </w:pPr>
      <w:r>
        <w:rPr>
          <w:rFonts w:hint="eastAsia" w:cs="宋体"/>
          <w:sz w:val="24"/>
          <w:szCs w:val="24"/>
        </w:rPr>
        <w:t>2、设备属于分批次交货的，按以下时间要求交货：</w:t>
      </w:r>
    </w:p>
    <w:p>
      <w:pPr>
        <w:pStyle w:val="13"/>
        <w:spacing w:line="360" w:lineRule="auto"/>
        <w:ind w:left="0" w:leftChars="0" w:firstLine="480" w:firstLineChars="200"/>
        <w:rPr>
          <w:rFonts w:hint="eastAsia" w:cs="宋体"/>
          <w:sz w:val="24"/>
          <w:szCs w:val="24"/>
        </w:rPr>
      </w:pPr>
      <w:r>
        <w:rPr>
          <w:rFonts w:hint="eastAsia" w:cs="宋体"/>
          <w:sz w:val="24"/>
          <w:szCs w:val="24"/>
        </w:rPr>
        <w:t>□ ①每批次交货的具体数量、时间要求为：</w:t>
      </w:r>
    </w:p>
    <w:p>
      <w:pPr>
        <w:pStyle w:val="13"/>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②在合同签订后，买方向卖方提出产品每批次交货的具体数量、时间、要求。</w:t>
      </w:r>
    </w:p>
    <w:p>
      <w:pPr>
        <w:pStyle w:val="13"/>
        <w:spacing w:line="360" w:lineRule="auto"/>
        <w:ind w:left="0" w:leftChars="0" w:firstLine="480" w:firstLineChars="200"/>
        <w:rPr>
          <w:rFonts w:hint="eastAsia" w:cs="宋体"/>
          <w:sz w:val="24"/>
          <w:szCs w:val="24"/>
        </w:rPr>
      </w:pPr>
      <w:r>
        <w:rPr>
          <w:rFonts w:hint="eastAsia" w:cs="宋体"/>
          <w:sz w:val="24"/>
          <w:szCs w:val="24"/>
        </w:rPr>
        <w:t>□③本合同设备的交货期及具体交货时间详见“附件</w:t>
      </w:r>
      <w:r>
        <w:rPr>
          <w:rFonts w:hint="eastAsia" w:cs="宋体"/>
          <w:sz w:val="24"/>
          <w:szCs w:val="24"/>
          <w:u w:val="single"/>
        </w:rPr>
        <w:t xml:space="preserve">          </w:t>
      </w:r>
      <w:r>
        <w:rPr>
          <w:rFonts w:hint="eastAsia" w:cs="宋体"/>
          <w:sz w:val="24"/>
          <w:szCs w:val="24"/>
        </w:rPr>
        <w:t xml:space="preserve"> ”。  </w:t>
      </w:r>
    </w:p>
    <w:p>
      <w:pPr>
        <w:pStyle w:val="13"/>
        <w:spacing w:line="360" w:lineRule="auto"/>
        <w:ind w:left="0" w:leftChars="0" w:firstLine="480" w:firstLineChars="200"/>
        <w:rPr>
          <w:rFonts w:hint="eastAsia" w:cs="宋体"/>
          <w:sz w:val="24"/>
          <w:szCs w:val="24"/>
        </w:rPr>
      </w:pPr>
      <w:r>
        <w:rPr>
          <w:rFonts w:hint="eastAsia" w:cs="宋体"/>
          <w:sz w:val="24"/>
          <w:szCs w:val="24"/>
        </w:rPr>
        <w:t>3、卖方在每批次产品交货前</w:t>
      </w:r>
      <w:r>
        <w:rPr>
          <w:rFonts w:hint="eastAsia" w:cs="宋体"/>
          <w:sz w:val="24"/>
          <w:szCs w:val="24"/>
          <w:u w:val="single"/>
        </w:rPr>
        <w:t xml:space="preserve"> 5</w:t>
      </w:r>
      <w:r>
        <w:rPr>
          <w:rFonts w:hint="eastAsia" w:cs="宋体"/>
          <w:sz w:val="24"/>
          <w:szCs w:val="24"/>
        </w:rPr>
        <w:t>日内应通知买方发货和到达交货地点的时间。</w:t>
      </w:r>
    </w:p>
    <w:p>
      <w:pPr>
        <w:pStyle w:val="13"/>
        <w:spacing w:line="360" w:lineRule="auto"/>
        <w:ind w:left="0" w:leftChars="0" w:firstLine="480" w:firstLineChars="200"/>
        <w:rPr>
          <w:rFonts w:hint="eastAsia" w:cs="宋体"/>
          <w:sz w:val="24"/>
          <w:szCs w:val="24"/>
        </w:rPr>
      </w:pPr>
      <w:r>
        <w:rPr>
          <w:rFonts w:hint="eastAsia" w:cs="宋体"/>
          <w:sz w:val="24"/>
          <w:szCs w:val="24"/>
        </w:rPr>
        <w:t>4、由于买方变更交货地点而增加运输周期的，交货时间顺延。</w:t>
      </w:r>
    </w:p>
    <w:p>
      <w:pPr>
        <w:pStyle w:val="13"/>
        <w:spacing w:line="360" w:lineRule="auto"/>
        <w:ind w:left="0" w:leftChars="0"/>
        <w:outlineLvl w:val="1"/>
        <w:rPr>
          <w:rFonts w:hint="eastAsia" w:cs="宋体"/>
          <w:b/>
          <w:sz w:val="24"/>
          <w:szCs w:val="24"/>
        </w:rPr>
      </w:pPr>
      <w:bookmarkStart w:id="783" w:name="_Toc27277"/>
      <w:bookmarkStart w:id="784" w:name="_Toc26416"/>
      <w:bookmarkStart w:id="785" w:name="_Toc1328"/>
      <w:bookmarkStart w:id="786" w:name="_Toc25790"/>
      <w:bookmarkStart w:id="787" w:name="_Toc26807"/>
      <w:bookmarkStart w:id="788" w:name="_Toc25920"/>
      <w:r>
        <w:rPr>
          <w:rFonts w:hint="eastAsia" w:cs="宋体"/>
          <w:b/>
          <w:sz w:val="24"/>
          <w:szCs w:val="24"/>
        </w:rPr>
        <w:t>六、随机备品、配件及工具的供应办法：</w:t>
      </w:r>
      <w:bookmarkEnd w:id="783"/>
      <w:bookmarkEnd w:id="784"/>
      <w:bookmarkEnd w:id="785"/>
      <w:bookmarkEnd w:id="786"/>
      <w:bookmarkEnd w:id="787"/>
      <w:bookmarkEnd w:id="788"/>
    </w:p>
    <w:p>
      <w:pPr>
        <w:pStyle w:val="13"/>
        <w:spacing w:line="360" w:lineRule="auto"/>
        <w:ind w:left="0" w:leftChars="0" w:firstLine="480" w:firstLineChars="200"/>
        <w:rPr>
          <w:rFonts w:hint="eastAsia" w:cs="宋体"/>
          <w:sz w:val="24"/>
          <w:szCs w:val="24"/>
        </w:rPr>
      </w:pPr>
      <w:r>
        <w:rPr>
          <w:rFonts w:hint="eastAsia" w:cs="宋体"/>
          <w:sz w:val="24"/>
          <w:szCs w:val="24"/>
        </w:rPr>
        <w:t>□ 1、卖方按设备特点，免费提供齐全的随机备品、配件及工具，对特殊的配件，卖方应有必要的储备，以满足买方的应急需要。</w:t>
      </w:r>
    </w:p>
    <w:p>
      <w:pPr>
        <w:pStyle w:val="13"/>
        <w:spacing w:line="360" w:lineRule="auto"/>
        <w:ind w:left="0" w:leftChars="0" w:firstLine="480" w:firstLineChars="200"/>
        <w:rPr>
          <w:rFonts w:hint="eastAsia" w:cs="宋体"/>
          <w:sz w:val="24"/>
          <w:szCs w:val="24"/>
        </w:rPr>
      </w:pPr>
      <w:r>
        <w:rPr>
          <w:rFonts w:hint="eastAsia" w:cs="宋体"/>
          <w:sz w:val="24"/>
          <w:szCs w:val="24"/>
        </w:rPr>
        <w:t>□ 2、卖方免费提供部分备品备件，名称及数量详见附件。</w:t>
      </w:r>
    </w:p>
    <w:p>
      <w:pPr>
        <w:pStyle w:val="13"/>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 xml:space="preserve"> 3、卖方免费提供部分备品备件，名称及数量详见本合同相关技术协议约定。</w:t>
      </w:r>
    </w:p>
    <w:p>
      <w:pPr>
        <w:pStyle w:val="13"/>
        <w:spacing w:line="360" w:lineRule="auto"/>
        <w:ind w:left="0" w:leftChars="0" w:firstLine="480" w:firstLineChars="200"/>
        <w:rPr>
          <w:rFonts w:hint="eastAsia" w:cs="宋体"/>
          <w:sz w:val="24"/>
          <w:szCs w:val="24"/>
        </w:rPr>
      </w:pPr>
      <w:r>
        <w:rPr>
          <w:rFonts w:hint="eastAsia" w:cs="宋体"/>
          <w:sz w:val="24"/>
          <w:szCs w:val="24"/>
        </w:rPr>
        <w:t>□ 4、无需提供备品备件。</w:t>
      </w:r>
    </w:p>
    <w:p>
      <w:pPr>
        <w:pStyle w:val="13"/>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 xml:space="preserve"> 5、在质保期届满后，卖方应按买方的要求随时以最优惠的价格向买方提供设备所需的备品、配件及工具等备品备件。</w:t>
      </w:r>
    </w:p>
    <w:p>
      <w:pPr>
        <w:pStyle w:val="13"/>
        <w:spacing w:line="360" w:lineRule="auto"/>
        <w:ind w:left="0" w:leftChars="0"/>
        <w:outlineLvl w:val="1"/>
        <w:rPr>
          <w:rFonts w:hint="eastAsia" w:cs="宋体"/>
          <w:b/>
          <w:sz w:val="24"/>
          <w:szCs w:val="24"/>
        </w:rPr>
      </w:pPr>
      <w:bookmarkStart w:id="789" w:name="_Toc5196"/>
      <w:bookmarkStart w:id="790" w:name="_Toc6591"/>
      <w:bookmarkStart w:id="791" w:name="_Toc28775"/>
      <w:bookmarkStart w:id="792" w:name="_Toc23853"/>
      <w:bookmarkStart w:id="793" w:name="_Toc17140"/>
      <w:bookmarkStart w:id="794" w:name="_Toc10997"/>
      <w:r>
        <w:rPr>
          <w:rFonts w:hint="eastAsia" w:cs="宋体"/>
          <w:b/>
          <w:sz w:val="24"/>
          <w:szCs w:val="24"/>
        </w:rPr>
        <w:t>七、合同价款及支付方式：</w:t>
      </w:r>
      <w:bookmarkEnd w:id="789"/>
      <w:bookmarkEnd w:id="790"/>
      <w:bookmarkEnd w:id="791"/>
      <w:bookmarkEnd w:id="792"/>
      <w:bookmarkEnd w:id="793"/>
      <w:bookmarkEnd w:id="794"/>
    </w:p>
    <w:p>
      <w:pPr>
        <w:pStyle w:val="13"/>
        <w:spacing w:after="0" w:line="360" w:lineRule="auto"/>
        <w:ind w:left="0" w:leftChars="0" w:firstLine="480" w:firstLineChars="200"/>
        <w:rPr>
          <w:rFonts w:hint="eastAsia" w:cs="宋体"/>
          <w:sz w:val="24"/>
          <w:szCs w:val="24"/>
        </w:rPr>
      </w:pPr>
      <w:r>
        <w:rPr>
          <w:rFonts w:hint="eastAsia" w:cs="宋体"/>
          <w:sz w:val="24"/>
          <w:szCs w:val="24"/>
        </w:rPr>
        <w:t>1、合同总价款（含税）为</w:t>
      </w:r>
      <w:r>
        <w:rPr>
          <w:rFonts w:hint="eastAsia" w:cs="宋体"/>
          <w:sz w:val="24"/>
          <w:szCs w:val="24"/>
          <w:u w:val="single"/>
        </w:rPr>
        <w:t xml:space="preserve">      </w:t>
      </w:r>
      <w:r>
        <w:rPr>
          <w:rFonts w:hint="eastAsia" w:cs="宋体"/>
          <w:sz w:val="24"/>
          <w:szCs w:val="24"/>
        </w:rPr>
        <w:t>元人民币,（大写RMB）：</w:t>
      </w:r>
      <w:r>
        <w:rPr>
          <w:rFonts w:hint="eastAsia" w:cs="宋体"/>
          <w:b/>
          <w:sz w:val="24"/>
          <w:szCs w:val="24"/>
          <w:u w:val="single"/>
        </w:rPr>
        <w:t xml:space="preserve">          </w:t>
      </w:r>
      <w:r>
        <w:rPr>
          <w:rFonts w:hint="eastAsia" w:cs="宋体"/>
          <w:b/>
          <w:bCs/>
          <w:sz w:val="24"/>
          <w:szCs w:val="24"/>
        </w:rPr>
        <w:t>。</w:t>
      </w:r>
    </w:p>
    <w:p>
      <w:pPr>
        <w:pStyle w:val="13"/>
        <w:spacing w:after="0" w:line="360" w:lineRule="auto"/>
        <w:ind w:left="0" w:leftChars="0" w:firstLine="480" w:firstLineChars="200"/>
        <w:rPr>
          <w:rFonts w:hint="eastAsia" w:cs="宋体"/>
          <w:sz w:val="24"/>
          <w:szCs w:val="24"/>
        </w:rPr>
      </w:pPr>
      <w:r>
        <w:rPr>
          <w:rFonts w:hint="eastAsia" w:cs="宋体"/>
          <w:sz w:val="24"/>
          <w:szCs w:val="24"/>
        </w:rPr>
        <w:t>2、支付方式：</w:t>
      </w:r>
    </w:p>
    <w:p>
      <w:pPr>
        <w:pStyle w:val="13"/>
        <w:spacing w:line="360" w:lineRule="auto"/>
        <w:ind w:left="0" w:leftChars="0" w:firstLine="480" w:firstLineChars="200"/>
        <w:rPr>
          <w:rFonts w:hint="eastAsia" w:cs="宋体"/>
          <w:sz w:val="24"/>
          <w:szCs w:val="24"/>
        </w:rPr>
      </w:pPr>
      <w:r>
        <w:rPr>
          <w:rFonts w:hint="eastAsia" w:cs="宋体"/>
          <w:sz w:val="24"/>
          <w:szCs w:val="24"/>
        </w:rPr>
        <w:t>□ ① 卖方将全部设备送到指定地点，经买方初步验收合格后</w:t>
      </w:r>
      <w:r>
        <w:rPr>
          <w:rFonts w:hint="eastAsia" w:cs="宋体"/>
          <w:sz w:val="24"/>
          <w:szCs w:val="24"/>
          <w:u w:val="single"/>
        </w:rPr>
        <w:t xml:space="preserve">  </w:t>
      </w:r>
      <w:r>
        <w:rPr>
          <w:rFonts w:hint="eastAsia" w:cs="宋体"/>
          <w:sz w:val="24"/>
          <w:szCs w:val="24"/>
        </w:rPr>
        <w:t>日内，且买方收到卖方提交的金额为合同总价款</w:t>
      </w:r>
      <w:r>
        <w:rPr>
          <w:rFonts w:hint="eastAsia" w:cs="宋体"/>
          <w:sz w:val="24"/>
          <w:szCs w:val="24"/>
          <w:u w:val="single"/>
        </w:rPr>
        <w:t xml:space="preserve">   </w:t>
      </w:r>
      <w:r>
        <w:rPr>
          <w:rFonts w:hint="eastAsia" w:cs="宋体"/>
          <w:sz w:val="24"/>
          <w:szCs w:val="24"/>
        </w:rPr>
        <w:t>%的增值税专用发票，买方向卖方支付合同总价款的</w:t>
      </w:r>
      <w:r>
        <w:rPr>
          <w:rFonts w:hint="eastAsia" w:cs="宋体"/>
          <w:sz w:val="24"/>
          <w:szCs w:val="24"/>
          <w:u w:val="single"/>
        </w:rPr>
        <w:t xml:space="preserve">         </w:t>
      </w:r>
      <w:r>
        <w:rPr>
          <w:rFonts w:hint="eastAsia" w:cs="宋体"/>
          <w:sz w:val="24"/>
          <w:szCs w:val="24"/>
        </w:rPr>
        <w:t>%，计</w:t>
      </w:r>
      <w:r>
        <w:rPr>
          <w:rFonts w:hint="eastAsia" w:cs="宋体"/>
          <w:sz w:val="24"/>
          <w:szCs w:val="24"/>
          <w:u w:val="single"/>
        </w:rPr>
        <w:t xml:space="preserve">         </w:t>
      </w:r>
      <w:r>
        <w:rPr>
          <w:rFonts w:hint="eastAsia" w:cs="宋体"/>
          <w:sz w:val="24"/>
          <w:szCs w:val="24"/>
        </w:rPr>
        <w:t xml:space="preserve">元人民币。 </w:t>
      </w:r>
    </w:p>
    <w:p>
      <w:pPr>
        <w:pStyle w:val="13"/>
        <w:spacing w:line="360" w:lineRule="auto"/>
        <w:ind w:left="0" w:leftChars="0" w:right="26" w:firstLine="480" w:firstLineChars="200"/>
        <w:rPr>
          <w:rFonts w:hint="eastAsia" w:cs="宋体"/>
          <w:color w:val="auto"/>
          <w:sz w:val="24"/>
          <w:szCs w:val="24"/>
        </w:rPr>
      </w:pPr>
      <w:r>
        <w:rPr>
          <w:rFonts w:hint="eastAsia" w:cs="宋体"/>
          <w:sz w:val="24"/>
          <w:szCs w:val="24"/>
        </w:rPr>
        <w:sym w:font="Wingdings 2" w:char="00A3"/>
      </w:r>
      <w:r>
        <w:rPr>
          <w:rFonts w:hint="eastAsia" w:cs="宋体"/>
          <w:sz w:val="24"/>
          <w:szCs w:val="24"/>
        </w:rPr>
        <w:t xml:space="preserve"> ②1、</w:t>
      </w:r>
      <w:r>
        <w:rPr>
          <w:rFonts w:hint="eastAsia" w:cs="宋体"/>
          <w:bCs/>
          <w:sz w:val="24"/>
          <w:szCs w:val="24"/>
          <w:highlight w:val="none"/>
        </w:rPr>
        <w:t>合同签订收到</w:t>
      </w:r>
      <w:r>
        <w:rPr>
          <w:rFonts w:hint="eastAsia" w:cs="宋体"/>
          <w:bCs/>
          <w:sz w:val="24"/>
          <w:szCs w:val="24"/>
          <w:highlight w:val="none"/>
          <w:lang w:val="en-US" w:eastAsia="zh-CN"/>
        </w:rPr>
        <w:t>中标</w:t>
      </w:r>
      <w:r>
        <w:rPr>
          <w:rFonts w:hint="eastAsia" w:cs="宋体"/>
          <w:bCs/>
          <w:sz w:val="24"/>
          <w:szCs w:val="24"/>
          <w:highlight w:val="none"/>
        </w:rPr>
        <w:t>方“制造商的项目实施计划表”后十天内</w:t>
      </w:r>
      <w:r>
        <w:rPr>
          <w:rFonts w:hint="eastAsia" w:cs="宋体"/>
          <w:bCs/>
          <w:sz w:val="24"/>
          <w:szCs w:val="24"/>
          <w:highlight w:val="none"/>
          <w:lang w:val="en-US" w:eastAsia="zh-CN"/>
        </w:rPr>
        <w:t>招标方</w:t>
      </w:r>
      <w:r>
        <w:rPr>
          <w:rFonts w:hint="eastAsia" w:cs="宋体"/>
          <w:bCs/>
          <w:sz w:val="24"/>
          <w:szCs w:val="24"/>
          <w:highlight w:val="none"/>
        </w:rPr>
        <w:t>向</w:t>
      </w:r>
      <w:r>
        <w:rPr>
          <w:rFonts w:hint="eastAsia" w:cs="宋体"/>
          <w:bCs/>
          <w:sz w:val="24"/>
          <w:szCs w:val="24"/>
          <w:highlight w:val="none"/>
          <w:lang w:val="en-US" w:eastAsia="zh-CN"/>
        </w:rPr>
        <w:t>中标</w:t>
      </w:r>
      <w:r>
        <w:rPr>
          <w:rFonts w:hint="eastAsia" w:cs="宋体"/>
          <w:bCs/>
          <w:sz w:val="24"/>
          <w:szCs w:val="24"/>
          <w:highlight w:val="none"/>
        </w:rPr>
        <w:t>方支付合同总额30％的预付货款。</w:t>
      </w:r>
      <w:r>
        <w:rPr>
          <w:rFonts w:hint="eastAsia" w:hAnsi="宋体"/>
          <w:color w:val="000000"/>
          <w:sz w:val="24"/>
          <w:szCs w:val="24"/>
        </w:rPr>
        <w:t>设备预验收合格发货前</w:t>
      </w:r>
      <w:r>
        <w:rPr>
          <w:rFonts w:hint="eastAsia" w:cs="宋体"/>
          <w:bCs/>
          <w:sz w:val="24"/>
          <w:szCs w:val="24"/>
          <w:highlight w:val="none"/>
        </w:rPr>
        <w:t>再支付3</w:t>
      </w:r>
      <w:r>
        <w:rPr>
          <w:rFonts w:cs="宋体"/>
          <w:bCs/>
          <w:sz w:val="24"/>
          <w:szCs w:val="24"/>
          <w:highlight w:val="none"/>
        </w:rPr>
        <w:t>0%</w:t>
      </w:r>
      <w:r>
        <w:rPr>
          <w:rFonts w:hint="eastAsia" w:hAnsi="宋体"/>
          <w:color w:val="000000"/>
          <w:sz w:val="24"/>
          <w:szCs w:val="24"/>
        </w:rPr>
        <w:t>工程进度款</w:t>
      </w:r>
      <w:r>
        <w:rPr>
          <w:rFonts w:hint="eastAsia" w:cs="宋体"/>
          <w:bCs/>
          <w:sz w:val="24"/>
          <w:szCs w:val="24"/>
          <w:highlight w:val="none"/>
        </w:rPr>
        <w:t>，</w:t>
      </w:r>
      <w:r>
        <w:rPr>
          <w:rFonts w:hint="eastAsia" w:cs="宋体"/>
          <w:bCs/>
          <w:sz w:val="24"/>
          <w:szCs w:val="24"/>
          <w:highlight w:val="none"/>
          <w:lang w:val="en-US" w:eastAsia="zh-CN"/>
        </w:rPr>
        <w:t>设备在招标</w:t>
      </w:r>
      <w:r>
        <w:rPr>
          <w:rFonts w:hint="eastAsia" w:cs="宋体"/>
          <w:bCs/>
          <w:sz w:val="24"/>
          <w:szCs w:val="24"/>
          <w:highlight w:val="none"/>
        </w:rPr>
        <w:t>方现场安装调试完毕并经最终综合验收合格（三包期起算日）后10日内</w:t>
      </w:r>
      <w:r>
        <w:rPr>
          <w:rFonts w:hint="eastAsia" w:cs="宋体"/>
          <w:bCs/>
          <w:sz w:val="24"/>
          <w:szCs w:val="24"/>
          <w:highlight w:val="none"/>
          <w:lang w:val="en-US" w:eastAsia="zh-CN"/>
        </w:rPr>
        <w:t>收到合同全额</w:t>
      </w:r>
      <w:r>
        <w:rPr>
          <w:rFonts w:hint="eastAsia" w:cs="宋体"/>
          <w:bCs/>
          <w:sz w:val="24"/>
          <w:szCs w:val="24"/>
          <w:highlight w:val="none"/>
        </w:rPr>
        <w:t>增值税发票后，向</w:t>
      </w:r>
      <w:r>
        <w:rPr>
          <w:rFonts w:hint="eastAsia" w:cs="宋体"/>
          <w:bCs/>
          <w:sz w:val="24"/>
          <w:szCs w:val="24"/>
          <w:highlight w:val="none"/>
          <w:lang w:val="en-US" w:eastAsia="zh-CN"/>
        </w:rPr>
        <w:t>中标</w:t>
      </w:r>
      <w:r>
        <w:rPr>
          <w:rFonts w:hint="eastAsia" w:cs="宋体"/>
          <w:bCs/>
          <w:sz w:val="24"/>
          <w:szCs w:val="24"/>
          <w:highlight w:val="none"/>
        </w:rPr>
        <w:t>方支付合同金额</w:t>
      </w:r>
      <w:r>
        <w:rPr>
          <w:rFonts w:cs="宋体"/>
          <w:bCs/>
          <w:sz w:val="24"/>
          <w:szCs w:val="24"/>
          <w:highlight w:val="none"/>
        </w:rPr>
        <w:t>3</w:t>
      </w:r>
      <w:r>
        <w:rPr>
          <w:rFonts w:hint="eastAsia" w:cs="宋体"/>
          <w:bCs/>
          <w:sz w:val="24"/>
          <w:szCs w:val="24"/>
          <w:highlight w:val="none"/>
        </w:rPr>
        <w:t>0％；余10%的质保金验收合格后满一年一个月内结清</w:t>
      </w:r>
      <w:r>
        <w:rPr>
          <w:rFonts w:hint="eastAsia"/>
          <w:color w:val="auto"/>
          <w:sz w:val="24"/>
          <w:szCs w:val="24"/>
        </w:rPr>
        <w:t>。</w:t>
      </w:r>
    </w:p>
    <w:p>
      <w:pPr>
        <w:pStyle w:val="13"/>
        <w:spacing w:line="360" w:lineRule="auto"/>
        <w:ind w:left="0" w:leftChars="0" w:right="26" w:firstLine="480" w:firstLineChars="200"/>
        <w:rPr>
          <w:rFonts w:hint="eastAsia" w:cs="宋体"/>
          <w:sz w:val="24"/>
          <w:szCs w:val="24"/>
        </w:rPr>
      </w:pPr>
      <w:r>
        <w:rPr>
          <w:rFonts w:hint="eastAsia" w:cs="宋体"/>
          <w:sz w:val="24"/>
          <w:szCs w:val="24"/>
        </w:rPr>
        <w:t>□ ③合同生效后</w:t>
      </w:r>
      <w:r>
        <w:rPr>
          <w:rFonts w:hint="eastAsia" w:cs="宋体"/>
          <w:sz w:val="24"/>
          <w:szCs w:val="24"/>
          <w:u w:val="single"/>
        </w:rPr>
        <w:t xml:space="preserve">   日</w:t>
      </w:r>
      <w:r>
        <w:rPr>
          <w:rFonts w:hint="eastAsia" w:cs="宋体"/>
          <w:sz w:val="24"/>
          <w:szCs w:val="24"/>
        </w:rPr>
        <w:t xml:space="preserve">内预付合同总金额的 </w:t>
      </w:r>
      <w:r>
        <w:rPr>
          <w:rFonts w:hint="eastAsia" w:cs="宋体"/>
          <w:sz w:val="24"/>
          <w:szCs w:val="24"/>
          <w:u w:val="single"/>
        </w:rPr>
        <w:t xml:space="preserve">    </w:t>
      </w:r>
      <w:r>
        <w:rPr>
          <w:rFonts w:hint="eastAsia" w:cs="宋体"/>
          <w:sz w:val="24"/>
          <w:szCs w:val="24"/>
        </w:rPr>
        <w:t>%，货到验收合格且收到卖方提交的金额为合同总价款</w:t>
      </w:r>
      <w:r>
        <w:rPr>
          <w:rFonts w:hint="eastAsia" w:cs="宋体"/>
          <w:sz w:val="24"/>
          <w:szCs w:val="24"/>
          <w:u w:val="single"/>
        </w:rPr>
        <w:t xml:space="preserve">   </w:t>
      </w:r>
      <w:r>
        <w:rPr>
          <w:rFonts w:hint="eastAsia" w:cs="宋体"/>
          <w:sz w:val="24"/>
          <w:szCs w:val="24"/>
        </w:rPr>
        <w:t>%的增值税发票后，</w:t>
      </w:r>
      <w:r>
        <w:rPr>
          <w:rFonts w:hint="eastAsia" w:cs="宋体"/>
          <w:sz w:val="24"/>
          <w:szCs w:val="24"/>
          <w:u w:val="single"/>
        </w:rPr>
        <w:t xml:space="preserve">    </w:t>
      </w:r>
      <w:r>
        <w:rPr>
          <w:rFonts w:hint="eastAsia" w:cs="宋体"/>
          <w:sz w:val="24"/>
          <w:szCs w:val="24"/>
        </w:rPr>
        <w:t>日内支付剩余货款。</w:t>
      </w:r>
    </w:p>
    <w:p>
      <w:pPr>
        <w:pStyle w:val="13"/>
        <w:spacing w:line="360" w:lineRule="auto"/>
        <w:ind w:left="0" w:leftChars="0" w:firstLine="480" w:firstLineChars="200"/>
        <w:rPr>
          <w:rFonts w:hint="eastAsia" w:cs="宋体"/>
          <w:sz w:val="24"/>
          <w:szCs w:val="24"/>
        </w:rPr>
      </w:pPr>
      <w:r>
        <w:rPr>
          <w:rFonts w:hint="eastAsia" w:cs="宋体"/>
          <w:sz w:val="24"/>
          <w:szCs w:val="24"/>
        </w:rPr>
        <w:t>3、付款方式：</w:t>
      </w:r>
    </w:p>
    <w:p>
      <w:pPr>
        <w:pStyle w:val="13"/>
        <w:spacing w:line="360" w:lineRule="auto"/>
        <w:ind w:left="0" w:leftChars="0" w:firstLine="480" w:firstLineChars="200"/>
        <w:rPr>
          <w:rFonts w:hint="eastAsia" w:cs="宋体"/>
          <w:sz w:val="24"/>
          <w:szCs w:val="24"/>
        </w:rPr>
      </w:pPr>
      <w:r>
        <w:rPr>
          <w:rFonts w:hint="eastAsia" w:cs="宋体"/>
          <w:sz w:val="24"/>
          <w:szCs w:val="24"/>
          <w:lang w:eastAsia="zh-CN"/>
        </w:rPr>
        <w:t>□</w:t>
      </w:r>
      <w:r>
        <w:rPr>
          <w:rFonts w:hint="eastAsia" w:cs="宋体"/>
          <w:sz w:val="24"/>
          <w:szCs w:val="24"/>
        </w:rPr>
        <w:t>银行转账</w:t>
      </w:r>
    </w:p>
    <w:p>
      <w:pPr>
        <w:pStyle w:val="13"/>
        <w:tabs>
          <w:tab w:val="left" w:pos="1440"/>
        </w:tabs>
        <w:spacing w:line="360" w:lineRule="auto"/>
        <w:ind w:left="0" w:leftChars="0" w:right="26" w:firstLine="480" w:firstLineChars="200"/>
        <w:rPr>
          <w:rFonts w:hint="eastAsia" w:cs="宋体"/>
          <w:sz w:val="24"/>
          <w:szCs w:val="24"/>
        </w:rPr>
      </w:pPr>
      <w:r>
        <w:rPr>
          <w:rFonts w:hint="eastAsia" w:cs="宋体"/>
          <w:sz w:val="24"/>
          <w:szCs w:val="24"/>
          <w:lang w:eastAsia="zh-CN"/>
        </w:rPr>
        <w:t>□</w:t>
      </w:r>
      <w:r>
        <w:rPr>
          <w:rFonts w:hint="eastAsia" w:cs="宋体"/>
          <w:sz w:val="24"/>
          <w:szCs w:val="24"/>
        </w:rPr>
        <w:t>银行承兑汇票</w:t>
      </w:r>
    </w:p>
    <w:p>
      <w:pPr>
        <w:pStyle w:val="13"/>
        <w:tabs>
          <w:tab w:val="left" w:pos="1440"/>
        </w:tabs>
        <w:spacing w:line="360" w:lineRule="auto"/>
        <w:ind w:left="0" w:leftChars="0" w:firstLine="480" w:firstLineChars="200"/>
        <w:rPr>
          <w:rFonts w:hint="eastAsia" w:cs="宋体"/>
          <w:sz w:val="24"/>
          <w:szCs w:val="24"/>
        </w:rPr>
      </w:pPr>
      <w:r>
        <w:rPr>
          <w:rFonts w:hint="eastAsia" w:cs="宋体"/>
          <w:sz w:val="24"/>
          <w:szCs w:val="24"/>
        </w:rPr>
        <w:t>□商业承兑汇票</w:t>
      </w:r>
    </w:p>
    <w:p>
      <w:pPr>
        <w:pStyle w:val="13"/>
        <w:spacing w:line="360" w:lineRule="auto"/>
        <w:ind w:left="0" w:leftChars="0"/>
        <w:outlineLvl w:val="1"/>
        <w:rPr>
          <w:rFonts w:hint="eastAsia" w:cs="宋体"/>
          <w:b/>
          <w:sz w:val="24"/>
          <w:szCs w:val="24"/>
        </w:rPr>
      </w:pPr>
      <w:bookmarkStart w:id="795" w:name="_Toc6608"/>
      <w:bookmarkStart w:id="796" w:name="_Toc3854"/>
      <w:bookmarkStart w:id="797" w:name="_Toc497"/>
      <w:bookmarkStart w:id="798" w:name="_Toc29708"/>
      <w:bookmarkStart w:id="799" w:name="_Toc139"/>
      <w:bookmarkStart w:id="800" w:name="_Toc10840"/>
      <w:r>
        <w:rPr>
          <w:rFonts w:hint="eastAsia" w:cs="宋体"/>
          <w:b/>
          <w:sz w:val="24"/>
          <w:szCs w:val="24"/>
        </w:rPr>
        <w:t>八、初步验收</w:t>
      </w:r>
      <w:bookmarkEnd w:id="795"/>
      <w:bookmarkEnd w:id="796"/>
      <w:bookmarkEnd w:id="797"/>
      <w:bookmarkEnd w:id="798"/>
      <w:bookmarkEnd w:id="799"/>
      <w:bookmarkEnd w:id="800"/>
    </w:p>
    <w:p>
      <w:pPr>
        <w:pStyle w:val="13"/>
        <w:spacing w:line="360" w:lineRule="auto"/>
        <w:ind w:left="0" w:leftChars="0" w:firstLine="480" w:firstLineChars="200"/>
        <w:rPr>
          <w:rFonts w:hint="eastAsia" w:cs="宋体"/>
          <w:sz w:val="24"/>
          <w:szCs w:val="24"/>
        </w:rPr>
      </w:pPr>
      <w:r>
        <w:rPr>
          <w:rFonts w:hint="eastAsia" w:cs="宋体"/>
          <w:sz w:val="24"/>
          <w:szCs w:val="24"/>
        </w:rPr>
        <w:t>1、每批设备由卖方送到买方指定地点后</w:t>
      </w:r>
      <w:r>
        <w:rPr>
          <w:rFonts w:hint="eastAsia" w:cs="宋体"/>
          <w:sz w:val="24"/>
          <w:szCs w:val="24"/>
          <w:u w:val="single"/>
        </w:rPr>
        <w:t xml:space="preserve">   </w:t>
      </w:r>
      <w:r>
        <w:rPr>
          <w:rFonts w:hint="eastAsia" w:cs="宋体"/>
          <w:sz w:val="24"/>
          <w:szCs w:val="24"/>
        </w:rPr>
        <w:t>日内，在买卖双方均在场并确认包装的完好性后，由买卖双方对产品的包装、外观、数量、商标、型号、规格等进行初步验收，签署检验报告。如卖方未按约定到指定地点参加检验的，应视为卖方对买方单方检验的结果予以确认。</w:t>
      </w:r>
    </w:p>
    <w:p>
      <w:pPr>
        <w:pStyle w:val="13"/>
        <w:spacing w:line="360" w:lineRule="auto"/>
        <w:ind w:left="0" w:leftChars="0" w:firstLine="480" w:firstLineChars="200"/>
        <w:rPr>
          <w:rFonts w:hint="eastAsia" w:cs="宋体"/>
          <w:sz w:val="24"/>
          <w:szCs w:val="24"/>
        </w:rPr>
      </w:pPr>
      <w:r>
        <w:rPr>
          <w:rFonts w:hint="eastAsia" w:cs="宋体"/>
          <w:sz w:val="24"/>
          <w:szCs w:val="24"/>
        </w:rPr>
        <w:t>如发现卖方所交的产品有任何不符合合同规定之处，应做好记录，并由双方代表签字，作为买方向卖方提出修理或更换的依据。</w:t>
      </w:r>
    </w:p>
    <w:p>
      <w:pPr>
        <w:pStyle w:val="13"/>
        <w:spacing w:line="360" w:lineRule="auto"/>
        <w:ind w:left="0" w:leftChars="0" w:firstLine="480" w:firstLineChars="200"/>
        <w:rPr>
          <w:rFonts w:hint="eastAsia" w:cs="宋体"/>
          <w:sz w:val="24"/>
          <w:szCs w:val="24"/>
        </w:rPr>
      </w:pPr>
      <w:r>
        <w:rPr>
          <w:rFonts w:hint="eastAsia" w:cs="宋体"/>
          <w:sz w:val="24"/>
          <w:szCs w:val="24"/>
        </w:rPr>
        <w:t>如双方代表在验收中对检验结果不能取得一致意见时，应由买方选定的第三方进行检验，第三方出具的检验证书对双方均有约束力，检验费用由责任方承担。一旦检验的设备有产品质量问题或不符合买方需求的，即视为卖方交付的同类设备全部不合格，卖方除应负责包退包换与承担相关费用外，还并按合同约定承担相应的违约责任。</w:t>
      </w:r>
    </w:p>
    <w:p>
      <w:pPr>
        <w:pStyle w:val="13"/>
        <w:spacing w:line="360" w:lineRule="auto"/>
        <w:ind w:left="0" w:leftChars="0" w:firstLine="480" w:firstLineChars="200"/>
        <w:rPr>
          <w:rFonts w:hint="eastAsia" w:cs="宋体"/>
          <w:sz w:val="24"/>
          <w:szCs w:val="24"/>
        </w:rPr>
      </w:pPr>
      <w:r>
        <w:rPr>
          <w:rFonts w:hint="eastAsia" w:cs="宋体"/>
          <w:sz w:val="24"/>
          <w:szCs w:val="24"/>
        </w:rPr>
        <w:t>2、卖方随设备向买方交付的图纸和技术资料包括</w:t>
      </w:r>
      <w:r>
        <w:rPr>
          <w:rFonts w:hint="eastAsia" w:cs="宋体"/>
          <w:sz w:val="24"/>
          <w:szCs w:val="24"/>
          <w:u w:val="single"/>
        </w:rPr>
        <w:t xml:space="preserve">            等</w:t>
      </w:r>
      <w:r>
        <w:rPr>
          <w:rFonts w:hint="eastAsia" w:cs="宋体"/>
          <w:sz w:val="24"/>
          <w:szCs w:val="24"/>
        </w:rPr>
        <w:t>。</w:t>
      </w:r>
    </w:p>
    <w:p>
      <w:pPr>
        <w:pStyle w:val="13"/>
        <w:spacing w:line="360" w:lineRule="auto"/>
        <w:ind w:left="0" w:leftChars="0" w:firstLine="480" w:firstLineChars="200"/>
        <w:rPr>
          <w:rFonts w:hint="eastAsia" w:cs="宋体"/>
          <w:sz w:val="24"/>
          <w:szCs w:val="24"/>
        </w:rPr>
      </w:pPr>
      <w:r>
        <w:rPr>
          <w:rFonts w:hint="eastAsia" w:cs="宋体"/>
          <w:sz w:val="24"/>
          <w:szCs w:val="24"/>
        </w:rPr>
        <w:t>3、本条规定的验收仅为设备到货的初步检验，无论是否发现问题，以及卖方是否按买方要求进行了更换或修理，均不能被视为卖方按本合同的规定承担的质量保证责任的解除，不能减免卖方对设备质量应负的责任，此验收不作为对产品内在质量检验的依据。</w:t>
      </w:r>
    </w:p>
    <w:p>
      <w:pPr>
        <w:pStyle w:val="13"/>
        <w:spacing w:line="360" w:lineRule="auto"/>
        <w:ind w:left="0" w:leftChars="0"/>
        <w:outlineLvl w:val="1"/>
        <w:rPr>
          <w:rFonts w:hint="eastAsia" w:cs="宋体"/>
          <w:b/>
          <w:sz w:val="24"/>
          <w:szCs w:val="24"/>
        </w:rPr>
      </w:pPr>
      <w:bookmarkStart w:id="801" w:name="_Toc8532"/>
      <w:bookmarkStart w:id="802" w:name="_Toc6135"/>
      <w:bookmarkStart w:id="803" w:name="_Toc24109"/>
      <w:bookmarkStart w:id="804" w:name="_Toc20143"/>
      <w:bookmarkStart w:id="805" w:name="_Toc27132"/>
      <w:bookmarkStart w:id="806" w:name="_Toc6306"/>
      <w:r>
        <w:rPr>
          <w:rFonts w:hint="eastAsia" w:cs="宋体"/>
          <w:b/>
          <w:sz w:val="24"/>
          <w:szCs w:val="24"/>
        </w:rPr>
        <w:t>九、安装、调试和验收</w:t>
      </w:r>
      <w:bookmarkEnd w:id="801"/>
      <w:bookmarkEnd w:id="802"/>
      <w:bookmarkEnd w:id="803"/>
      <w:bookmarkEnd w:id="804"/>
      <w:bookmarkEnd w:id="805"/>
      <w:bookmarkEnd w:id="806"/>
    </w:p>
    <w:p>
      <w:pPr>
        <w:pStyle w:val="13"/>
        <w:spacing w:line="360" w:lineRule="auto"/>
        <w:ind w:left="0" w:leftChars="0" w:firstLine="480" w:firstLineChars="200"/>
        <w:rPr>
          <w:rFonts w:hint="eastAsia" w:cs="宋体"/>
          <w:sz w:val="24"/>
          <w:szCs w:val="24"/>
        </w:rPr>
      </w:pPr>
      <w:r>
        <w:rPr>
          <w:rFonts w:hint="eastAsia" w:cs="宋体"/>
          <w:sz w:val="24"/>
          <w:szCs w:val="24"/>
        </w:rPr>
        <w:t>1、本合同设备如需安装，由</w:t>
      </w:r>
      <w:r>
        <w:rPr>
          <w:rFonts w:hint="eastAsia" w:cs="宋体"/>
          <w:sz w:val="24"/>
          <w:szCs w:val="24"/>
          <w:u w:val="single"/>
        </w:rPr>
        <w:t>卖</w:t>
      </w:r>
      <w:r>
        <w:rPr>
          <w:rFonts w:hint="eastAsia" w:cs="宋体"/>
          <w:sz w:val="24"/>
          <w:szCs w:val="24"/>
        </w:rPr>
        <w:t>方负责安装。</w:t>
      </w:r>
    </w:p>
    <w:p>
      <w:pPr>
        <w:pStyle w:val="13"/>
        <w:spacing w:line="360" w:lineRule="auto"/>
        <w:ind w:left="0" w:leftChars="0" w:firstLine="480" w:firstLineChars="200"/>
        <w:rPr>
          <w:rFonts w:hint="eastAsia" w:cs="宋体"/>
          <w:sz w:val="24"/>
          <w:szCs w:val="24"/>
        </w:rPr>
      </w:pPr>
      <w:r>
        <w:rPr>
          <w:rFonts w:hint="eastAsia" w:cs="宋体"/>
          <w:sz w:val="24"/>
          <w:szCs w:val="24"/>
        </w:rPr>
        <w:t>2、卖方负责安装，买方应提供适于安装的现场环境，并配合卖方进行安装，卖方应自带用以安装、调试过程中所需的各种工具、仪器仪表及易损件。</w:t>
      </w:r>
    </w:p>
    <w:p>
      <w:pPr>
        <w:pStyle w:val="13"/>
        <w:spacing w:line="360" w:lineRule="auto"/>
        <w:ind w:left="0" w:leftChars="0" w:firstLine="480" w:firstLineChars="200"/>
        <w:rPr>
          <w:rFonts w:hint="eastAsia" w:cs="宋体"/>
          <w:sz w:val="24"/>
          <w:szCs w:val="24"/>
        </w:rPr>
      </w:pPr>
      <w:r>
        <w:rPr>
          <w:rFonts w:hint="eastAsia" w:cs="宋体"/>
          <w:sz w:val="24"/>
          <w:szCs w:val="24"/>
        </w:rPr>
        <w:t>3、安装完毕后，买卖双方应对设备进行调试，卖方应尽快解决出现的问题，其所需时间不应超过</w:t>
      </w:r>
      <w:r>
        <w:rPr>
          <w:rFonts w:hint="eastAsia" w:cs="宋体"/>
          <w:sz w:val="24"/>
          <w:szCs w:val="24"/>
          <w:u w:val="single"/>
        </w:rPr>
        <w:t xml:space="preserve"> 7  </w:t>
      </w:r>
      <w:r>
        <w:rPr>
          <w:rFonts w:hint="eastAsia" w:cs="宋体"/>
          <w:sz w:val="24"/>
          <w:szCs w:val="24"/>
        </w:rPr>
        <w:t>日，在此期间，如设备能够安全稳定运行，买卖双方确定进行性能验收试验的时间，设备进入试运行期间，试运行期为</w:t>
      </w:r>
      <w:r>
        <w:rPr>
          <w:rFonts w:hint="eastAsia" w:cs="宋体"/>
          <w:sz w:val="24"/>
          <w:szCs w:val="24"/>
          <w:u w:val="single"/>
        </w:rPr>
        <w:t xml:space="preserve">  20个工作日</w:t>
      </w:r>
      <w:r>
        <w:rPr>
          <w:rFonts w:hint="eastAsia" w:cs="宋体"/>
          <w:sz w:val="24"/>
          <w:szCs w:val="24"/>
        </w:rPr>
        <w:t>。</w:t>
      </w:r>
    </w:p>
    <w:p>
      <w:pPr>
        <w:pStyle w:val="13"/>
        <w:spacing w:line="360" w:lineRule="auto"/>
        <w:ind w:left="0" w:leftChars="0" w:firstLine="480" w:firstLineChars="200"/>
        <w:rPr>
          <w:rFonts w:hint="eastAsia" w:cs="宋体"/>
          <w:sz w:val="24"/>
          <w:szCs w:val="24"/>
        </w:rPr>
      </w:pPr>
      <w:r>
        <w:rPr>
          <w:rFonts w:hint="eastAsia" w:cs="宋体"/>
          <w:sz w:val="24"/>
          <w:szCs w:val="24"/>
        </w:rPr>
        <w:t>4、合同设备在试运行期间运行稳定，达到本合同规定的技术标准，各项性能指标合格，则视为调试验收合格，双方签署安装调试验收证书。</w:t>
      </w:r>
    </w:p>
    <w:p>
      <w:pPr>
        <w:pStyle w:val="13"/>
        <w:spacing w:line="360" w:lineRule="auto"/>
        <w:ind w:left="0" w:leftChars="0" w:firstLine="480" w:firstLineChars="200"/>
        <w:rPr>
          <w:rFonts w:hint="eastAsia" w:cs="宋体"/>
          <w:sz w:val="24"/>
          <w:szCs w:val="24"/>
        </w:rPr>
      </w:pPr>
      <w:r>
        <w:rPr>
          <w:rFonts w:hint="eastAsia" w:cs="宋体"/>
          <w:sz w:val="24"/>
          <w:szCs w:val="24"/>
        </w:rPr>
        <w:t>5、如合同设备在试运行期间及设备性能试验验收时，在不影响本合同设备安全、可靠运行的条件下，如有个别微小缺陷，在双方商定的时间内，卖方免费修理上述微小缺陷后，买方同意签署安装调试验收证书。</w:t>
      </w:r>
    </w:p>
    <w:p>
      <w:pPr>
        <w:pStyle w:val="13"/>
        <w:spacing w:line="360" w:lineRule="auto"/>
        <w:ind w:left="0" w:leftChars="0" w:firstLine="480" w:firstLineChars="200"/>
        <w:rPr>
          <w:rFonts w:hint="eastAsia" w:cs="宋体"/>
          <w:sz w:val="24"/>
          <w:szCs w:val="24"/>
        </w:rPr>
      </w:pPr>
      <w:r>
        <w:rPr>
          <w:rFonts w:hint="eastAsia" w:cs="宋体"/>
          <w:sz w:val="24"/>
          <w:szCs w:val="24"/>
        </w:rPr>
        <w:t>6、设备试运行期间及设备性能试验验收时，如果设备的一项或多项指标不能达到本合同规定的标准时，卖方应分析原因，采取措施使设备达到合同规定标准，并确定在</w:t>
      </w:r>
      <w:r>
        <w:rPr>
          <w:rFonts w:hint="eastAsia" w:cs="宋体"/>
          <w:sz w:val="24"/>
          <w:szCs w:val="24"/>
          <w:u w:val="single"/>
        </w:rPr>
        <w:t xml:space="preserve">7     日 </w:t>
      </w:r>
      <w:r>
        <w:rPr>
          <w:rFonts w:hint="eastAsia" w:cs="宋体"/>
          <w:sz w:val="24"/>
          <w:szCs w:val="24"/>
        </w:rPr>
        <w:t>内，进行第二次性能试验验收。</w:t>
      </w:r>
    </w:p>
    <w:p>
      <w:pPr>
        <w:pStyle w:val="13"/>
        <w:spacing w:line="360" w:lineRule="auto"/>
        <w:ind w:left="0" w:leftChars="0" w:firstLine="480" w:firstLineChars="200"/>
        <w:rPr>
          <w:rFonts w:hint="eastAsia" w:cs="宋体"/>
          <w:sz w:val="24"/>
          <w:szCs w:val="24"/>
        </w:rPr>
      </w:pPr>
      <w:r>
        <w:rPr>
          <w:rFonts w:hint="eastAsia" w:cs="宋体"/>
          <w:sz w:val="24"/>
          <w:szCs w:val="24"/>
        </w:rPr>
        <w:t>7、在第二次性能试验验收时，如发现设备仍有一项或多项指标未能达到合同设备规定的标准时，视为合同设备不能通过安装调试验收，由此引起的拆卸、搬运、退货运费等由卖方承担外，卖方还需按照合同总价款的</w:t>
      </w:r>
      <w:r>
        <w:rPr>
          <w:rFonts w:hint="eastAsia" w:cs="宋体"/>
          <w:sz w:val="24"/>
          <w:szCs w:val="24"/>
          <w:u w:val="single"/>
        </w:rPr>
        <w:t xml:space="preserve"> 3‰ /日</w:t>
      </w:r>
      <w:r>
        <w:rPr>
          <w:rFonts w:hint="eastAsia" w:cs="宋体"/>
          <w:sz w:val="24"/>
          <w:szCs w:val="24"/>
        </w:rPr>
        <w:t xml:space="preserve"> 的标准赔偿买方的误工费，造成买方其他损失的，应在接到买方通知之日起3日内一并赔偿到账，如有逾期，则按照逾期金额的日万分之四承担违约金。</w:t>
      </w:r>
    </w:p>
    <w:p>
      <w:pPr>
        <w:pStyle w:val="13"/>
        <w:spacing w:line="360" w:lineRule="auto"/>
        <w:ind w:left="0" w:leftChars="0"/>
        <w:outlineLvl w:val="1"/>
        <w:rPr>
          <w:rFonts w:hint="eastAsia" w:cs="宋体"/>
          <w:b/>
          <w:sz w:val="24"/>
          <w:szCs w:val="24"/>
        </w:rPr>
      </w:pPr>
      <w:bookmarkStart w:id="807" w:name="_Toc20672"/>
      <w:bookmarkStart w:id="808" w:name="_Toc16233"/>
      <w:bookmarkStart w:id="809" w:name="_Toc15765"/>
      <w:bookmarkStart w:id="810" w:name="_Toc26430"/>
      <w:bookmarkStart w:id="811" w:name="_Toc1345"/>
      <w:bookmarkStart w:id="812" w:name="_Toc21555"/>
      <w:r>
        <w:rPr>
          <w:rFonts w:hint="eastAsia" w:cs="宋体"/>
          <w:b/>
          <w:sz w:val="24"/>
          <w:szCs w:val="24"/>
        </w:rPr>
        <w:t>十、保证</w:t>
      </w:r>
      <w:bookmarkEnd w:id="807"/>
      <w:bookmarkEnd w:id="808"/>
      <w:bookmarkEnd w:id="809"/>
      <w:bookmarkEnd w:id="810"/>
      <w:bookmarkEnd w:id="811"/>
      <w:bookmarkEnd w:id="812"/>
    </w:p>
    <w:p>
      <w:pPr>
        <w:pStyle w:val="13"/>
        <w:spacing w:line="360" w:lineRule="auto"/>
        <w:ind w:left="0" w:leftChars="0" w:firstLine="480" w:firstLineChars="200"/>
        <w:rPr>
          <w:rFonts w:hint="eastAsia" w:cs="宋体"/>
          <w:sz w:val="24"/>
          <w:szCs w:val="24"/>
        </w:rPr>
      </w:pPr>
      <w:r>
        <w:rPr>
          <w:rFonts w:hint="eastAsia" w:cs="宋体"/>
          <w:sz w:val="24"/>
          <w:szCs w:val="24"/>
        </w:rPr>
        <w:t>1、凡卖方供应的设备应是全新的、技术先进的、成熟可靠的、质量优良的，设备的选型符合安全可靠、经济运行和易于维护的要求。</w:t>
      </w:r>
    </w:p>
    <w:p>
      <w:pPr>
        <w:pStyle w:val="13"/>
        <w:spacing w:line="360" w:lineRule="auto"/>
        <w:ind w:left="0" w:leftChars="0" w:firstLine="480" w:firstLineChars="200"/>
        <w:rPr>
          <w:rFonts w:hint="eastAsia" w:cs="宋体"/>
          <w:sz w:val="24"/>
          <w:szCs w:val="24"/>
        </w:rPr>
      </w:pPr>
      <w:r>
        <w:rPr>
          <w:rFonts w:hint="eastAsia" w:cs="宋体"/>
          <w:sz w:val="24"/>
          <w:szCs w:val="24"/>
        </w:rPr>
        <w:t>2、卖方应保证设备符合合同规定的技术、质量要求，无任何质量和权利瑕疵。</w:t>
      </w:r>
    </w:p>
    <w:p>
      <w:pPr>
        <w:pStyle w:val="13"/>
        <w:spacing w:line="360" w:lineRule="auto"/>
        <w:ind w:left="0" w:leftChars="0" w:firstLine="480" w:firstLineChars="200"/>
        <w:rPr>
          <w:rFonts w:hint="eastAsia" w:cs="宋体"/>
          <w:sz w:val="24"/>
          <w:szCs w:val="24"/>
        </w:rPr>
      </w:pPr>
      <w:r>
        <w:rPr>
          <w:rFonts w:hint="eastAsia" w:cs="宋体"/>
          <w:sz w:val="24"/>
          <w:szCs w:val="24"/>
        </w:rPr>
        <w:t>3、卖方保证向买方交付的图纸、技术资料是清晰、完整统一和内容正确、准确的，并能满足合同设备的设计、安装、调试和维修的要求。</w:t>
      </w:r>
    </w:p>
    <w:p>
      <w:pPr>
        <w:pStyle w:val="13"/>
        <w:spacing w:line="360" w:lineRule="auto"/>
        <w:ind w:left="0" w:leftChars="0" w:firstLine="480" w:firstLineChars="200"/>
        <w:rPr>
          <w:rFonts w:hint="eastAsia" w:cs="宋体"/>
          <w:sz w:val="24"/>
          <w:szCs w:val="24"/>
        </w:rPr>
      </w:pPr>
      <w:r>
        <w:rPr>
          <w:rFonts w:hint="eastAsia" w:cs="宋体"/>
          <w:sz w:val="24"/>
          <w:szCs w:val="24"/>
        </w:rPr>
        <w:t>4、本合同设备的质保期指合同设备签发安装调试验收证书之日起</w:t>
      </w:r>
      <w:r>
        <w:rPr>
          <w:rFonts w:hint="eastAsia" w:cs="宋体"/>
          <w:sz w:val="24"/>
          <w:szCs w:val="24"/>
          <w:u w:val="single"/>
        </w:rPr>
        <w:t xml:space="preserve">  1年  </w:t>
      </w:r>
      <w:r>
        <w:rPr>
          <w:rFonts w:hint="eastAsia" w:cs="宋体"/>
          <w:sz w:val="24"/>
          <w:szCs w:val="24"/>
        </w:rPr>
        <w:t>。在此期间，如发现设备有缺陷，不符合本合同规定时，或者发现有零部件损坏时，卖方在接到买方通知后</w:t>
      </w:r>
      <w:r>
        <w:rPr>
          <w:rFonts w:hint="eastAsia" w:cs="宋体"/>
          <w:sz w:val="24"/>
          <w:szCs w:val="24"/>
          <w:u w:val="single"/>
        </w:rPr>
        <w:t xml:space="preserve">  2小时内 </w:t>
      </w:r>
      <w:r>
        <w:rPr>
          <w:rFonts w:hint="eastAsia" w:cs="宋体"/>
          <w:sz w:val="24"/>
          <w:szCs w:val="24"/>
        </w:rPr>
        <w:t>作出回应，</w:t>
      </w:r>
      <w:r>
        <w:rPr>
          <w:rFonts w:hint="eastAsia" w:cs="宋体"/>
          <w:sz w:val="24"/>
          <w:szCs w:val="24"/>
          <w:u w:val="single"/>
        </w:rPr>
        <w:t xml:space="preserve">24小时内 </w:t>
      </w:r>
      <w:r>
        <w:rPr>
          <w:rFonts w:hint="eastAsia" w:cs="宋体"/>
          <w:sz w:val="24"/>
          <w:szCs w:val="24"/>
        </w:rPr>
        <w:t>免费派人维修、更换符合质量要求的设备，如设备缺陷造成买方无法正常使用的，买方有权退货，因退货产生的全部费用由卖方自行承担；设备过了质保期限，出现了质量问题或有零部件损坏，卖方亦应承担维修、更换责任，买方应向卖方支付维修、更换所需的成本费用。</w:t>
      </w:r>
    </w:p>
    <w:p>
      <w:pPr>
        <w:pStyle w:val="13"/>
        <w:spacing w:line="360" w:lineRule="auto"/>
        <w:ind w:left="0" w:leftChars="0" w:firstLine="480" w:firstLineChars="200"/>
        <w:rPr>
          <w:rFonts w:cs="宋体"/>
          <w:sz w:val="24"/>
          <w:szCs w:val="24"/>
        </w:rPr>
      </w:pPr>
      <w:r>
        <w:rPr>
          <w:rFonts w:hint="eastAsia" w:cs="宋体"/>
          <w:sz w:val="24"/>
          <w:szCs w:val="24"/>
        </w:rPr>
        <w:t>5、在质保期内，如发现了双方共同确认的较严重的质量缺陷，则质保期中断。该缺陷消除后，质保期重新开始计算。质量缺陷包括但不限于以下情形：（1）在设计、生产、原材料、制造、指示、包装、运输上存在明显的或潜在的危害人身及财产安全的问题；</w:t>
      </w:r>
    </w:p>
    <w:p>
      <w:pPr>
        <w:pStyle w:val="13"/>
        <w:spacing w:line="360" w:lineRule="auto"/>
        <w:ind w:left="0" w:leftChars="0"/>
        <w:rPr>
          <w:rFonts w:cs="宋体"/>
          <w:sz w:val="24"/>
          <w:szCs w:val="24"/>
        </w:rPr>
      </w:pPr>
      <w:r>
        <w:rPr>
          <w:rFonts w:hint="eastAsia" w:cs="宋体"/>
          <w:sz w:val="24"/>
          <w:szCs w:val="24"/>
        </w:rPr>
        <w:t>（2）在设备中掺杂、掺假、以次充真、以次充好；</w:t>
      </w:r>
    </w:p>
    <w:p>
      <w:pPr>
        <w:pStyle w:val="13"/>
        <w:spacing w:line="360" w:lineRule="auto"/>
        <w:ind w:left="0" w:leftChars="0"/>
        <w:rPr>
          <w:rFonts w:cs="宋体"/>
          <w:sz w:val="24"/>
          <w:szCs w:val="24"/>
        </w:rPr>
      </w:pPr>
      <w:r>
        <w:rPr>
          <w:rFonts w:hint="eastAsia" w:cs="宋体"/>
          <w:sz w:val="24"/>
          <w:szCs w:val="24"/>
        </w:rPr>
        <w:t>（3）为国家明令淘汰的产品或失效的产品；</w:t>
      </w:r>
    </w:p>
    <w:p>
      <w:pPr>
        <w:pStyle w:val="13"/>
        <w:spacing w:line="360" w:lineRule="auto"/>
        <w:ind w:left="0" w:leftChars="0"/>
        <w:rPr>
          <w:rFonts w:cs="宋体"/>
          <w:sz w:val="24"/>
          <w:szCs w:val="24"/>
        </w:rPr>
      </w:pPr>
      <w:r>
        <w:rPr>
          <w:rFonts w:hint="eastAsia" w:cs="宋体"/>
          <w:sz w:val="24"/>
          <w:szCs w:val="24"/>
        </w:rPr>
        <w:t xml:space="preserve">（4）伪造产地、伪造或冒用他人厂名、厂址； </w:t>
      </w:r>
    </w:p>
    <w:p>
      <w:pPr>
        <w:pStyle w:val="13"/>
        <w:spacing w:line="360" w:lineRule="auto"/>
        <w:ind w:left="0" w:leftChars="0"/>
        <w:rPr>
          <w:rFonts w:cs="宋体"/>
          <w:sz w:val="24"/>
          <w:szCs w:val="24"/>
        </w:rPr>
      </w:pPr>
      <w:r>
        <w:rPr>
          <w:rFonts w:hint="eastAsia" w:cs="宋体"/>
          <w:sz w:val="24"/>
          <w:szCs w:val="24"/>
        </w:rPr>
        <w:t>（5）伪造或冒用认证标志、名优标志等质量标志；</w:t>
      </w:r>
    </w:p>
    <w:p>
      <w:pPr>
        <w:pStyle w:val="13"/>
        <w:spacing w:line="360" w:lineRule="auto"/>
        <w:ind w:left="0" w:leftChars="0"/>
        <w:rPr>
          <w:rFonts w:cs="宋体"/>
          <w:sz w:val="24"/>
          <w:szCs w:val="24"/>
        </w:rPr>
      </w:pPr>
      <w:r>
        <w:rPr>
          <w:rFonts w:hint="eastAsia" w:cs="宋体"/>
          <w:sz w:val="24"/>
          <w:szCs w:val="24"/>
        </w:rPr>
        <w:t>（6）标识不实、不清；</w:t>
      </w:r>
    </w:p>
    <w:p>
      <w:pPr>
        <w:pStyle w:val="13"/>
        <w:spacing w:line="360" w:lineRule="auto"/>
        <w:ind w:left="0" w:leftChars="0"/>
        <w:rPr>
          <w:rFonts w:cs="宋体"/>
          <w:sz w:val="24"/>
          <w:szCs w:val="24"/>
        </w:rPr>
      </w:pPr>
      <w:r>
        <w:rPr>
          <w:rFonts w:hint="eastAsia" w:cs="宋体"/>
          <w:sz w:val="24"/>
          <w:szCs w:val="24"/>
        </w:rPr>
        <w:t>（7）在国家或地方产品质量监督部门定期发布质量抽查报告中被列为不合格产品；</w:t>
      </w:r>
    </w:p>
    <w:p>
      <w:pPr>
        <w:pStyle w:val="13"/>
        <w:spacing w:line="360" w:lineRule="auto"/>
        <w:ind w:left="0" w:leftChars="0"/>
        <w:rPr>
          <w:rFonts w:hint="eastAsia" w:cs="宋体"/>
          <w:sz w:val="24"/>
          <w:szCs w:val="24"/>
        </w:rPr>
      </w:pPr>
      <w:r>
        <w:rPr>
          <w:rFonts w:hint="eastAsia" w:cs="宋体"/>
          <w:sz w:val="24"/>
          <w:szCs w:val="24"/>
        </w:rPr>
        <w:t>（8）其他质量缺陷问题。</w:t>
      </w:r>
    </w:p>
    <w:p>
      <w:pPr>
        <w:pStyle w:val="13"/>
        <w:spacing w:line="360" w:lineRule="auto"/>
        <w:ind w:left="0" w:leftChars="0" w:firstLine="480" w:firstLineChars="200"/>
        <w:rPr>
          <w:rFonts w:hint="eastAsia" w:cs="宋体"/>
          <w:sz w:val="24"/>
          <w:szCs w:val="24"/>
        </w:rPr>
      </w:pPr>
      <w:r>
        <w:rPr>
          <w:rFonts w:hint="eastAsia" w:cs="宋体"/>
          <w:sz w:val="24"/>
          <w:szCs w:val="24"/>
        </w:rPr>
        <w:t>6、合同规定的质保期满后</w:t>
      </w:r>
      <w:r>
        <w:rPr>
          <w:rFonts w:hint="eastAsia" w:cs="宋体"/>
          <w:sz w:val="24"/>
          <w:szCs w:val="24"/>
          <w:u w:val="single"/>
        </w:rPr>
        <w:t xml:space="preserve"> 14</w:t>
      </w:r>
      <w:r>
        <w:rPr>
          <w:rFonts w:hint="eastAsia" w:cs="宋体"/>
          <w:sz w:val="24"/>
          <w:szCs w:val="24"/>
        </w:rPr>
        <w:t>日内，买方出具合同设备最终验收证书。条件是，在此期间，卖方应完成买方在保证期满前提出的索赔和赔偿，但卖方对买方非正常维修和误操作以及由于正常磨损造成的损失不承担赔偿责任。</w:t>
      </w:r>
    </w:p>
    <w:p>
      <w:pPr>
        <w:pStyle w:val="13"/>
        <w:spacing w:line="360" w:lineRule="auto"/>
        <w:ind w:left="0" w:leftChars="0" w:firstLine="480" w:firstLineChars="200"/>
        <w:rPr>
          <w:rFonts w:hint="eastAsia" w:cs="宋体"/>
          <w:sz w:val="24"/>
          <w:szCs w:val="24"/>
        </w:rPr>
      </w:pPr>
      <w:r>
        <w:rPr>
          <w:rFonts w:hint="eastAsia" w:cs="宋体"/>
          <w:sz w:val="24"/>
          <w:szCs w:val="24"/>
        </w:rPr>
        <w:t>7、设备最终验收证书仅证明卖方所提供的设备性能和参数在质保期内可以按合同要求予以接受，但不能视为卖方对设备存在的潜在缺陷所应付的责任的解除。此检验不作为对产品内在质量认定的依据。</w:t>
      </w:r>
    </w:p>
    <w:p>
      <w:pPr>
        <w:pStyle w:val="13"/>
        <w:spacing w:line="360" w:lineRule="auto"/>
        <w:ind w:left="0" w:leftChars="0" w:firstLine="480" w:firstLineChars="200"/>
        <w:rPr>
          <w:rFonts w:hint="eastAsia" w:cs="宋体"/>
          <w:sz w:val="24"/>
          <w:szCs w:val="24"/>
        </w:rPr>
      </w:pPr>
      <w:r>
        <w:rPr>
          <w:rFonts w:hint="eastAsia" w:cs="宋体"/>
          <w:sz w:val="24"/>
          <w:szCs w:val="24"/>
        </w:rPr>
        <w:t>8、如买方需要卖方提供设备使用培训的，卖方应为买方提供免费培训服务。</w:t>
      </w:r>
    </w:p>
    <w:p>
      <w:pPr>
        <w:pStyle w:val="13"/>
        <w:spacing w:line="360" w:lineRule="auto"/>
        <w:ind w:left="0" w:leftChars="0" w:firstLine="480" w:firstLineChars="200"/>
        <w:rPr>
          <w:rFonts w:hint="eastAsia" w:cs="宋体"/>
          <w:sz w:val="24"/>
          <w:szCs w:val="24"/>
        </w:rPr>
      </w:pPr>
      <w:r>
        <w:rPr>
          <w:rFonts w:hint="eastAsia" w:cs="宋体"/>
          <w:sz w:val="24"/>
          <w:szCs w:val="24"/>
        </w:rPr>
        <w:t>9、卖方保证基于本合同提供的设备，买方使用、制造、销售、出口等经营活动不会侵犯任何第三方知识产权；若发生上述情况，卖方保证承担由此产生的违约责任及其他法律问题。</w:t>
      </w:r>
    </w:p>
    <w:p>
      <w:pPr>
        <w:pStyle w:val="13"/>
        <w:spacing w:line="360" w:lineRule="auto"/>
        <w:ind w:left="0" w:leftChars="0" w:firstLine="480" w:firstLineChars="200"/>
        <w:rPr>
          <w:rFonts w:hint="eastAsia" w:cs="宋体"/>
          <w:sz w:val="24"/>
          <w:szCs w:val="24"/>
        </w:rPr>
      </w:pPr>
      <w:r>
        <w:rPr>
          <w:rFonts w:hint="eastAsia" w:cs="宋体"/>
          <w:sz w:val="24"/>
          <w:szCs w:val="24"/>
        </w:rPr>
        <w:t>10、卖方不得在任何情况下以口头、书面、宣传或其他类似的行为公开、透露因本合同涉及买方的一切相关资料、信息。</w:t>
      </w:r>
    </w:p>
    <w:p>
      <w:pPr>
        <w:pStyle w:val="13"/>
        <w:spacing w:line="360" w:lineRule="auto"/>
        <w:ind w:left="0" w:leftChars="0"/>
        <w:outlineLvl w:val="1"/>
        <w:rPr>
          <w:rFonts w:hint="eastAsia" w:cs="宋体"/>
          <w:b/>
          <w:sz w:val="24"/>
          <w:szCs w:val="24"/>
        </w:rPr>
      </w:pPr>
      <w:bookmarkStart w:id="813" w:name="_Toc22065"/>
      <w:bookmarkStart w:id="814" w:name="_Toc28723"/>
      <w:bookmarkStart w:id="815" w:name="_Toc6219"/>
      <w:bookmarkStart w:id="816" w:name="_Toc6708"/>
      <w:bookmarkStart w:id="817" w:name="_Toc27578"/>
      <w:bookmarkStart w:id="818" w:name="_Toc12714"/>
      <w:r>
        <w:rPr>
          <w:rFonts w:hint="eastAsia" w:cs="宋体"/>
          <w:b/>
          <w:sz w:val="24"/>
          <w:szCs w:val="24"/>
        </w:rPr>
        <w:t>十一、违约责任：</w:t>
      </w:r>
      <w:bookmarkEnd w:id="813"/>
      <w:bookmarkEnd w:id="814"/>
      <w:bookmarkEnd w:id="815"/>
      <w:bookmarkEnd w:id="816"/>
      <w:bookmarkEnd w:id="817"/>
      <w:bookmarkEnd w:id="818"/>
    </w:p>
    <w:p>
      <w:pPr>
        <w:pStyle w:val="13"/>
        <w:spacing w:line="360" w:lineRule="auto"/>
        <w:ind w:left="0" w:leftChars="0" w:firstLine="480" w:firstLineChars="200"/>
        <w:rPr>
          <w:rFonts w:hint="eastAsia" w:cs="宋体"/>
          <w:sz w:val="24"/>
          <w:szCs w:val="24"/>
        </w:rPr>
      </w:pPr>
      <w:r>
        <w:rPr>
          <w:rFonts w:hint="eastAsia" w:cs="宋体"/>
          <w:sz w:val="24"/>
          <w:szCs w:val="24"/>
        </w:rPr>
        <w:t>1、卖方不能交货的，应向买方偿付合同总价</w:t>
      </w:r>
      <w:r>
        <w:rPr>
          <w:rFonts w:hint="eastAsia" w:cs="宋体"/>
          <w:sz w:val="24"/>
          <w:szCs w:val="24"/>
          <w:u w:val="single"/>
        </w:rPr>
        <w:t xml:space="preserve"> 10 % </w:t>
      </w:r>
      <w:r>
        <w:rPr>
          <w:rFonts w:hint="eastAsia" w:cs="宋体"/>
          <w:sz w:val="24"/>
          <w:szCs w:val="24"/>
        </w:rPr>
        <w:t>违约金，并承担买方因此所受的全部损失。</w:t>
      </w:r>
    </w:p>
    <w:p>
      <w:pPr>
        <w:pStyle w:val="13"/>
        <w:spacing w:line="360" w:lineRule="auto"/>
        <w:ind w:left="0" w:leftChars="0" w:firstLine="480" w:firstLineChars="200"/>
        <w:rPr>
          <w:rFonts w:hint="eastAsia" w:cs="宋体"/>
          <w:sz w:val="24"/>
          <w:szCs w:val="24"/>
        </w:rPr>
      </w:pPr>
      <w:r>
        <w:rPr>
          <w:rFonts w:hint="eastAsia" w:cs="宋体"/>
          <w:sz w:val="24"/>
          <w:szCs w:val="24"/>
        </w:rPr>
        <w:t>2、卖方逾期交货的，应承担不能交货部分价款的</w:t>
      </w:r>
      <w:r>
        <w:rPr>
          <w:rFonts w:hint="eastAsia" w:cs="宋体"/>
          <w:sz w:val="24"/>
          <w:szCs w:val="24"/>
          <w:u w:val="single"/>
        </w:rPr>
        <w:t xml:space="preserve"> 3‰ /日</w:t>
      </w:r>
      <w:r>
        <w:rPr>
          <w:rFonts w:hint="eastAsia" w:cs="宋体"/>
          <w:sz w:val="24"/>
          <w:szCs w:val="24"/>
        </w:rPr>
        <w:t xml:space="preserve"> 的违约金。卖方逾期交货超过</w:t>
      </w:r>
      <w:r>
        <w:rPr>
          <w:rFonts w:hint="eastAsia" w:cs="宋体"/>
          <w:sz w:val="24"/>
          <w:szCs w:val="24"/>
          <w:u w:val="single"/>
        </w:rPr>
        <w:t>30</w:t>
      </w:r>
      <w:r>
        <w:rPr>
          <w:rFonts w:hint="eastAsia" w:cs="宋体"/>
          <w:sz w:val="24"/>
          <w:szCs w:val="24"/>
        </w:rPr>
        <w:t>日，买方有权解除合同，卖方应返还买方所付货款，并按不能交货承担违约责任，若违约金不足以弥补由此给买方造成的损失，卖方应补足。</w:t>
      </w:r>
    </w:p>
    <w:p>
      <w:pPr>
        <w:pStyle w:val="13"/>
        <w:spacing w:line="360" w:lineRule="auto"/>
        <w:ind w:left="0" w:leftChars="0" w:firstLine="480" w:firstLineChars="200"/>
        <w:rPr>
          <w:rFonts w:hint="eastAsia" w:cs="宋体"/>
          <w:sz w:val="24"/>
          <w:szCs w:val="24"/>
        </w:rPr>
      </w:pPr>
      <w:r>
        <w:rPr>
          <w:rFonts w:hint="eastAsia" w:cs="宋体"/>
          <w:sz w:val="24"/>
          <w:szCs w:val="24"/>
        </w:rPr>
        <w:t>3、产品不符合合同规定，不能通过初步验收，卖方应在一周内更换符合合同规定的设备，并承担相关费用，直至达到合同要求，由此延误的时间按逾期交货承担违约责任。卖方不能更换的，按不能交货承担违约责任。</w:t>
      </w:r>
    </w:p>
    <w:p>
      <w:pPr>
        <w:pStyle w:val="13"/>
        <w:spacing w:line="360" w:lineRule="auto"/>
        <w:ind w:left="0" w:leftChars="0" w:firstLine="480" w:firstLineChars="200"/>
        <w:rPr>
          <w:rFonts w:hint="eastAsia" w:cs="宋体"/>
          <w:sz w:val="24"/>
          <w:szCs w:val="24"/>
        </w:rPr>
      </w:pPr>
      <w:r>
        <w:rPr>
          <w:rFonts w:hint="eastAsia" w:cs="宋体"/>
          <w:sz w:val="24"/>
          <w:szCs w:val="24"/>
        </w:rPr>
        <w:t>4、卖方所交付的设备没有通过安装调试验收，按以下方式处理：</w:t>
      </w:r>
    </w:p>
    <w:p>
      <w:pPr>
        <w:pStyle w:val="13"/>
        <w:tabs>
          <w:tab w:val="left" w:pos="1080"/>
        </w:tabs>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 xml:space="preserve">  ①卖方应在一周内更换符合技术质量要求的设备，双方重新确定性能试验验收的时间，由此延误的时间卖方按逾期交货承担违约责任，并承担给买方造成的损失。如卖方更换后的设备仍不能通过性能试验验收，买方有权退货，卖方返还买方所付款项，并按不能交货承担违约责任，若违约金不足以弥补由此给买方造成的损失，卖方应补足。</w:t>
      </w:r>
    </w:p>
    <w:p>
      <w:pPr>
        <w:pStyle w:val="13"/>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 xml:space="preserve"> ②买方有权退货，卖方返还买方所付款项，并按不能交货承担违约责任，若违约金不足以弥补由此给买方造成的损失，卖方应补足。</w:t>
      </w:r>
    </w:p>
    <w:p>
      <w:pPr>
        <w:pStyle w:val="13"/>
        <w:spacing w:line="360" w:lineRule="auto"/>
        <w:ind w:left="0" w:leftChars="0" w:firstLine="480" w:firstLineChars="200"/>
        <w:rPr>
          <w:rFonts w:hint="eastAsia" w:cs="宋体"/>
          <w:sz w:val="24"/>
          <w:szCs w:val="24"/>
        </w:rPr>
      </w:pPr>
      <w:r>
        <w:rPr>
          <w:rFonts w:hint="eastAsia" w:cs="宋体"/>
          <w:sz w:val="24"/>
          <w:szCs w:val="24"/>
        </w:rPr>
        <w:t>5、 在设备质保期内，如发现设备有缺陷，不符合合同规定时，则买方有权根据损失大小扣除设备质保金，卖方认可买方扣除的金额，如质保金不足以赔偿买方损失的，由卖方负责赔偿。质保金扣除后，卖方应当在收到买方通知后3日内补足质保金，否则应当按照支付未补足质保金</w:t>
      </w:r>
      <w:r>
        <w:rPr>
          <w:rFonts w:hint="eastAsia" w:cs="宋体"/>
          <w:sz w:val="24"/>
          <w:szCs w:val="24"/>
          <w:u w:val="single"/>
        </w:rPr>
        <w:t>3‰ /日</w:t>
      </w:r>
      <w:r>
        <w:rPr>
          <w:rFonts w:hint="eastAsia" w:cs="宋体"/>
          <w:sz w:val="24"/>
          <w:szCs w:val="24"/>
        </w:rPr>
        <w:t>的违约金。</w:t>
      </w:r>
    </w:p>
    <w:p>
      <w:pPr>
        <w:pStyle w:val="13"/>
        <w:spacing w:line="360" w:lineRule="auto"/>
        <w:ind w:left="0" w:leftChars="0" w:firstLine="480" w:firstLineChars="200"/>
        <w:rPr>
          <w:rFonts w:hint="eastAsia" w:cs="宋体"/>
          <w:sz w:val="24"/>
          <w:szCs w:val="24"/>
        </w:rPr>
      </w:pPr>
      <w:r>
        <w:rPr>
          <w:rFonts w:hint="eastAsia" w:cs="宋体"/>
          <w:sz w:val="24"/>
          <w:szCs w:val="24"/>
        </w:rPr>
        <w:t>6、如卖方提供设备不符合质量要求或提供假冒、伪劣产品、以次充好等，一经买方抽检发现的，双方约定同意视为所提供的同类设备全部不合格，买方有权拒付全部剩余货款且已交付的设备不予退还，同时要求卖方承担违约责任，违约赔偿金以本合同总价款数额的10%计算，并承担由此发生的一切损失和费用。</w:t>
      </w:r>
    </w:p>
    <w:p>
      <w:pPr>
        <w:pStyle w:val="13"/>
        <w:spacing w:line="360" w:lineRule="auto"/>
        <w:ind w:left="0" w:leftChars="0" w:firstLine="480" w:firstLineChars="200"/>
        <w:rPr>
          <w:rFonts w:hint="eastAsia" w:cs="宋体"/>
          <w:sz w:val="24"/>
          <w:szCs w:val="24"/>
        </w:rPr>
      </w:pPr>
      <w:r>
        <w:rPr>
          <w:rFonts w:hint="eastAsia" w:cs="宋体"/>
          <w:sz w:val="24"/>
          <w:szCs w:val="24"/>
        </w:rPr>
        <w:t>7、 如果因本合同设备潜在缺陷造成的货物损坏或给买方造成损失，无论是在设备质保期内或者质保期外，卖方对消除潜在缺陷应承担责任，买方有权要求卖方按照合同总价款的10%支付违约金并赔偿买方因此受到的损失。</w:t>
      </w:r>
    </w:p>
    <w:p>
      <w:pPr>
        <w:pStyle w:val="13"/>
        <w:spacing w:line="360" w:lineRule="auto"/>
        <w:ind w:left="0" w:leftChars="0" w:firstLine="480" w:firstLineChars="200"/>
        <w:rPr>
          <w:rFonts w:hint="eastAsia" w:cs="宋体"/>
          <w:sz w:val="24"/>
          <w:szCs w:val="24"/>
        </w:rPr>
      </w:pPr>
      <w:r>
        <w:rPr>
          <w:rFonts w:hint="eastAsia" w:cs="宋体"/>
          <w:sz w:val="24"/>
          <w:szCs w:val="24"/>
        </w:rPr>
        <w:t>8、 第三人对货物所有权或知识产权提出异议，由卖方负责处理解决，若因此导致买方损失的，卖方应当按照本合同总金额的10%支付违约金，并赔偿由此给买方造成的实际损失，且不能免除卖方履行本合同的义务。</w:t>
      </w:r>
    </w:p>
    <w:p>
      <w:pPr>
        <w:pStyle w:val="13"/>
        <w:spacing w:line="360" w:lineRule="auto"/>
        <w:ind w:left="0" w:leftChars="0"/>
        <w:outlineLvl w:val="1"/>
        <w:rPr>
          <w:rFonts w:hint="eastAsia" w:cs="宋体"/>
          <w:b/>
          <w:sz w:val="24"/>
          <w:szCs w:val="24"/>
        </w:rPr>
      </w:pPr>
      <w:bookmarkStart w:id="819" w:name="_Toc1279"/>
      <w:bookmarkStart w:id="820" w:name="_Toc14682"/>
      <w:bookmarkStart w:id="821" w:name="_Toc3329"/>
      <w:bookmarkStart w:id="822" w:name="_Toc26957"/>
      <w:bookmarkStart w:id="823" w:name="_Toc16100"/>
      <w:bookmarkStart w:id="824" w:name="_Toc32098"/>
      <w:r>
        <w:rPr>
          <w:rFonts w:hint="eastAsia" w:cs="宋体"/>
          <w:b/>
          <w:sz w:val="24"/>
          <w:szCs w:val="24"/>
        </w:rPr>
        <w:t>十二、不可抗力</w:t>
      </w:r>
      <w:bookmarkEnd w:id="819"/>
      <w:bookmarkEnd w:id="820"/>
      <w:bookmarkEnd w:id="821"/>
      <w:bookmarkEnd w:id="822"/>
      <w:bookmarkEnd w:id="823"/>
      <w:bookmarkEnd w:id="824"/>
    </w:p>
    <w:p>
      <w:pPr>
        <w:spacing w:line="360" w:lineRule="auto"/>
        <w:ind w:firstLine="480" w:firstLineChars="200"/>
        <w:rPr>
          <w:rFonts w:hint="eastAsia" w:cs="宋体"/>
          <w:kern w:val="0"/>
          <w:sz w:val="24"/>
          <w:szCs w:val="24"/>
        </w:rPr>
      </w:pPr>
      <w:r>
        <w:rPr>
          <w:rFonts w:hint="eastAsia" w:cs="宋体"/>
          <w:kern w:val="0"/>
          <w:sz w:val="24"/>
          <w:szCs w:val="24"/>
        </w:rPr>
        <w:t>合同签订后，签约双方任何一方，由于火灾、水灾、地震、战争、台风和双方同意的其他不可抗力的事故影响本合同履行时，可延长履行合同的期限；这一期限相当于事故所影响的时间，并可根据情况部分或全部免予承担违约责任。</w:t>
      </w:r>
    </w:p>
    <w:p>
      <w:pPr>
        <w:spacing w:line="360" w:lineRule="auto"/>
        <w:ind w:firstLine="480" w:firstLineChars="200"/>
        <w:rPr>
          <w:rFonts w:hint="eastAsia" w:cs="宋体"/>
          <w:kern w:val="0"/>
          <w:sz w:val="24"/>
          <w:szCs w:val="24"/>
        </w:rPr>
      </w:pPr>
      <w:r>
        <w:rPr>
          <w:rFonts w:hint="eastAsia" w:cs="宋体"/>
          <w:kern w:val="0"/>
          <w:sz w:val="24"/>
          <w:szCs w:val="24"/>
        </w:rPr>
        <w:t>受事故影响方应尽快将所发生的不可抗力事故情况以书面形式（传真或电报等）通知对方，并</w:t>
      </w:r>
      <w:r>
        <w:rPr>
          <w:rFonts w:hint="eastAsia" w:cs="宋体"/>
          <w:sz w:val="24"/>
          <w:szCs w:val="24"/>
        </w:rPr>
        <w:t>将有关部门出具的证明文件用挂号信邮寄给或送给另一方</w:t>
      </w:r>
      <w:r>
        <w:rPr>
          <w:rFonts w:hint="eastAsia" w:cs="宋体"/>
          <w:kern w:val="0"/>
          <w:sz w:val="24"/>
          <w:szCs w:val="24"/>
        </w:rPr>
        <w:t>。</w:t>
      </w:r>
    </w:p>
    <w:p>
      <w:pPr>
        <w:spacing w:line="360" w:lineRule="auto"/>
        <w:ind w:firstLine="480" w:firstLineChars="200"/>
        <w:rPr>
          <w:rFonts w:hint="eastAsia" w:cs="宋体"/>
          <w:kern w:val="0"/>
          <w:sz w:val="24"/>
          <w:szCs w:val="24"/>
        </w:rPr>
      </w:pPr>
      <w:r>
        <w:rPr>
          <w:rFonts w:hint="eastAsia" w:cs="宋体"/>
          <w:kern w:val="0"/>
          <w:sz w:val="24"/>
          <w:szCs w:val="24"/>
        </w:rPr>
        <w:t>当不可抗力事故停止或消除后，受事故影响的一方应尽快以书面形式（传真或电报等）通知另一方，如不可抗力事故影响连续</w:t>
      </w:r>
      <w:r>
        <w:rPr>
          <w:rFonts w:hint="eastAsia" w:cs="宋体"/>
          <w:kern w:val="0"/>
          <w:sz w:val="24"/>
          <w:szCs w:val="24"/>
          <w:u w:val="single"/>
        </w:rPr>
        <w:t xml:space="preserve"> 90 </w:t>
      </w:r>
      <w:r>
        <w:rPr>
          <w:rFonts w:hint="eastAsia" w:cs="宋体"/>
          <w:kern w:val="0"/>
          <w:sz w:val="24"/>
          <w:szCs w:val="24"/>
        </w:rPr>
        <w:t xml:space="preserve">天以上，双方可通过友好协商解决本合同的履行问题，并尽快达成变更协议。 </w:t>
      </w:r>
    </w:p>
    <w:p>
      <w:pPr>
        <w:pStyle w:val="13"/>
        <w:spacing w:line="360" w:lineRule="auto"/>
        <w:ind w:left="0" w:leftChars="0"/>
        <w:outlineLvl w:val="1"/>
        <w:rPr>
          <w:rFonts w:hint="eastAsia" w:cs="宋体"/>
          <w:b/>
          <w:sz w:val="24"/>
          <w:szCs w:val="24"/>
        </w:rPr>
      </w:pPr>
      <w:bookmarkStart w:id="825" w:name="_Toc27043"/>
      <w:bookmarkStart w:id="826" w:name="_Toc7195"/>
      <w:bookmarkStart w:id="827" w:name="_Toc9848"/>
      <w:bookmarkStart w:id="828" w:name="_Toc7684"/>
      <w:bookmarkStart w:id="829" w:name="_Toc19330"/>
      <w:bookmarkStart w:id="830" w:name="_Toc30810"/>
      <w:r>
        <w:rPr>
          <w:rFonts w:hint="eastAsia" w:cs="宋体"/>
          <w:b/>
          <w:sz w:val="24"/>
          <w:szCs w:val="24"/>
        </w:rPr>
        <w:t>十三、争议的解决</w:t>
      </w:r>
      <w:bookmarkEnd w:id="825"/>
      <w:bookmarkEnd w:id="826"/>
      <w:bookmarkEnd w:id="827"/>
      <w:bookmarkEnd w:id="828"/>
      <w:bookmarkEnd w:id="829"/>
      <w:bookmarkEnd w:id="830"/>
    </w:p>
    <w:p>
      <w:pPr>
        <w:pStyle w:val="13"/>
        <w:spacing w:line="360" w:lineRule="auto"/>
        <w:ind w:left="0" w:leftChars="0" w:firstLine="480" w:firstLineChars="200"/>
        <w:rPr>
          <w:rFonts w:hint="eastAsia" w:cs="宋体"/>
          <w:sz w:val="24"/>
          <w:szCs w:val="24"/>
        </w:rPr>
      </w:pPr>
      <w:r>
        <w:rPr>
          <w:rFonts w:hint="eastAsia" w:cs="宋体"/>
          <w:sz w:val="24"/>
          <w:szCs w:val="24"/>
        </w:rPr>
        <w:t>对于本合同项下的纠纷，买卖双方应当本着平等协商的原则友好协商解决，协商不成时，应向买方所在地人民法院起诉。</w:t>
      </w:r>
    </w:p>
    <w:p>
      <w:pPr>
        <w:pStyle w:val="13"/>
        <w:spacing w:line="360" w:lineRule="auto"/>
        <w:ind w:left="0" w:leftChars="0"/>
        <w:outlineLvl w:val="1"/>
        <w:rPr>
          <w:rFonts w:hint="eastAsia" w:cs="宋体"/>
          <w:b/>
          <w:sz w:val="24"/>
          <w:szCs w:val="24"/>
        </w:rPr>
      </w:pPr>
      <w:bookmarkStart w:id="831" w:name="_Toc29859"/>
      <w:bookmarkStart w:id="832" w:name="_Toc19433"/>
      <w:bookmarkStart w:id="833" w:name="_Toc23637"/>
      <w:bookmarkStart w:id="834" w:name="_Toc24599"/>
      <w:bookmarkStart w:id="835" w:name="_Toc30563"/>
      <w:bookmarkStart w:id="836" w:name="_Toc12303"/>
      <w:r>
        <w:rPr>
          <w:rFonts w:hint="eastAsia" w:cs="宋体"/>
          <w:b/>
          <w:sz w:val="24"/>
          <w:szCs w:val="24"/>
        </w:rPr>
        <w:t>十四、合同的变更、解除</w:t>
      </w:r>
      <w:bookmarkEnd w:id="831"/>
      <w:bookmarkEnd w:id="832"/>
      <w:bookmarkEnd w:id="833"/>
      <w:bookmarkEnd w:id="834"/>
      <w:bookmarkEnd w:id="835"/>
      <w:bookmarkEnd w:id="836"/>
    </w:p>
    <w:p>
      <w:pPr>
        <w:pStyle w:val="13"/>
        <w:spacing w:line="360" w:lineRule="auto"/>
        <w:ind w:left="0" w:leftChars="0" w:firstLine="480" w:firstLineChars="200"/>
        <w:rPr>
          <w:rFonts w:hint="eastAsia" w:cs="宋体"/>
          <w:sz w:val="24"/>
          <w:szCs w:val="24"/>
        </w:rPr>
      </w:pPr>
      <w:r>
        <w:rPr>
          <w:rFonts w:hint="eastAsia" w:cs="宋体"/>
          <w:sz w:val="24"/>
          <w:szCs w:val="24"/>
        </w:rPr>
        <w:t>1、本合同生效后合同双方均不能擅自对本合同的内容及附件进行单方面的修改变更，但任何一方均可以对合同的内容以书面形式提出变更和修改的建议，该项建议经对方书面同意后视为对合同内容的变更。</w:t>
      </w:r>
    </w:p>
    <w:p>
      <w:pPr>
        <w:pStyle w:val="13"/>
        <w:spacing w:line="360" w:lineRule="auto"/>
        <w:ind w:left="0" w:leftChars="0" w:firstLine="480" w:firstLineChars="200"/>
        <w:rPr>
          <w:rFonts w:hint="eastAsia" w:cs="宋体"/>
          <w:sz w:val="24"/>
          <w:szCs w:val="24"/>
        </w:rPr>
      </w:pPr>
      <w:r>
        <w:rPr>
          <w:rFonts w:hint="eastAsia" w:cs="宋体"/>
          <w:sz w:val="24"/>
          <w:szCs w:val="24"/>
        </w:rPr>
        <w:t>2、合同生效后卖方有下列情形之一的，买方有权解除合同：（1）因不可抗力致使不能实现合同目的；（2）在交货期限届满前，卖方明确表示或者以自己的行为表明不履行交货义务；（3）卖方迟延交货超过30天；（4）卖方迟延交货或者有其他违约行为致使买方不能实现合同目的。上述除不可抗力原因外，卖方应承担相应的违约责任。</w:t>
      </w:r>
    </w:p>
    <w:p>
      <w:pPr>
        <w:pStyle w:val="13"/>
        <w:spacing w:line="360" w:lineRule="auto"/>
        <w:ind w:left="0" w:leftChars="0" w:firstLine="480" w:firstLineChars="200"/>
        <w:rPr>
          <w:rFonts w:hint="eastAsia" w:cs="宋体"/>
          <w:sz w:val="24"/>
          <w:szCs w:val="24"/>
        </w:rPr>
      </w:pPr>
      <w:r>
        <w:rPr>
          <w:rFonts w:hint="eastAsia" w:cs="宋体"/>
          <w:sz w:val="24"/>
          <w:szCs w:val="24"/>
        </w:rPr>
        <w:t>3、除本合同规定的解除合同的情形外，买卖双方协商一致并共同书面同意，可以解除本合同。</w:t>
      </w:r>
    </w:p>
    <w:p>
      <w:pPr>
        <w:pStyle w:val="13"/>
        <w:spacing w:line="360" w:lineRule="auto"/>
        <w:ind w:left="0" w:leftChars="0"/>
        <w:outlineLvl w:val="1"/>
        <w:rPr>
          <w:rFonts w:hint="eastAsia" w:cs="宋体"/>
          <w:b/>
          <w:sz w:val="24"/>
          <w:szCs w:val="24"/>
        </w:rPr>
      </w:pPr>
      <w:bookmarkStart w:id="837" w:name="_Toc15469"/>
      <w:bookmarkStart w:id="838" w:name="_Toc13227"/>
      <w:bookmarkStart w:id="839" w:name="_Toc23344"/>
      <w:bookmarkStart w:id="840" w:name="_Toc18433"/>
      <w:bookmarkStart w:id="841" w:name="_Toc6899"/>
      <w:bookmarkStart w:id="842" w:name="_Toc2663"/>
      <w:r>
        <w:rPr>
          <w:rFonts w:hint="eastAsia" w:cs="宋体"/>
          <w:b/>
          <w:sz w:val="24"/>
          <w:szCs w:val="24"/>
        </w:rPr>
        <w:t>十五、其他</w:t>
      </w:r>
      <w:bookmarkEnd w:id="837"/>
      <w:bookmarkEnd w:id="838"/>
      <w:bookmarkEnd w:id="839"/>
      <w:bookmarkEnd w:id="840"/>
      <w:bookmarkEnd w:id="841"/>
      <w:bookmarkEnd w:id="842"/>
    </w:p>
    <w:p>
      <w:pPr>
        <w:pStyle w:val="13"/>
        <w:spacing w:after="0" w:line="360" w:lineRule="auto"/>
        <w:ind w:left="0" w:leftChars="0" w:firstLine="480" w:firstLineChars="200"/>
        <w:rPr>
          <w:rFonts w:hint="eastAsia" w:cs="宋体"/>
          <w:sz w:val="24"/>
          <w:szCs w:val="24"/>
        </w:rPr>
      </w:pPr>
      <w:r>
        <w:rPr>
          <w:rFonts w:hint="eastAsia" w:cs="宋体"/>
          <w:sz w:val="24"/>
          <w:szCs w:val="24"/>
        </w:rPr>
        <w:t>1、本合同自买卖双方法定代表人或其授权代理人签字并加盖买卖双方公章之日起生效。</w:t>
      </w:r>
    </w:p>
    <w:p>
      <w:pPr>
        <w:pStyle w:val="13"/>
        <w:spacing w:after="0" w:line="360" w:lineRule="auto"/>
        <w:ind w:left="0" w:leftChars="0" w:firstLine="480" w:firstLineChars="200"/>
        <w:rPr>
          <w:rFonts w:hint="eastAsia" w:cs="宋体"/>
          <w:sz w:val="24"/>
          <w:szCs w:val="24"/>
        </w:rPr>
      </w:pPr>
      <w:r>
        <w:rPr>
          <w:rFonts w:hint="eastAsia" w:cs="宋体"/>
          <w:sz w:val="24"/>
          <w:szCs w:val="24"/>
        </w:rPr>
        <w:t>2、买卖双方记载于本合同的地址不仅为履行、解除本合同的联系及送达地址，亦是买卖双方确认为接收司法文书的送达地址，邮寄被拒收的，视为已送达，邮寄送达不到的，退件之日视为送达之日。</w:t>
      </w:r>
    </w:p>
    <w:p>
      <w:pPr>
        <w:pStyle w:val="13"/>
        <w:spacing w:after="0" w:line="360" w:lineRule="auto"/>
        <w:ind w:left="0" w:leftChars="0" w:firstLine="480" w:firstLineChars="200"/>
        <w:rPr>
          <w:rFonts w:hint="eastAsia" w:cs="宋体"/>
          <w:sz w:val="24"/>
          <w:szCs w:val="24"/>
        </w:rPr>
      </w:pPr>
      <w:r>
        <w:rPr>
          <w:rFonts w:hint="eastAsia" w:cs="宋体"/>
          <w:sz w:val="24"/>
          <w:szCs w:val="24"/>
        </w:rPr>
        <w:t>3、本合同中“□”列示的选项，以在“□”中作标记的为双方约定的选项。</w:t>
      </w:r>
    </w:p>
    <w:p>
      <w:pPr>
        <w:pStyle w:val="13"/>
        <w:spacing w:line="360" w:lineRule="auto"/>
        <w:ind w:left="0" w:leftChars="0" w:firstLine="480" w:firstLineChars="200"/>
        <w:rPr>
          <w:rFonts w:hint="eastAsia" w:cs="宋体"/>
          <w:kern w:val="0"/>
          <w:sz w:val="24"/>
          <w:szCs w:val="24"/>
        </w:rPr>
      </w:pPr>
      <w:r>
        <w:rPr>
          <w:rFonts w:hint="eastAsia" w:cs="宋体"/>
          <w:kern w:val="0"/>
          <w:sz w:val="24"/>
          <w:szCs w:val="24"/>
        </w:rPr>
        <w:t>4、对本合同条款的任何变更、修改或增减，须经双方授权代表签署书面文件，成为本合同的组成部分，并具有同等法律效力。</w:t>
      </w:r>
    </w:p>
    <w:p>
      <w:pPr>
        <w:pStyle w:val="13"/>
        <w:spacing w:line="360" w:lineRule="auto"/>
        <w:ind w:left="0" w:leftChars="0" w:firstLine="480" w:firstLineChars="200"/>
        <w:rPr>
          <w:rFonts w:hint="eastAsia" w:cs="宋体"/>
          <w:sz w:val="24"/>
          <w:szCs w:val="24"/>
        </w:rPr>
      </w:pPr>
      <w:r>
        <w:rPr>
          <w:rFonts w:hint="eastAsia" w:cs="宋体"/>
          <w:sz w:val="24"/>
          <w:szCs w:val="24"/>
        </w:rPr>
        <w:t>5、本合同附件与本合同具有同等效力。</w:t>
      </w:r>
    </w:p>
    <w:p>
      <w:pPr>
        <w:pStyle w:val="13"/>
        <w:spacing w:line="360" w:lineRule="auto"/>
        <w:ind w:left="0" w:leftChars="0" w:firstLine="480" w:firstLineChars="200"/>
        <w:rPr>
          <w:rFonts w:hint="eastAsia" w:cs="宋体"/>
          <w:sz w:val="24"/>
          <w:szCs w:val="24"/>
        </w:rPr>
      </w:pPr>
      <w:r>
        <w:rPr>
          <w:rFonts w:hint="eastAsia" w:cs="宋体"/>
          <w:sz w:val="24"/>
          <w:szCs w:val="24"/>
        </w:rPr>
        <w:t>6、本合同一式</w:t>
      </w:r>
      <w:r>
        <w:rPr>
          <w:rFonts w:hint="eastAsia" w:cs="宋体"/>
          <w:sz w:val="24"/>
          <w:szCs w:val="24"/>
          <w:u w:val="single"/>
        </w:rPr>
        <w:t xml:space="preserve"> </w:t>
      </w:r>
      <w:r>
        <w:rPr>
          <w:rFonts w:hint="eastAsia" w:cs="宋体"/>
          <w:sz w:val="24"/>
          <w:szCs w:val="24"/>
          <w:u w:val="single"/>
          <w:lang w:val="en-US" w:eastAsia="zh-CN"/>
        </w:rPr>
        <w:t>肆</w:t>
      </w:r>
      <w:r>
        <w:rPr>
          <w:rFonts w:hint="eastAsia" w:cs="宋体"/>
          <w:sz w:val="24"/>
          <w:szCs w:val="24"/>
          <w:u w:val="single"/>
        </w:rPr>
        <w:t xml:space="preserve"> </w:t>
      </w:r>
      <w:r>
        <w:rPr>
          <w:rFonts w:hint="eastAsia" w:cs="宋体"/>
          <w:sz w:val="24"/>
          <w:szCs w:val="24"/>
        </w:rPr>
        <w:t>份，买方持</w:t>
      </w:r>
      <w:r>
        <w:rPr>
          <w:rFonts w:hint="eastAsia" w:cs="宋体"/>
          <w:sz w:val="24"/>
          <w:szCs w:val="24"/>
          <w:u w:val="single"/>
        </w:rPr>
        <w:t xml:space="preserve"> </w:t>
      </w:r>
      <w:r>
        <w:rPr>
          <w:rFonts w:hint="eastAsia" w:cs="宋体"/>
          <w:sz w:val="24"/>
          <w:szCs w:val="24"/>
          <w:u w:val="single"/>
          <w:lang w:val="en-US" w:eastAsia="zh-CN"/>
        </w:rPr>
        <w:t>贰</w:t>
      </w:r>
      <w:r>
        <w:rPr>
          <w:rFonts w:hint="eastAsia" w:cs="宋体"/>
          <w:sz w:val="24"/>
          <w:szCs w:val="24"/>
          <w:u w:val="single"/>
        </w:rPr>
        <w:t xml:space="preserve"> </w:t>
      </w:r>
      <w:r>
        <w:rPr>
          <w:rFonts w:hint="eastAsia" w:cs="宋体"/>
          <w:sz w:val="24"/>
          <w:szCs w:val="24"/>
        </w:rPr>
        <w:t>份，卖方持</w:t>
      </w:r>
      <w:r>
        <w:rPr>
          <w:rFonts w:hint="eastAsia" w:cs="宋体"/>
          <w:sz w:val="24"/>
          <w:szCs w:val="24"/>
          <w:u w:val="single"/>
        </w:rPr>
        <w:t xml:space="preserve">  </w:t>
      </w:r>
      <w:r>
        <w:rPr>
          <w:rFonts w:hint="eastAsia" w:cs="宋体"/>
          <w:sz w:val="24"/>
          <w:szCs w:val="24"/>
          <w:u w:val="single"/>
          <w:lang w:val="en-US" w:eastAsia="zh-CN"/>
        </w:rPr>
        <w:t>贰</w:t>
      </w:r>
      <w:r>
        <w:rPr>
          <w:rFonts w:hint="eastAsia" w:cs="宋体"/>
          <w:sz w:val="24"/>
          <w:szCs w:val="24"/>
          <w:u w:val="single"/>
        </w:rPr>
        <w:t xml:space="preserve"> </w:t>
      </w:r>
      <w:r>
        <w:rPr>
          <w:rFonts w:hint="eastAsia" w:cs="宋体"/>
          <w:sz w:val="24"/>
          <w:szCs w:val="24"/>
        </w:rPr>
        <w:t>份。</w:t>
      </w:r>
    </w:p>
    <w:tbl>
      <w:tblPr>
        <w:tblStyle w:val="28"/>
        <w:tblW w:w="8316" w:type="dxa"/>
        <w:tblInd w:w="97" w:type="dxa"/>
        <w:tblLayout w:type="fixed"/>
        <w:tblCellMar>
          <w:top w:w="0" w:type="dxa"/>
          <w:left w:w="108" w:type="dxa"/>
          <w:bottom w:w="0" w:type="dxa"/>
          <w:right w:w="108" w:type="dxa"/>
        </w:tblCellMar>
      </w:tblPr>
      <w:tblGrid>
        <w:gridCol w:w="4230"/>
        <w:gridCol w:w="4086"/>
      </w:tblGrid>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bookmarkStart w:id="843" w:name="_Hlk519071586"/>
            <w:r>
              <w:rPr>
                <w:rFonts w:hint="eastAsia" w:cs="宋体"/>
                <w:kern w:val="0"/>
                <w:sz w:val="24"/>
                <w:szCs w:val="24"/>
              </w:rPr>
              <w:t>买方（章）：</w:t>
            </w:r>
            <w:r>
              <w:rPr>
                <w:rFonts w:hint="eastAsia" w:cs="宋体"/>
                <w:sz w:val="24"/>
                <w:szCs w:val="24"/>
              </w:rPr>
              <w:t>厦工（三明）重型机器有限公司</w:t>
            </w:r>
          </w:p>
        </w:tc>
        <w:tc>
          <w:tcPr>
            <w:tcW w:w="4086" w:type="dxa"/>
            <w:tcBorders>
              <w:top w:val="nil"/>
              <w:left w:val="nil"/>
              <w:bottom w:val="nil"/>
              <w:right w:val="nil"/>
            </w:tcBorders>
            <w:noWrap/>
            <w:vAlign w:val="center"/>
          </w:tcPr>
          <w:p>
            <w:pPr>
              <w:widowControl/>
              <w:spacing w:line="360" w:lineRule="auto"/>
              <w:ind w:right="420"/>
              <w:jc w:val="left"/>
              <w:rPr>
                <w:rFonts w:hint="eastAsia" w:cs="宋体"/>
                <w:kern w:val="0"/>
                <w:sz w:val="24"/>
                <w:szCs w:val="24"/>
              </w:rPr>
            </w:pPr>
            <w:r>
              <w:rPr>
                <w:rFonts w:hint="eastAsia" w:cs="宋体"/>
                <w:kern w:val="0"/>
                <w:sz w:val="24"/>
                <w:szCs w:val="24"/>
              </w:rPr>
              <w:t xml:space="preserve">卖方（章）：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地址： </w:t>
            </w:r>
          </w:p>
        </w:tc>
        <w:tc>
          <w:tcPr>
            <w:tcW w:w="4086" w:type="dxa"/>
            <w:tcBorders>
              <w:top w:val="nil"/>
              <w:left w:val="nil"/>
              <w:bottom w:val="nil"/>
              <w:right w:val="nil"/>
            </w:tcBorders>
            <w:noWrap/>
            <w:vAlign w:val="center"/>
          </w:tcPr>
          <w:p>
            <w:pPr>
              <w:widowControl/>
              <w:spacing w:line="360" w:lineRule="auto"/>
              <w:ind w:right="420"/>
              <w:jc w:val="left"/>
              <w:rPr>
                <w:rFonts w:hint="eastAsia" w:cs="宋体"/>
                <w:kern w:val="0"/>
                <w:sz w:val="24"/>
                <w:szCs w:val="24"/>
              </w:rPr>
            </w:pPr>
            <w:r>
              <w:rPr>
                <w:rFonts w:hint="eastAsia" w:cs="宋体"/>
                <w:kern w:val="0"/>
                <w:sz w:val="24"/>
                <w:szCs w:val="24"/>
              </w:rPr>
              <w:t xml:space="preserve">地址：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邮编：  </w:t>
            </w:r>
            <w:r>
              <w:rPr>
                <w:rFonts w:cs="宋体"/>
                <w:kern w:val="0"/>
                <w:sz w:val="24"/>
                <w:szCs w:val="24"/>
              </w:rPr>
              <w:t>365500</w:t>
            </w:r>
          </w:p>
        </w:tc>
        <w:tc>
          <w:tcPr>
            <w:tcW w:w="4086"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邮编：</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法定代表人或授权代理人：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法定代表人或授权代理人：</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电话：</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 xml:space="preserve">电话：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税号：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税号：</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开户行：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 xml:space="preserve">开户行：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账号：</w:t>
            </w:r>
            <w:r>
              <w:rPr>
                <w:rFonts w:cs="宋体"/>
                <w:kern w:val="0"/>
                <w:sz w:val="24"/>
                <w:szCs w:val="24"/>
              </w:rPr>
              <w:t xml:space="preserve">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 xml:space="preserve">账号：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签订日期：     年   月   日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签订日期：    年   月   日</w:t>
            </w:r>
          </w:p>
        </w:tc>
      </w:tr>
      <w:bookmarkEnd w:id="843"/>
    </w:tbl>
    <w:p>
      <w:pPr>
        <w:pStyle w:val="38"/>
        <w:jc w:val="left"/>
        <w:rPr>
          <w:rFonts w:hint="eastAsia"/>
        </w:rPr>
        <w:sectPr>
          <w:headerReference r:id="rId5" w:type="default"/>
          <w:footerReference r:id="rId6" w:type="default"/>
          <w:pgSz w:w="11906" w:h="16838"/>
          <w:pgMar w:top="1440" w:right="1797" w:bottom="1440" w:left="1797" w:header="851" w:footer="992" w:gutter="0"/>
          <w:cols w:space="425" w:num="1"/>
          <w:docGrid w:linePitch="312" w:charSpace="0"/>
        </w:sectPr>
      </w:pPr>
    </w:p>
    <w:p>
      <w:pPr>
        <w:pStyle w:val="9"/>
        <w:spacing w:line="360" w:lineRule="auto"/>
        <w:ind w:firstLine="2209" w:firstLineChars="500"/>
        <w:outlineLvl w:val="0"/>
        <w:rPr>
          <w:rFonts w:hint="eastAsia" w:cs="宋体"/>
          <w:b/>
          <w:bCs/>
          <w:sz w:val="44"/>
          <w:szCs w:val="44"/>
        </w:rPr>
      </w:pPr>
      <w:bookmarkStart w:id="844" w:name="_Toc8941"/>
      <w:bookmarkStart w:id="845" w:name="_Toc14845"/>
      <w:bookmarkStart w:id="846" w:name="_Toc31779"/>
      <w:bookmarkStart w:id="847" w:name="_Toc6144"/>
      <w:bookmarkStart w:id="848" w:name="_Toc9599"/>
      <w:bookmarkStart w:id="849" w:name="_Toc32249"/>
      <w:r>
        <w:rPr>
          <w:rFonts w:hint="eastAsia" w:cs="宋体"/>
          <w:b/>
          <w:bCs/>
          <w:sz w:val="44"/>
          <w:szCs w:val="44"/>
        </w:rPr>
        <w:t>第六章  投标文件格式</w:t>
      </w:r>
      <w:bookmarkEnd w:id="844"/>
      <w:bookmarkEnd w:id="845"/>
      <w:bookmarkEnd w:id="846"/>
      <w:bookmarkEnd w:id="847"/>
      <w:bookmarkEnd w:id="848"/>
      <w:bookmarkEnd w:id="849"/>
    </w:p>
    <w:p>
      <w:pPr>
        <w:pStyle w:val="9"/>
        <w:spacing w:line="360" w:lineRule="auto"/>
        <w:jc w:val="right"/>
        <w:rPr>
          <w:rFonts w:hint="eastAsia" w:cs="宋体"/>
          <w:b/>
          <w:bCs/>
          <w:sz w:val="72"/>
          <w:szCs w:val="72"/>
        </w:rPr>
      </w:pPr>
      <w:r>
        <w:rPr>
          <w:rFonts w:hint="eastAsia" w:cs="宋体"/>
          <w:b/>
          <w:bCs/>
          <w:sz w:val="36"/>
          <w:szCs w:val="36"/>
        </w:rPr>
        <w:t xml:space="preserve">  （正/副本）</w:t>
      </w:r>
    </w:p>
    <w:p>
      <w:pPr>
        <w:spacing w:line="360" w:lineRule="auto"/>
        <w:jc w:val="center"/>
        <w:rPr>
          <w:rFonts w:hint="eastAsia" w:cs="宋体"/>
          <w:b/>
          <w:bCs/>
          <w:sz w:val="72"/>
          <w:szCs w:val="72"/>
        </w:rPr>
      </w:pPr>
      <w:r>
        <w:rPr>
          <w:rFonts w:hint="eastAsia" w:cs="宋体"/>
          <w:b/>
          <w:bCs/>
          <w:sz w:val="72"/>
          <w:szCs w:val="72"/>
        </w:rPr>
        <w:t xml:space="preserve"> </w:t>
      </w:r>
    </w:p>
    <w:p>
      <w:pPr>
        <w:spacing w:line="360" w:lineRule="auto"/>
        <w:jc w:val="center"/>
        <w:outlineLvl w:val="1"/>
        <w:rPr>
          <w:rFonts w:hint="eastAsia" w:cs="宋体"/>
          <w:b/>
          <w:bCs/>
          <w:sz w:val="72"/>
          <w:szCs w:val="72"/>
        </w:rPr>
      </w:pPr>
      <w:bookmarkStart w:id="850" w:name="_Toc20184"/>
      <w:bookmarkStart w:id="851" w:name="_Toc9685"/>
      <w:bookmarkStart w:id="852" w:name="_Toc29159"/>
      <w:bookmarkStart w:id="853" w:name="_Toc4491"/>
      <w:bookmarkStart w:id="854" w:name="_Toc13201"/>
      <w:bookmarkStart w:id="855" w:name="_Toc12581"/>
      <w:r>
        <w:rPr>
          <w:rFonts w:hint="eastAsia" w:cs="宋体"/>
          <w:b/>
          <w:bCs/>
          <w:sz w:val="72"/>
          <w:szCs w:val="72"/>
        </w:rPr>
        <w:t>投  标  文  件</w:t>
      </w:r>
      <w:bookmarkEnd w:id="850"/>
      <w:bookmarkEnd w:id="851"/>
      <w:bookmarkEnd w:id="852"/>
      <w:bookmarkEnd w:id="853"/>
      <w:bookmarkEnd w:id="854"/>
      <w:bookmarkEnd w:id="855"/>
    </w:p>
    <w:p>
      <w:pPr>
        <w:spacing w:line="360" w:lineRule="auto"/>
        <w:jc w:val="center"/>
        <w:outlineLvl w:val="1"/>
        <w:rPr>
          <w:rFonts w:hint="eastAsia" w:cs="宋体"/>
          <w:b/>
          <w:bCs/>
          <w:sz w:val="36"/>
          <w:szCs w:val="36"/>
        </w:rPr>
      </w:pPr>
      <w:bookmarkStart w:id="856" w:name="_Toc32596"/>
      <w:bookmarkStart w:id="857" w:name="_Toc1488"/>
      <w:bookmarkStart w:id="858" w:name="_Toc15805"/>
      <w:bookmarkStart w:id="859" w:name="_Toc2937"/>
      <w:bookmarkStart w:id="860" w:name="_Toc28722"/>
      <w:bookmarkStart w:id="861" w:name="_Toc16524"/>
      <w:r>
        <w:rPr>
          <w:rFonts w:hint="eastAsia" w:cs="宋体"/>
          <w:b/>
          <w:bCs/>
          <w:sz w:val="36"/>
          <w:szCs w:val="36"/>
        </w:rPr>
        <w:t>（资格文件）</w:t>
      </w:r>
      <w:bookmarkEnd w:id="856"/>
      <w:bookmarkEnd w:id="857"/>
      <w:bookmarkEnd w:id="858"/>
      <w:bookmarkEnd w:id="859"/>
      <w:bookmarkEnd w:id="860"/>
      <w:bookmarkEnd w:id="861"/>
    </w:p>
    <w:p>
      <w:pPr>
        <w:spacing w:line="360" w:lineRule="auto"/>
        <w:jc w:val="center"/>
        <w:rPr>
          <w:rFonts w:hint="eastAsia" w:cs="宋体"/>
          <w:b/>
          <w:bCs/>
          <w:sz w:val="36"/>
          <w:szCs w:val="36"/>
        </w:rPr>
      </w:pPr>
      <w:r>
        <w:rPr>
          <w:rFonts w:hint="eastAsia" w:cs="宋体"/>
          <w:b/>
          <w:bCs/>
          <w:sz w:val="36"/>
          <w:szCs w:val="36"/>
        </w:rPr>
        <w:t xml:space="preserve"> </w:t>
      </w:r>
    </w:p>
    <w:p>
      <w:pPr>
        <w:spacing w:line="360" w:lineRule="auto"/>
        <w:ind w:firstLine="1084" w:firstLineChars="300"/>
        <w:rPr>
          <w:rFonts w:hint="eastAsia" w:cs="宋体"/>
          <w:b/>
          <w:bCs/>
          <w:sz w:val="36"/>
          <w:szCs w:val="36"/>
        </w:rPr>
      </w:pPr>
      <w:r>
        <w:rPr>
          <w:rFonts w:hint="eastAsia" w:cs="宋体"/>
          <w:b/>
          <w:bCs/>
          <w:sz w:val="36"/>
          <w:szCs w:val="36"/>
        </w:rPr>
        <w:t>项 目 名 称：</w:t>
      </w:r>
      <w:r>
        <w:rPr>
          <w:rFonts w:hint="eastAsia" w:cs="宋体"/>
          <w:b/>
          <w:bCs/>
          <w:sz w:val="36"/>
          <w:szCs w:val="36"/>
          <w:u w:val="single"/>
        </w:rPr>
        <w:t xml:space="preserve">               </w:t>
      </w:r>
    </w:p>
    <w:p>
      <w:pPr>
        <w:spacing w:line="360" w:lineRule="auto"/>
        <w:ind w:firstLine="1084" w:firstLineChars="300"/>
        <w:rPr>
          <w:rFonts w:hint="eastAsia" w:cs="宋体"/>
          <w:b/>
          <w:bCs/>
          <w:sz w:val="36"/>
          <w:szCs w:val="36"/>
          <w:u w:val="single"/>
        </w:rPr>
      </w:pPr>
      <w:r>
        <w:rPr>
          <w:rFonts w:hint="eastAsia" w:cs="宋体"/>
          <w:b/>
          <w:bCs/>
          <w:sz w:val="36"/>
          <w:szCs w:val="36"/>
        </w:rPr>
        <w:t>招 标 编 号：</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u w:val="single"/>
        </w:rPr>
      </w:pPr>
      <w:r>
        <w:rPr>
          <w:rFonts w:hint="eastAsia" w:cs="宋体"/>
          <w:b/>
          <w:bCs/>
          <w:sz w:val="36"/>
          <w:szCs w:val="36"/>
        </w:rPr>
        <w:t xml:space="preserve">       投标人名称 ：</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日      期 ：</w:t>
      </w:r>
      <w:r>
        <w:rPr>
          <w:rFonts w:hint="eastAsia" w:cs="宋体"/>
          <w:b/>
          <w:bCs/>
          <w:sz w:val="36"/>
          <w:szCs w:val="36"/>
          <w:u w:val="single"/>
        </w:rPr>
        <w:t xml:space="preserve">               </w:t>
      </w:r>
    </w:p>
    <w:p>
      <w:pPr>
        <w:spacing w:line="360" w:lineRule="auto"/>
        <w:rPr>
          <w:rFonts w:hint="eastAsia" w:cs="宋体"/>
          <w:sz w:val="24"/>
        </w:rPr>
      </w:pPr>
      <w:r>
        <w:rPr>
          <w:rFonts w:hint="eastAsia" w:cs="宋体"/>
          <w:sz w:val="24"/>
        </w:rPr>
        <w:t xml:space="preserve"> </w:t>
      </w:r>
    </w:p>
    <w:p>
      <w:pPr>
        <w:autoSpaceDE w:val="0"/>
        <w:autoSpaceDN w:val="0"/>
        <w:adjustRightInd w:val="0"/>
        <w:spacing w:line="480" w:lineRule="auto"/>
        <w:jc w:val="center"/>
        <w:rPr>
          <w:rFonts w:hint="eastAsia" w:cs="宋体"/>
          <w:kern w:val="0"/>
          <w:sz w:val="36"/>
          <w:szCs w:val="36"/>
        </w:rPr>
      </w:pPr>
    </w:p>
    <w:p>
      <w:pPr>
        <w:autoSpaceDE w:val="0"/>
        <w:autoSpaceDN w:val="0"/>
        <w:adjustRightInd w:val="0"/>
        <w:spacing w:line="480" w:lineRule="auto"/>
        <w:jc w:val="center"/>
        <w:rPr>
          <w:rFonts w:hint="eastAsia" w:cs="宋体"/>
          <w:kern w:val="0"/>
          <w:sz w:val="36"/>
          <w:szCs w:val="36"/>
        </w:rPr>
      </w:pPr>
      <w:r>
        <w:rPr>
          <w:rFonts w:hint="eastAsia" w:cs="宋体"/>
          <w:kern w:val="0"/>
          <w:sz w:val="36"/>
          <w:szCs w:val="36"/>
        </w:rPr>
        <w:t>目 录</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一、投标函</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二、开标一览表</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三、分项报价表</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四、投标人资格证明文件</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五、带“★”号条款响应表</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六、法定代表人资格证明书</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七、授权委托书</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八、投标保证金缴交凭证</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九、投标人基本账户信息</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十、投标人提交的其它资料</w:t>
      </w:r>
    </w:p>
    <w:p>
      <w:pPr>
        <w:autoSpaceDE w:val="0"/>
        <w:autoSpaceDN w:val="0"/>
        <w:adjustRightInd w:val="0"/>
        <w:jc w:val="left"/>
        <w:rPr>
          <w:rFonts w:cs="宋体"/>
          <w:kern w:val="0"/>
          <w:sz w:val="24"/>
          <w:szCs w:val="24"/>
        </w:rPr>
      </w:pPr>
    </w:p>
    <w:p>
      <w:pPr>
        <w:pStyle w:val="65"/>
      </w:pPr>
    </w:p>
    <w:p>
      <w:pPr>
        <w:pStyle w:val="65"/>
      </w:pPr>
    </w:p>
    <w:p>
      <w:pPr>
        <w:pStyle w:val="65"/>
      </w:pPr>
    </w:p>
    <w:p>
      <w:pPr>
        <w:pStyle w:val="65"/>
      </w:pPr>
    </w:p>
    <w:p>
      <w:pPr>
        <w:pStyle w:val="65"/>
      </w:pPr>
    </w:p>
    <w:p>
      <w:pPr>
        <w:pStyle w:val="65"/>
      </w:pPr>
    </w:p>
    <w:p>
      <w:pPr>
        <w:pStyle w:val="65"/>
      </w:pPr>
    </w:p>
    <w:p>
      <w:pPr>
        <w:pStyle w:val="65"/>
        <w:rPr>
          <w:rFonts w:hint="eastAsia"/>
        </w:rPr>
      </w:pPr>
    </w:p>
    <w:p>
      <w:pPr>
        <w:autoSpaceDE w:val="0"/>
        <w:autoSpaceDN w:val="0"/>
        <w:adjustRightInd w:val="0"/>
        <w:jc w:val="left"/>
        <w:rPr>
          <w:rFonts w:hint="eastAsia" w:cs="宋体"/>
          <w:kern w:val="0"/>
          <w:sz w:val="24"/>
          <w:szCs w:val="24"/>
        </w:rPr>
      </w:pPr>
    </w:p>
    <w:p>
      <w:pPr>
        <w:autoSpaceDE w:val="0"/>
        <w:autoSpaceDN w:val="0"/>
        <w:adjustRightInd w:val="0"/>
        <w:jc w:val="left"/>
        <w:rPr>
          <w:rFonts w:hint="eastAsia" w:cs="宋体"/>
          <w:kern w:val="0"/>
          <w:sz w:val="24"/>
          <w:szCs w:val="24"/>
        </w:rPr>
      </w:pPr>
    </w:p>
    <w:p>
      <w:pPr>
        <w:autoSpaceDE w:val="0"/>
        <w:autoSpaceDN w:val="0"/>
        <w:adjustRightInd w:val="0"/>
        <w:jc w:val="left"/>
        <w:rPr>
          <w:rFonts w:hint="eastAsia" w:cs="宋体"/>
          <w:kern w:val="0"/>
          <w:sz w:val="24"/>
          <w:szCs w:val="24"/>
        </w:rPr>
      </w:pPr>
    </w:p>
    <w:p>
      <w:pPr>
        <w:rPr>
          <w:rFonts w:hint="eastAsia"/>
          <w:sz w:val="28"/>
          <w:szCs w:val="28"/>
        </w:rPr>
      </w:pPr>
    </w:p>
    <w:p>
      <w:pPr>
        <w:keepNext/>
        <w:keepLines/>
        <w:spacing w:before="120" w:beforeLines="50" w:after="120" w:afterLines="50" w:line="415" w:lineRule="auto"/>
        <w:jc w:val="center"/>
        <w:outlineLvl w:val="9"/>
        <w:rPr>
          <w:rFonts w:hint="eastAsia" w:cs="宋体"/>
          <w:b/>
          <w:bCs/>
          <w:kern w:val="0"/>
          <w:sz w:val="28"/>
          <w:szCs w:val="28"/>
        </w:rPr>
      </w:pPr>
      <w:bookmarkStart w:id="862" w:name="_Toc148459146"/>
      <w:r>
        <w:rPr>
          <w:rFonts w:hint="eastAsia" w:cs="宋体"/>
          <w:b/>
          <w:bCs/>
          <w:kern w:val="0"/>
          <w:sz w:val="28"/>
          <w:szCs w:val="28"/>
        </w:rPr>
        <w:t>一、投 标 函</w:t>
      </w:r>
      <w:bookmarkEnd w:id="862"/>
    </w:p>
    <w:p>
      <w:pPr>
        <w:snapToGrid w:val="0"/>
        <w:spacing w:line="400" w:lineRule="exact"/>
        <w:rPr>
          <w:rFonts w:hint="eastAsia" w:cs="宋体"/>
          <w:sz w:val="24"/>
        </w:rPr>
      </w:pPr>
      <w:r>
        <w:rPr>
          <w:rFonts w:hint="eastAsia" w:cs="宋体"/>
          <w:sz w:val="24"/>
        </w:rPr>
        <w:t>致：</w:t>
      </w:r>
      <w:r>
        <w:rPr>
          <w:rFonts w:hint="eastAsia" w:cs="宋体"/>
          <w:sz w:val="24"/>
          <w:u w:val="single"/>
        </w:rPr>
        <w:t>厦工（三明）重型机器有限公司</w:t>
      </w:r>
    </w:p>
    <w:p>
      <w:pPr>
        <w:snapToGrid w:val="0"/>
        <w:spacing w:line="400" w:lineRule="exact"/>
        <w:ind w:firstLine="480" w:firstLineChars="200"/>
        <w:rPr>
          <w:rFonts w:hint="eastAsia" w:cs="宋体"/>
          <w:sz w:val="24"/>
        </w:rPr>
      </w:pPr>
      <w:r>
        <w:rPr>
          <w:rFonts w:hint="eastAsia" w:cs="宋体"/>
          <w:sz w:val="24"/>
        </w:rPr>
        <w:t>根据贵方为</w:t>
      </w:r>
      <w:r>
        <w:rPr>
          <w:rFonts w:hint="eastAsia" w:cs="宋体"/>
          <w:sz w:val="24"/>
          <w:u w:val="single"/>
        </w:rPr>
        <w:t xml:space="preserve">       </w:t>
      </w:r>
      <w:r>
        <w:rPr>
          <w:rFonts w:hint="eastAsia" w:cs="宋体"/>
          <w:sz w:val="24"/>
        </w:rPr>
        <w:t>项目的投标邀请（招标编号：</w:t>
      </w:r>
      <w:r>
        <w:rPr>
          <w:rFonts w:hint="eastAsia" w:cs="宋体"/>
          <w:sz w:val="24"/>
          <w:u w:val="single"/>
        </w:rPr>
        <w:t xml:space="preserve">         </w:t>
      </w:r>
      <w:r>
        <w:rPr>
          <w:rFonts w:hint="eastAsia" w:cs="宋体"/>
          <w:sz w:val="24"/>
        </w:rPr>
        <w:t>），本签字代表</w:t>
      </w:r>
      <w:r>
        <w:rPr>
          <w:rFonts w:hint="eastAsia" w:cs="宋体"/>
          <w:sz w:val="24"/>
          <w:u w:val="single"/>
        </w:rPr>
        <w:t>（全名、职务）</w:t>
      </w:r>
      <w:r>
        <w:rPr>
          <w:rFonts w:hint="eastAsia" w:cs="宋体"/>
          <w:sz w:val="24"/>
        </w:rPr>
        <w:t>经正式授权并代表投标人</w:t>
      </w:r>
      <w:r>
        <w:rPr>
          <w:rFonts w:hint="eastAsia" w:cs="宋体"/>
          <w:sz w:val="24"/>
          <w:u w:val="single"/>
        </w:rPr>
        <w:t>（投标人名称、地址）</w:t>
      </w:r>
      <w:r>
        <w:rPr>
          <w:rFonts w:hint="eastAsia" w:cs="宋体"/>
          <w:sz w:val="24"/>
        </w:rPr>
        <w:t>提交下述文件：</w:t>
      </w:r>
    </w:p>
    <w:p>
      <w:pPr>
        <w:adjustRightInd w:val="0"/>
        <w:snapToGrid w:val="0"/>
        <w:spacing w:line="400" w:lineRule="exact"/>
        <w:ind w:firstLine="480" w:firstLineChars="200"/>
        <w:rPr>
          <w:rFonts w:hint="eastAsia" w:cs="宋体"/>
          <w:sz w:val="24"/>
        </w:rPr>
      </w:pPr>
      <w:r>
        <w:rPr>
          <w:rFonts w:hint="eastAsia" w:cs="宋体"/>
          <w:sz w:val="24"/>
        </w:rPr>
        <w:t>1、投标文件内容：</w:t>
      </w:r>
    </w:p>
    <w:p>
      <w:pPr>
        <w:adjustRightInd w:val="0"/>
        <w:snapToGrid w:val="0"/>
        <w:spacing w:line="400" w:lineRule="exact"/>
        <w:ind w:firstLine="480" w:firstLineChars="200"/>
        <w:rPr>
          <w:rFonts w:hint="eastAsia" w:cs="宋体"/>
          <w:sz w:val="24"/>
        </w:rPr>
      </w:pPr>
      <w:r>
        <w:rPr>
          <w:rFonts w:hint="eastAsia" w:cs="宋体"/>
          <w:sz w:val="24"/>
        </w:rPr>
        <w:t xml:space="preserve">1.1资格文件 </w:t>
      </w:r>
    </w:p>
    <w:p>
      <w:pPr>
        <w:adjustRightInd w:val="0"/>
        <w:snapToGrid w:val="0"/>
        <w:spacing w:line="400" w:lineRule="exact"/>
        <w:ind w:firstLine="480" w:firstLineChars="200"/>
        <w:rPr>
          <w:rFonts w:hint="eastAsia" w:cs="宋体"/>
          <w:sz w:val="24"/>
        </w:rPr>
      </w:pPr>
      <w:r>
        <w:rPr>
          <w:rFonts w:hint="eastAsia" w:cs="宋体"/>
          <w:sz w:val="24"/>
        </w:rPr>
        <w:t>1.2技术文件</w:t>
      </w:r>
    </w:p>
    <w:p>
      <w:pPr>
        <w:adjustRightInd w:val="0"/>
        <w:snapToGrid w:val="0"/>
        <w:spacing w:line="400" w:lineRule="exact"/>
        <w:ind w:firstLine="480" w:firstLineChars="200"/>
        <w:rPr>
          <w:rFonts w:hint="eastAsia" w:cs="宋体"/>
          <w:sz w:val="24"/>
        </w:rPr>
      </w:pPr>
      <w:r>
        <w:rPr>
          <w:rFonts w:hint="eastAsia" w:cs="宋体"/>
          <w:sz w:val="24"/>
        </w:rPr>
        <w:t xml:space="preserve">1.3商务文件         </w:t>
      </w:r>
    </w:p>
    <w:p>
      <w:pPr>
        <w:adjustRightInd w:val="0"/>
        <w:snapToGrid w:val="0"/>
        <w:spacing w:line="400" w:lineRule="exact"/>
        <w:ind w:firstLine="480" w:firstLineChars="200"/>
        <w:rPr>
          <w:rFonts w:hint="eastAsia" w:cs="宋体"/>
          <w:sz w:val="24"/>
        </w:rPr>
      </w:pPr>
      <w:r>
        <w:rPr>
          <w:rFonts w:hint="eastAsia" w:cs="宋体"/>
          <w:sz w:val="24"/>
        </w:rPr>
        <w:t>1.4以</w:t>
      </w:r>
      <w:r>
        <w:rPr>
          <w:rFonts w:hint="eastAsia" w:cs="宋体"/>
          <w:sz w:val="24"/>
          <w:u w:val="single"/>
        </w:rPr>
        <w:t xml:space="preserve">      </w:t>
      </w:r>
      <w:r>
        <w:rPr>
          <w:rFonts w:hint="eastAsia" w:cs="宋体"/>
          <w:sz w:val="24"/>
        </w:rPr>
        <w:t>方式提供的金额为人民币</w:t>
      </w:r>
      <w:r>
        <w:rPr>
          <w:rFonts w:hint="eastAsia" w:cs="宋体"/>
          <w:sz w:val="24"/>
          <w:u w:val="single"/>
        </w:rPr>
        <w:t xml:space="preserve">       </w:t>
      </w:r>
      <w:r>
        <w:rPr>
          <w:rFonts w:hint="eastAsia" w:cs="宋体"/>
          <w:sz w:val="24"/>
        </w:rPr>
        <w:t>元的投标保证金。</w:t>
      </w:r>
    </w:p>
    <w:p>
      <w:pPr>
        <w:adjustRightInd w:val="0"/>
        <w:snapToGrid w:val="0"/>
        <w:spacing w:line="400" w:lineRule="exact"/>
        <w:ind w:firstLine="480" w:firstLineChars="200"/>
        <w:rPr>
          <w:rFonts w:hint="eastAsia" w:cs="宋体"/>
          <w:sz w:val="24"/>
        </w:rPr>
      </w:pPr>
      <w:r>
        <w:rPr>
          <w:rFonts w:hint="eastAsia" w:cs="宋体"/>
          <w:sz w:val="24"/>
        </w:rPr>
        <w:t>据此函，签字代表宣布同意如下：</w:t>
      </w:r>
    </w:p>
    <w:p>
      <w:pPr>
        <w:adjustRightInd w:val="0"/>
        <w:snapToGrid w:val="0"/>
        <w:spacing w:line="400" w:lineRule="exact"/>
        <w:ind w:firstLine="480" w:firstLineChars="200"/>
        <w:rPr>
          <w:rFonts w:hint="eastAsia" w:cs="宋体"/>
          <w:sz w:val="24"/>
        </w:rPr>
      </w:pPr>
      <w:r>
        <w:rPr>
          <w:rFonts w:hint="eastAsia" w:cs="宋体"/>
          <w:sz w:val="24"/>
        </w:rPr>
        <w:t>1.按本投标文件开标一览表中的价格进行报价。</w:t>
      </w:r>
    </w:p>
    <w:p>
      <w:pPr>
        <w:adjustRightInd w:val="0"/>
        <w:snapToGrid w:val="0"/>
        <w:spacing w:line="400" w:lineRule="exact"/>
        <w:ind w:firstLine="480" w:firstLineChars="200"/>
        <w:rPr>
          <w:rFonts w:hint="eastAsia" w:cs="宋体"/>
          <w:sz w:val="24"/>
        </w:rPr>
      </w:pPr>
      <w:r>
        <w:rPr>
          <w:rFonts w:hint="eastAsia" w:cs="宋体"/>
          <w:sz w:val="24"/>
        </w:rPr>
        <w:t>2.投标人已详细审查全部招标文件，包括修改文件（如有的话）和有关附件，将自行承担因对全部招标文件理解不正确或误解而产生的相应后果。</w:t>
      </w:r>
    </w:p>
    <w:p>
      <w:pPr>
        <w:adjustRightInd w:val="0"/>
        <w:snapToGrid w:val="0"/>
        <w:spacing w:line="400" w:lineRule="exact"/>
        <w:ind w:firstLine="480" w:firstLineChars="200"/>
        <w:rPr>
          <w:rFonts w:hint="eastAsia" w:cs="宋体"/>
          <w:sz w:val="24"/>
        </w:rPr>
      </w:pPr>
      <w:r>
        <w:rPr>
          <w:rFonts w:hint="eastAsia" w:cs="宋体"/>
          <w:sz w:val="24"/>
        </w:rPr>
        <w:t>3.投标人保证遵守招标文件的全部规定，投标人所提交的材料中所含的信息均为真实、准确、完整，且不具有任何误导性。</w:t>
      </w:r>
    </w:p>
    <w:p>
      <w:pPr>
        <w:adjustRightInd w:val="0"/>
        <w:snapToGrid w:val="0"/>
        <w:spacing w:line="400" w:lineRule="exact"/>
        <w:ind w:firstLine="480" w:firstLineChars="200"/>
        <w:rPr>
          <w:rFonts w:hint="eastAsia" w:cs="宋体"/>
          <w:sz w:val="24"/>
        </w:rPr>
      </w:pPr>
      <w:r>
        <w:rPr>
          <w:rFonts w:hint="eastAsia" w:cs="宋体"/>
          <w:sz w:val="24"/>
        </w:rPr>
        <w:t>4.投标人将按招标文件的规定，及时签订合同并履行合同责任和义务。</w:t>
      </w:r>
    </w:p>
    <w:p>
      <w:pPr>
        <w:adjustRightInd w:val="0"/>
        <w:snapToGrid w:val="0"/>
        <w:spacing w:line="400" w:lineRule="exact"/>
        <w:ind w:firstLine="480" w:firstLineChars="200"/>
        <w:rPr>
          <w:rFonts w:hint="eastAsia" w:cs="宋体"/>
          <w:sz w:val="24"/>
        </w:rPr>
      </w:pPr>
      <w:r>
        <w:rPr>
          <w:rFonts w:hint="eastAsia" w:cs="宋体"/>
          <w:sz w:val="24"/>
        </w:rPr>
        <w:t>5.本投标文件自开标日起投标有效期为：在招标文件所规定的期限内保持有效。</w:t>
      </w:r>
    </w:p>
    <w:p>
      <w:pPr>
        <w:adjustRightInd w:val="0"/>
        <w:snapToGrid w:val="0"/>
        <w:spacing w:line="400" w:lineRule="exact"/>
        <w:ind w:firstLine="480" w:firstLineChars="200"/>
        <w:rPr>
          <w:rFonts w:hint="eastAsia" w:cs="宋体"/>
          <w:sz w:val="24"/>
        </w:rPr>
      </w:pPr>
      <w:r>
        <w:rPr>
          <w:rFonts w:hint="eastAsia" w:cs="宋体"/>
          <w:sz w:val="24"/>
        </w:rPr>
        <w:t>6.如果发生招标文件第二章投标人须知第12条所述情况，则同意招标代理机构不予退还投标保证金。</w:t>
      </w:r>
    </w:p>
    <w:p>
      <w:pPr>
        <w:adjustRightInd w:val="0"/>
        <w:snapToGrid w:val="0"/>
        <w:spacing w:line="400" w:lineRule="exact"/>
        <w:ind w:firstLine="480" w:firstLineChars="200"/>
        <w:rPr>
          <w:rFonts w:hint="eastAsia" w:cs="宋体"/>
          <w:sz w:val="24"/>
        </w:rPr>
      </w:pPr>
      <w:r>
        <w:rPr>
          <w:rFonts w:hint="eastAsia" w:cs="宋体"/>
          <w:sz w:val="24"/>
        </w:rPr>
        <w:t>7.投标人同意按照招标采购单位要求提供与其投标有关的一切数据或资料，完全理解贵方不一定要接受最低的报价或收到的任何投标。</w:t>
      </w:r>
    </w:p>
    <w:p>
      <w:pPr>
        <w:adjustRightInd w:val="0"/>
        <w:snapToGrid w:val="0"/>
        <w:spacing w:line="400" w:lineRule="exact"/>
        <w:ind w:firstLine="480" w:firstLineChars="200"/>
        <w:rPr>
          <w:rFonts w:hint="eastAsia" w:cs="宋体"/>
          <w:sz w:val="24"/>
        </w:rPr>
      </w:pPr>
      <w:r>
        <w:rPr>
          <w:rFonts w:hint="eastAsia" w:cs="宋体"/>
          <w:sz w:val="24"/>
        </w:rPr>
        <w:t>8.除投标人已在投标文件中明示差异的条款外，其余条款均视为投标人接受招标文件的条款（但招标文件有明确要求投标人做出承诺或说明的条款除外）。</w:t>
      </w:r>
    </w:p>
    <w:p>
      <w:pPr>
        <w:autoSpaceDE w:val="0"/>
        <w:autoSpaceDN w:val="0"/>
        <w:adjustRightInd w:val="0"/>
        <w:snapToGrid w:val="0"/>
        <w:spacing w:line="400" w:lineRule="exact"/>
        <w:ind w:firstLine="480" w:firstLineChars="200"/>
        <w:jc w:val="left"/>
        <w:rPr>
          <w:rFonts w:hint="eastAsia" w:cs="宋体"/>
          <w:kern w:val="0"/>
          <w:sz w:val="24"/>
          <w:szCs w:val="24"/>
        </w:rPr>
      </w:pPr>
      <w:r>
        <w:rPr>
          <w:rFonts w:hint="eastAsia" w:cs="宋体"/>
          <w:kern w:val="0"/>
          <w:sz w:val="24"/>
          <w:szCs w:val="24"/>
        </w:rPr>
        <w:t>9．</w:t>
      </w:r>
      <w:r>
        <w:rPr>
          <w:rFonts w:hint="eastAsia" w:cs="宋体"/>
          <w:kern w:val="0"/>
          <w:sz w:val="24"/>
          <w:szCs w:val="24"/>
          <w:u w:val="single"/>
        </w:rPr>
        <w:t xml:space="preserve">                                           </w:t>
      </w:r>
      <w:r>
        <w:rPr>
          <w:rFonts w:hint="eastAsia" w:cs="宋体"/>
          <w:kern w:val="0"/>
          <w:sz w:val="24"/>
          <w:szCs w:val="24"/>
        </w:rPr>
        <w:t xml:space="preserve"> （其他补充说明）。</w:t>
      </w:r>
    </w:p>
    <w:p>
      <w:pPr>
        <w:autoSpaceDE w:val="0"/>
        <w:autoSpaceDN w:val="0"/>
        <w:adjustRightInd w:val="0"/>
        <w:snapToGrid w:val="0"/>
        <w:spacing w:line="400" w:lineRule="exact"/>
        <w:ind w:firstLine="3000" w:firstLineChars="1250"/>
        <w:jc w:val="left"/>
        <w:rPr>
          <w:rFonts w:hint="eastAsia" w:cs="宋体"/>
          <w:kern w:val="0"/>
          <w:sz w:val="24"/>
          <w:szCs w:val="24"/>
        </w:rPr>
      </w:pPr>
      <w:r>
        <w:rPr>
          <w:rFonts w:hint="eastAsia" w:cs="宋体"/>
          <w:kern w:val="0"/>
          <w:sz w:val="24"/>
          <w:szCs w:val="24"/>
        </w:rPr>
        <w:t>投标人：</w:t>
      </w:r>
      <w:r>
        <w:rPr>
          <w:rFonts w:hint="eastAsia" w:cs="宋体"/>
          <w:kern w:val="0"/>
          <w:sz w:val="24"/>
          <w:szCs w:val="24"/>
          <w:u w:val="single"/>
        </w:rPr>
        <w:t xml:space="preserve">                         </w:t>
      </w:r>
      <w:r>
        <w:rPr>
          <w:rFonts w:hint="eastAsia" w:cs="宋体"/>
          <w:kern w:val="0"/>
          <w:sz w:val="24"/>
          <w:szCs w:val="24"/>
        </w:rPr>
        <w:t>（盖单位公章）</w:t>
      </w:r>
    </w:p>
    <w:p>
      <w:pPr>
        <w:autoSpaceDE w:val="0"/>
        <w:autoSpaceDN w:val="0"/>
        <w:adjustRightInd w:val="0"/>
        <w:snapToGrid w:val="0"/>
        <w:spacing w:line="400" w:lineRule="exact"/>
        <w:ind w:firstLine="3000" w:firstLineChars="1250"/>
        <w:jc w:val="left"/>
        <w:rPr>
          <w:rFonts w:hint="eastAsia" w:cs="宋体"/>
          <w:kern w:val="0"/>
          <w:sz w:val="24"/>
          <w:szCs w:val="24"/>
        </w:rPr>
      </w:pPr>
      <w:r>
        <w:rPr>
          <w:rFonts w:hint="eastAsia" w:cs="宋体"/>
          <w:kern w:val="0"/>
          <w:sz w:val="24"/>
          <w:szCs w:val="24"/>
        </w:rPr>
        <w:t>法定代表人或其委托代理人：</w:t>
      </w:r>
      <w:r>
        <w:rPr>
          <w:rFonts w:hint="eastAsia" w:cs="宋体"/>
          <w:kern w:val="0"/>
          <w:sz w:val="24"/>
          <w:szCs w:val="24"/>
          <w:u w:val="single"/>
        </w:rPr>
        <w:t xml:space="preserve">       </w:t>
      </w:r>
      <w:r>
        <w:rPr>
          <w:rFonts w:hint="eastAsia" w:cs="宋体"/>
          <w:kern w:val="0"/>
          <w:sz w:val="24"/>
          <w:szCs w:val="24"/>
        </w:rPr>
        <w:t>（签字或盖章）</w:t>
      </w:r>
    </w:p>
    <w:p>
      <w:pPr>
        <w:autoSpaceDE w:val="0"/>
        <w:autoSpaceDN w:val="0"/>
        <w:adjustRightInd w:val="0"/>
        <w:snapToGrid w:val="0"/>
        <w:spacing w:line="400" w:lineRule="exact"/>
        <w:ind w:firstLine="3000" w:firstLineChars="1250"/>
        <w:rPr>
          <w:rFonts w:hint="eastAsia" w:cs="宋体"/>
          <w:sz w:val="24"/>
          <w:szCs w:val="24"/>
        </w:rPr>
      </w:pPr>
      <w:r>
        <w:rPr>
          <w:rFonts w:hint="eastAsia" w:cs="宋体"/>
          <w:sz w:val="24"/>
          <w:szCs w:val="24"/>
        </w:rPr>
        <w:t>法定代表人或其委托代理人手机号码：</w:t>
      </w:r>
      <w:r>
        <w:rPr>
          <w:rFonts w:hint="eastAsia" w:cs="宋体"/>
          <w:sz w:val="24"/>
          <w:szCs w:val="24"/>
          <w:u w:val="single"/>
        </w:rPr>
        <w:t xml:space="preserve">               </w:t>
      </w:r>
    </w:p>
    <w:p>
      <w:pPr>
        <w:autoSpaceDE w:val="0"/>
        <w:autoSpaceDN w:val="0"/>
        <w:adjustRightInd w:val="0"/>
        <w:snapToGrid w:val="0"/>
        <w:spacing w:line="400" w:lineRule="exact"/>
        <w:ind w:firstLine="3000" w:firstLineChars="1250"/>
        <w:jc w:val="left"/>
        <w:rPr>
          <w:rFonts w:hint="eastAsia" w:cs="宋体"/>
          <w:kern w:val="0"/>
          <w:sz w:val="24"/>
          <w:szCs w:val="24"/>
          <w:u w:val="single"/>
        </w:rPr>
      </w:pPr>
      <w:r>
        <w:rPr>
          <w:rFonts w:hint="eastAsia" w:cs="宋体"/>
          <w:kern w:val="0"/>
          <w:sz w:val="24"/>
          <w:szCs w:val="24"/>
        </w:rPr>
        <w:t>地址：</w:t>
      </w:r>
      <w:r>
        <w:rPr>
          <w:rFonts w:hint="eastAsia" w:cs="宋体"/>
          <w:kern w:val="0"/>
          <w:sz w:val="24"/>
          <w:szCs w:val="24"/>
          <w:u w:val="single"/>
        </w:rPr>
        <w:t xml:space="preserve">                                           </w:t>
      </w:r>
    </w:p>
    <w:p>
      <w:pPr>
        <w:autoSpaceDE w:val="0"/>
        <w:autoSpaceDN w:val="0"/>
        <w:adjustRightInd w:val="0"/>
        <w:snapToGrid w:val="0"/>
        <w:spacing w:line="400" w:lineRule="exact"/>
        <w:ind w:firstLine="3000" w:firstLineChars="1250"/>
        <w:jc w:val="left"/>
        <w:rPr>
          <w:rFonts w:hint="eastAsia" w:cs="宋体"/>
          <w:kern w:val="0"/>
          <w:sz w:val="24"/>
          <w:szCs w:val="24"/>
          <w:u w:val="single"/>
        </w:rPr>
      </w:pPr>
      <w:r>
        <w:rPr>
          <w:rFonts w:hint="eastAsia" w:cs="宋体"/>
          <w:kern w:val="0"/>
          <w:sz w:val="24"/>
          <w:szCs w:val="24"/>
        </w:rPr>
        <w:t>传真：</w:t>
      </w:r>
      <w:r>
        <w:rPr>
          <w:rFonts w:hint="eastAsia" w:cs="宋体"/>
          <w:kern w:val="0"/>
          <w:sz w:val="24"/>
          <w:szCs w:val="24"/>
          <w:u w:val="single"/>
        </w:rPr>
        <w:t xml:space="preserve">                                           </w:t>
      </w:r>
    </w:p>
    <w:p>
      <w:pPr>
        <w:autoSpaceDE w:val="0"/>
        <w:autoSpaceDN w:val="0"/>
        <w:adjustRightInd w:val="0"/>
        <w:snapToGrid w:val="0"/>
        <w:spacing w:line="400" w:lineRule="exact"/>
        <w:ind w:firstLine="3000" w:firstLineChars="1250"/>
        <w:jc w:val="left"/>
        <w:rPr>
          <w:rFonts w:hint="eastAsia" w:cs="宋体"/>
          <w:kern w:val="0"/>
          <w:sz w:val="24"/>
          <w:szCs w:val="24"/>
        </w:rPr>
      </w:pPr>
      <w:r>
        <w:rPr>
          <w:rFonts w:hint="eastAsia" w:cs="宋体"/>
          <w:kern w:val="0"/>
          <w:sz w:val="24"/>
          <w:szCs w:val="24"/>
        </w:rPr>
        <w:t>邮政编码：</w:t>
      </w:r>
      <w:r>
        <w:rPr>
          <w:rFonts w:hint="eastAsia" w:cs="宋体"/>
          <w:kern w:val="0"/>
          <w:sz w:val="24"/>
          <w:szCs w:val="24"/>
          <w:u w:val="single"/>
        </w:rPr>
        <w:t xml:space="preserve">                                       </w:t>
      </w:r>
    </w:p>
    <w:p>
      <w:pPr>
        <w:snapToGrid w:val="0"/>
        <w:spacing w:line="400" w:lineRule="exact"/>
        <w:ind w:firstLine="480" w:firstLineChars="200"/>
        <w:jc w:val="center"/>
        <w:rPr>
          <w:rFonts w:hint="eastAsia" w:cs="宋体"/>
          <w:sz w:val="24"/>
        </w:rPr>
      </w:pPr>
      <w:r>
        <w:rPr>
          <w:rFonts w:hint="eastAsia" w:cs="宋体"/>
          <w:sz w:val="24"/>
          <w:szCs w:val="24"/>
          <w:lang w:bidi="zh-CN"/>
        </w:rPr>
        <w:t xml:space="preserve">                                         </w:t>
      </w: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keepNext/>
        <w:keepLines/>
        <w:spacing w:before="120" w:beforeLines="50" w:after="120" w:afterLines="50" w:line="415" w:lineRule="auto"/>
        <w:jc w:val="center"/>
        <w:outlineLvl w:val="9"/>
        <w:rPr>
          <w:rFonts w:hint="eastAsia" w:cs="宋体"/>
          <w:b/>
          <w:bCs/>
          <w:kern w:val="0"/>
          <w:sz w:val="28"/>
          <w:szCs w:val="28"/>
        </w:rPr>
      </w:pPr>
      <w:bookmarkStart w:id="863" w:name="_Toc148459147"/>
      <w:r>
        <w:rPr>
          <w:rFonts w:hint="eastAsia" w:cs="宋体"/>
          <w:b/>
          <w:bCs/>
          <w:kern w:val="0"/>
          <w:sz w:val="28"/>
          <w:szCs w:val="28"/>
        </w:rPr>
        <w:t>二、开标一览表</w:t>
      </w:r>
      <w:bookmarkEnd w:id="863"/>
    </w:p>
    <w:p>
      <w:pPr>
        <w:spacing w:line="360" w:lineRule="auto"/>
        <w:rPr>
          <w:rFonts w:hint="eastAsia" w:cs="宋体"/>
          <w:sz w:val="24"/>
          <w:szCs w:val="24"/>
        </w:rPr>
      </w:pPr>
      <w:r>
        <w:rPr>
          <w:rFonts w:hint="eastAsia" w:cs="宋体"/>
          <w:sz w:val="24"/>
          <w:szCs w:val="24"/>
        </w:rPr>
        <w:t>招标编号：</w:t>
      </w:r>
      <w:r>
        <w:rPr>
          <w:rFonts w:hint="eastAsia" w:cs="宋体"/>
          <w:sz w:val="24"/>
          <w:szCs w:val="24"/>
          <w:u w:val="single"/>
        </w:rPr>
        <w:t xml:space="preserve">                       </w:t>
      </w:r>
      <w:r>
        <w:rPr>
          <w:rFonts w:hint="eastAsia" w:cs="宋体"/>
          <w:sz w:val="24"/>
          <w:szCs w:val="24"/>
        </w:rPr>
        <w:t xml:space="preserve">                                                </w:t>
      </w:r>
    </w:p>
    <w:p>
      <w:pPr>
        <w:spacing w:line="360" w:lineRule="auto"/>
        <w:rPr>
          <w:rFonts w:cs="宋体"/>
          <w:sz w:val="24"/>
          <w:szCs w:val="24"/>
        </w:rPr>
      </w:pPr>
      <w:r>
        <w:rPr>
          <w:rFonts w:hint="eastAsia" w:cs="宋体"/>
          <w:sz w:val="24"/>
          <w:szCs w:val="24"/>
        </w:rPr>
        <w:t>投标货币：</w:t>
      </w:r>
      <w:r>
        <w:rPr>
          <w:rFonts w:hint="eastAsia" w:cs="宋体"/>
          <w:sz w:val="24"/>
          <w:szCs w:val="24"/>
          <w:u w:val="single"/>
        </w:rPr>
        <w:t xml:space="preserve">                       </w:t>
      </w:r>
    </w:p>
    <w:tbl>
      <w:tblPr>
        <w:tblStyle w:val="28"/>
        <w:tblW w:w="914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84"/>
        <w:gridCol w:w="1164"/>
        <w:gridCol w:w="2034"/>
        <w:gridCol w:w="1953"/>
        <w:gridCol w:w="18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jc w:val="center"/>
        </w:trPr>
        <w:tc>
          <w:tcPr>
            <w:tcW w:w="2184" w:type="dxa"/>
            <w:noWrap w:val="0"/>
            <w:vAlign w:val="center"/>
          </w:tcPr>
          <w:p>
            <w:pPr>
              <w:jc w:val="center"/>
              <w:rPr>
                <w:rFonts w:hint="eastAsia" w:cs="宋体"/>
                <w:sz w:val="24"/>
                <w:szCs w:val="24"/>
              </w:rPr>
            </w:pPr>
            <w:r>
              <w:rPr>
                <w:rFonts w:hint="eastAsia" w:cs="宋体"/>
                <w:sz w:val="24"/>
                <w:szCs w:val="24"/>
              </w:rPr>
              <w:t>货物名称</w:t>
            </w:r>
          </w:p>
        </w:tc>
        <w:tc>
          <w:tcPr>
            <w:tcW w:w="1164" w:type="dxa"/>
            <w:noWrap w:val="0"/>
            <w:vAlign w:val="center"/>
          </w:tcPr>
          <w:p>
            <w:pPr>
              <w:jc w:val="center"/>
              <w:rPr>
                <w:rFonts w:hint="eastAsia" w:cs="宋体"/>
                <w:sz w:val="24"/>
                <w:szCs w:val="24"/>
              </w:rPr>
            </w:pPr>
            <w:r>
              <w:rPr>
                <w:rFonts w:hint="eastAsia" w:cs="宋体"/>
                <w:sz w:val="24"/>
                <w:szCs w:val="24"/>
              </w:rPr>
              <w:t>数量</w:t>
            </w:r>
          </w:p>
        </w:tc>
        <w:tc>
          <w:tcPr>
            <w:tcW w:w="2034" w:type="dxa"/>
            <w:tcBorders>
              <w:right w:val="single" w:color="auto" w:sz="4" w:space="0"/>
            </w:tcBorders>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投标总价</w:t>
            </w:r>
          </w:p>
          <w:p>
            <w:pPr>
              <w:adjustRightInd w:val="0"/>
              <w:spacing w:line="360" w:lineRule="atLeast"/>
              <w:jc w:val="center"/>
              <w:textAlignment w:val="baseline"/>
              <w:rPr>
                <w:rFonts w:cs="宋体"/>
                <w:kern w:val="0"/>
                <w:sz w:val="24"/>
                <w:szCs w:val="24"/>
              </w:rPr>
            </w:pPr>
            <w:r>
              <w:rPr>
                <w:rFonts w:hint="eastAsia" w:cs="宋体"/>
                <w:kern w:val="0"/>
                <w:sz w:val="24"/>
                <w:szCs w:val="24"/>
              </w:rPr>
              <w:t>（含税/元）</w:t>
            </w:r>
          </w:p>
        </w:tc>
        <w:tc>
          <w:tcPr>
            <w:tcW w:w="1953" w:type="dxa"/>
            <w:tcBorders>
              <w:left w:val="single" w:color="auto" w:sz="4" w:space="0"/>
            </w:tcBorders>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交货期</w:t>
            </w:r>
          </w:p>
        </w:tc>
        <w:tc>
          <w:tcPr>
            <w:tcW w:w="1812" w:type="dxa"/>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质保期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14" w:hRule="atLeast"/>
          <w:jc w:val="center"/>
        </w:trPr>
        <w:tc>
          <w:tcPr>
            <w:tcW w:w="2184" w:type="dxa"/>
            <w:noWrap w:val="0"/>
            <w:vAlign w:val="center"/>
          </w:tcPr>
          <w:p>
            <w:pPr>
              <w:jc w:val="center"/>
              <w:rPr>
                <w:rFonts w:hint="eastAsia" w:cs="宋体"/>
                <w:sz w:val="24"/>
                <w:szCs w:val="24"/>
              </w:rPr>
            </w:pPr>
          </w:p>
        </w:tc>
        <w:tc>
          <w:tcPr>
            <w:tcW w:w="1164" w:type="dxa"/>
            <w:noWrap w:val="0"/>
            <w:vAlign w:val="center"/>
          </w:tcPr>
          <w:p>
            <w:pPr>
              <w:jc w:val="center"/>
              <w:rPr>
                <w:rFonts w:hint="eastAsia" w:cs="宋体"/>
                <w:sz w:val="24"/>
                <w:szCs w:val="24"/>
              </w:rPr>
            </w:pPr>
          </w:p>
        </w:tc>
        <w:tc>
          <w:tcPr>
            <w:tcW w:w="2034" w:type="dxa"/>
            <w:tcBorders>
              <w:right w:val="single" w:color="auto" w:sz="4" w:space="0"/>
            </w:tcBorders>
            <w:noWrap w:val="0"/>
            <w:vAlign w:val="top"/>
          </w:tcPr>
          <w:p>
            <w:pPr>
              <w:rPr>
                <w:rFonts w:hint="eastAsia" w:cs="宋体"/>
                <w:sz w:val="24"/>
                <w:szCs w:val="24"/>
              </w:rPr>
            </w:pPr>
          </w:p>
        </w:tc>
        <w:tc>
          <w:tcPr>
            <w:tcW w:w="1953" w:type="dxa"/>
            <w:tcBorders>
              <w:left w:val="single" w:color="auto" w:sz="4" w:space="0"/>
            </w:tcBorders>
            <w:noWrap w:val="0"/>
            <w:vAlign w:val="top"/>
          </w:tcPr>
          <w:p>
            <w:pPr>
              <w:rPr>
                <w:rFonts w:hint="eastAsia" w:cs="宋体"/>
                <w:sz w:val="24"/>
                <w:szCs w:val="24"/>
              </w:rPr>
            </w:pPr>
          </w:p>
        </w:tc>
        <w:tc>
          <w:tcPr>
            <w:tcW w:w="1812" w:type="dxa"/>
            <w:noWrap w:val="0"/>
            <w:vAlign w:val="top"/>
          </w:tcPr>
          <w:p>
            <w:pPr>
              <w:jc w:val="center"/>
              <w:rPr>
                <w:rFonts w:hint="eastAsia" w:ascii="宋体" w:hAnsi="宋体"/>
                <w:b/>
                <w:color w:val="FF0000"/>
                <w:sz w:val="24"/>
              </w:rPr>
            </w:pPr>
            <w:r>
              <w:rPr>
                <w:rFonts w:hint="eastAsia" w:ascii="宋体" w:hAnsi="宋体"/>
                <w:b/>
                <w:color w:val="FF0000"/>
                <w:sz w:val="24"/>
              </w:rPr>
              <w:t>整机（  ）年</w:t>
            </w:r>
          </w:p>
          <w:p>
            <w:pPr>
              <w:rPr>
                <w:rFonts w:hint="eastAsia" w:cs="宋体"/>
                <w:sz w:val="24"/>
                <w:szCs w:val="24"/>
              </w:rPr>
            </w:pPr>
            <w:r>
              <w:rPr>
                <w:rFonts w:hint="eastAsia" w:ascii="宋体" w:hAnsi="宋体"/>
                <w:b/>
                <w:color w:val="FF0000"/>
                <w:sz w:val="24"/>
              </w:rPr>
              <w:t>系统（  ）年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1" w:hRule="atLeast"/>
          <w:jc w:val="center"/>
        </w:trPr>
        <w:tc>
          <w:tcPr>
            <w:tcW w:w="9147" w:type="dxa"/>
            <w:gridSpan w:val="5"/>
            <w:noWrap w:val="0"/>
            <w:vAlign w:val="center"/>
          </w:tcPr>
          <w:p>
            <w:pPr>
              <w:spacing w:line="360" w:lineRule="auto"/>
              <w:rPr>
                <w:rFonts w:hint="eastAsia" w:cs="宋体"/>
                <w:sz w:val="24"/>
                <w:szCs w:val="24"/>
                <w:u w:val="single"/>
              </w:rPr>
            </w:pPr>
            <w:r>
              <w:rPr>
                <w:rFonts w:hint="eastAsia" w:cs="宋体"/>
                <w:sz w:val="24"/>
                <w:szCs w:val="24"/>
              </w:rPr>
              <w:t>投标总价（含税）： 小写金额：</w:t>
            </w:r>
            <w:r>
              <w:rPr>
                <w:rFonts w:hint="eastAsia" w:cs="宋体"/>
                <w:sz w:val="24"/>
                <w:szCs w:val="24"/>
                <w:u w:val="single"/>
              </w:rPr>
              <w:t xml:space="preserve">           </w:t>
            </w:r>
          </w:p>
          <w:p>
            <w:pPr>
              <w:spacing w:line="360" w:lineRule="auto"/>
              <w:ind w:firstLine="2160" w:firstLineChars="900"/>
              <w:rPr>
                <w:rFonts w:cs="宋体"/>
                <w:sz w:val="24"/>
                <w:szCs w:val="24"/>
                <w:u w:val="single"/>
              </w:rPr>
            </w:pPr>
            <w:r>
              <w:rPr>
                <w:rFonts w:hint="eastAsia" w:cs="宋体"/>
                <w:sz w:val="24"/>
                <w:szCs w:val="24"/>
              </w:rPr>
              <w:t>大写金额：</w:t>
            </w:r>
            <w:r>
              <w:rPr>
                <w:rFonts w:hint="eastAsia" w:cs="宋体"/>
                <w:sz w:val="24"/>
                <w:szCs w:val="24"/>
                <w:u w:val="single"/>
              </w:rPr>
              <w:t xml:space="preserve">           </w:t>
            </w:r>
          </w:p>
        </w:tc>
      </w:tr>
    </w:tbl>
    <w:p>
      <w:pPr>
        <w:jc w:val="lef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48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keepNext/>
        <w:keepLines/>
        <w:spacing w:before="120" w:beforeLines="50" w:after="120" w:afterLines="50" w:line="415" w:lineRule="auto"/>
        <w:jc w:val="center"/>
        <w:outlineLvl w:val="9"/>
        <w:rPr>
          <w:rFonts w:hint="eastAsia" w:cs="宋体"/>
          <w:b/>
          <w:bCs/>
          <w:kern w:val="0"/>
          <w:sz w:val="28"/>
          <w:szCs w:val="28"/>
        </w:rPr>
      </w:pPr>
      <w:bookmarkStart w:id="864" w:name="_Toc148459148"/>
      <w:r>
        <w:rPr>
          <w:rFonts w:hint="eastAsia" w:cs="宋体"/>
          <w:b/>
          <w:bCs/>
          <w:kern w:val="0"/>
          <w:sz w:val="28"/>
          <w:szCs w:val="28"/>
        </w:rPr>
        <w:t>三、分项报价表</w:t>
      </w:r>
      <w:bookmarkEnd w:id="864"/>
    </w:p>
    <w:p>
      <w:pPr>
        <w:spacing w:line="360" w:lineRule="auto"/>
        <w:rPr>
          <w:rFonts w:hint="eastAsia" w:cs="宋体"/>
          <w:sz w:val="24"/>
          <w:szCs w:val="24"/>
        </w:rPr>
      </w:pPr>
      <w:r>
        <w:rPr>
          <w:rFonts w:hint="eastAsia" w:cs="宋体"/>
          <w:sz w:val="24"/>
          <w:szCs w:val="24"/>
        </w:rPr>
        <w:t>招标编号：</w:t>
      </w:r>
      <w:r>
        <w:rPr>
          <w:rFonts w:hint="eastAsia" w:cs="宋体"/>
          <w:sz w:val="24"/>
          <w:szCs w:val="24"/>
          <w:u w:val="single"/>
        </w:rPr>
        <w:t xml:space="preserve">                       </w:t>
      </w:r>
      <w:r>
        <w:rPr>
          <w:rFonts w:hint="eastAsia" w:cs="宋体"/>
          <w:sz w:val="24"/>
          <w:szCs w:val="24"/>
        </w:rPr>
        <w:t xml:space="preserve">                                                </w:t>
      </w:r>
    </w:p>
    <w:p>
      <w:pPr>
        <w:spacing w:line="360" w:lineRule="auto"/>
        <w:rPr>
          <w:rFonts w:cs="宋体"/>
          <w:sz w:val="24"/>
          <w:szCs w:val="24"/>
        </w:rPr>
      </w:pPr>
      <w:r>
        <w:rPr>
          <w:rFonts w:hint="eastAsia" w:cs="宋体"/>
          <w:sz w:val="24"/>
          <w:szCs w:val="24"/>
        </w:rPr>
        <w:t>投标货币：</w:t>
      </w:r>
      <w:r>
        <w:rPr>
          <w:rFonts w:hint="eastAsia" w:cs="宋体"/>
          <w:sz w:val="24"/>
          <w:szCs w:val="24"/>
          <w:u w:val="single"/>
        </w:rPr>
        <w:t xml:space="preserve">                       </w:t>
      </w:r>
    </w:p>
    <w:tbl>
      <w:tblPr>
        <w:tblStyle w:val="28"/>
        <w:tblW w:w="941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1"/>
        <w:gridCol w:w="3073"/>
        <w:gridCol w:w="1289"/>
        <w:gridCol w:w="1550"/>
        <w:gridCol w:w="16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831" w:type="dxa"/>
            <w:noWrap w:val="0"/>
            <w:vAlign w:val="center"/>
          </w:tcPr>
          <w:p>
            <w:pPr>
              <w:jc w:val="center"/>
              <w:rPr>
                <w:rFonts w:hint="eastAsia" w:cs="宋体"/>
                <w:sz w:val="24"/>
                <w:szCs w:val="24"/>
              </w:rPr>
            </w:pPr>
            <w:r>
              <w:rPr>
                <w:rFonts w:hint="eastAsia" w:cs="宋体"/>
                <w:sz w:val="24"/>
                <w:szCs w:val="24"/>
              </w:rPr>
              <w:t>产品名称</w:t>
            </w:r>
          </w:p>
        </w:tc>
        <w:tc>
          <w:tcPr>
            <w:tcW w:w="3073" w:type="dxa"/>
            <w:noWrap w:val="0"/>
            <w:vAlign w:val="center"/>
          </w:tcPr>
          <w:p>
            <w:pPr>
              <w:jc w:val="center"/>
              <w:rPr>
                <w:rFonts w:hint="eastAsia" w:cs="宋体"/>
                <w:sz w:val="24"/>
                <w:szCs w:val="24"/>
              </w:rPr>
            </w:pPr>
            <w:r>
              <w:rPr>
                <w:rFonts w:hint="eastAsia" w:cs="宋体"/>
                <w:sz w:val="24"/>
                <w:szCs w:val="24"/>
              </w:rPr>
              <w:t>功能配置/技术参数</w:t>
            </w:r>
          </w:p>
        </w:tc>
        <w:tc>
          <w:tcPr>
            <w:tcW w:w="1289" w:type="dxa"/>
            <w:tcBorders>
              <w:right w:val="single" w:color="auto" w:sz="4" w:space="0"/>
            </w:tcBorders>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数量/单位</w:t>
            </w:r>
          </w:p>
        </w:tc>
        <w:tc>
          <w:tcPr>
            <w:tcW w:w="1550" w:type="dxa"/>
            <w:tcBorders>
              <w:right w:val="single" w:color="auto" w:sz="4" w:space="0"/>
            </w:tcBorders>
            <w:noWrap w:val="0"/>
            <w:vAlign w:val="top"/>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单价</w:t>
            </w:r>
          </w:p>
          <w:p>
            <w:pPr>
              <w:adjustRightInd w:val="0"/>
              <w:spacing w:line="360" w:lineRule="atLeast"/>
              <w:jc w:val="center"/>
              <w:textAlignment w:val="baseline"/>
              <w:rPr>
                <w:rFonts w:hint="eastAsia" w:cs="宋体"/>
                <w:kern w:val="0"/>
                <w:sz w:val="24"/>
                <w:szCs w:val="24"/>
              </w:rPr>
            </w:pPr>
            <w:r>
              <w:rPr>
                <w:rFonts w:hint="eastAsia" w:cs="宋体"/>
                <w:kern w:val="0"/>
                <w:sz w:val="24"/>
                <w:szCs w:val="24"/>
              </w:rPr>
              <w:t>单位：元</w:t>
            </w:r>
          </w:p>
        </w:tc>
        <w:tc>
          <w:tcPr>
            <w:tcW w:w="1669" w:type="dxa"/>
            <w:tcBorders>
              <w:left w:val="single" w:color="auto" w:sz="4" w:space="0"/>
            </w:tcBorders>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rFonts w:cs="宋体"/>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rFonts w:hint="eastAsia"/>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rFonts w:hint="eastAsia" w:cs="宋体"/>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rFonts w:hint="eastAsia"/>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rFonts w:hint="eastAsia"/>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bottom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top w:val="single" w:color="auto" w:sz="4" w:space="0"/>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 w:hRule="atLeast"/>
          <w:jc w:val="center"/>
        </w:trPr>
        <w:tc>
          <w:tcPr>
            <w:tcW w:w="6193" w:type="dxa"/>
            <w:gridSpan w:val="3"/>
            <w:tcBorders>
              <w:right w:val="single" w:color="auto" w:sz="4" w:space="0"/>
            </w:tcBorders>
            <w:noWrap w:val="0"/>
            <w:vAlign w:val="center"/>
          </w:tcPr>
          <w:p>
            <w:pPr>
              <w:jc w:val="center"/>
              <w:rPr>
                <w:rFonts w:hint="eastAsia"/>
                <w:sz w:val="22"/>
                <w:szCs w:val="18"/>
              </w:rPr>
            </w:pPr>
            <w:r>
              <w:rPr>
                <w:rFonts w:hint="eastAsia" w:cs="宋体"/>
                <w:sz w:val="22"/>
              </w:rPr>
              <w:t>合计</w:t>
            </w:r>
          </w:p>
        </w:tc>
        <w:tc>
          <w:tcPr>
            <w:tcW w:w="1550" w:type="dxa"/>
            <w:tcBorders>
              <w:top w:val="single" w:color="auto" w:sz="4" w:space="0"/>
              <w:right w:val="single" w:color="auto" w:sz="4" w:space="0"/>
            </w:tcBorders>
            <w:noWrap w:val="0"/>
            <w:vAlign w:val="center"/>
          </w:tcPr>
          <w:p>
            <w:pPr>
              <w:jc w:val="center"/>
              <w:rPr>
                <w:sz w:val="22"/>
                <w:szCs w:val="18"/>
              </w:rPr>
            </w:pPr>
          </w:p>
        </w:tc>
        <w:tc>
          <w:tcPr>
            <w:tcW w:w="1669" w:type="dxa"/>
            <w:tcBorders>
              <w:top w:val="single" w:color="auto" w:sz="4" w:space="0"/>
              <w:left w:val="single" w:color="auto" w:sz="4" w:space="0"/>
            </w:tcBorders>
            <w:noWrap w:val="0"/>
            <w:vAlign w:val="center"/>
          </w:tcPr>
          <w:p>
            <w:pPr>
              <w:jc w:val="center"/>
              <w:rPr>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5" w:hRule="atLeast"/>
          <w:jc w:val="center"/>
        </w:trPr>
        <w:tc>
          <w:tcPr>
            <w:tcW w:w="9412" w:type="dxa"/>
            <w:gridSpan w:val="5"/>
            <w:noWrap w:val="0"/>
            <w:vAlign w:val="center"/>
          </w:tcPr>
          <w:p>
            <w:pPr>
              <w:spacing w:line="360" w:lineRule="auto"/>
              <w:rPr>
                <w:rFonts w:hint="eastAsia" w:cs="宋体"/>
                <w:sz w:val="24"/>
                <w:szCs w:val="24"/>
                <w:u w:val="single"/>
              </w:rPr>
            </w:pPr>
            <w:r>
              <w:rPr>
                <w:rFonts w:hint="eastAsia" w:cs="宋体"/>
                <w:sz w:val="24"/>
                <w:szCs w:val="24"/>
              </w:rPr>
              <w:t>投标总价（含税）： 小写金额：</w:t>
            </w:r>
            <w:r>
              <w:rPr>
                <w:rFonts w:hint="eastAsia" w:cs="宋体"/>
                <w:sz w:val="24"/>
                <w:szCs w:val="24"/>
                <w:u w:val="single"/>
              </w:rPr>
              <w:t xml:space="preserve">           </w:t>
            </w:r>
          </w:p>
          <w:p>
            <w:pPr>
              <w:ind w:firstLine="2160" w:firstLineChars="900"/>
              <w:rPr>
                <w:sz w:val="22"/>
                <w:szCs w:val="18"/>
              </w:rPr>
            </w:pPr>
            <w:r>
              <w:rPr>
                <w:rFonts w:hint="eastAsia" w:cs="宋体"/>
                <w:sz w:val="24"/>
                <w:szCs w:val="24"/>
              </w:rPr>
              <w:t>大写金额：</w:t>
            </w:r>
            <w:r>
              <w:rPr>
                <w:rFonts w:hint="eastAsia" w:cs="宋体"/>
                <w:sz w:val="24"/>
                <w:szCs w:val="24"/>
                <w:u w:val="single"/>
              </w:rPr>
              <w:t xml:space="preserve">           </w:t>
            </w:r>
          </w:p>
        </w:tc>
      </w:tr>
    </w:tbl>
    <w:p>
      <w:pPr>
        <w:widowControl/>
        <w:spacing w:before="25" w:after="25"/>
        <w:jc w:val="left"/>
        <w:rPr>
          <w:rFonts w:hint="eastAsia" w:eastAsia="幼圆" w:cs="宋体"/>
          <w:b/>
          <w:bCs/>
          <w:spacing w:val="10"/>
          <w:kern w:val="0"/>
          <w:sz w:val="24"/>
          <w:szCs w:val="24"/>
          <w:u w:val="single"/>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48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autoSpaceDE w:val="0"/>
        <w:autoSpaceDN w:val="0"/>
        <w:adjustRightInd w:val="0"/>
        <w:jc w:val="left"/>
        <w:rPr>
          <w:rFonts w:hint="eastAsia" w:cs="宋体"/>
          <w:kern w:val="0"/>
          <w:sz w:val="24"/>
          <w:szCs w:val="24"/>
        </w:rPr>
      </w:pPr>
    </w:p>
    <w:p>
      <w:pPr>
        <w:keepNext/>
        <w:keepLines/>
        <w:spacing w:before="120" w:beforeLines="50" w:after="120" w:afterLines="50" w:line="415" w:lineRule="auto"/>
        <w:jc w:val="center"/>
        <w:outlineLvl w:val="9"/>
        <w:rPr>
          <w:rFonts w:hint="eastAsia" w:cs="宋体"/>
          <w:b/>
          <w:bCs/>
          <w:kern w:val="0"/>
          <w:sz w:val="28"/>
          <w:szCs w:val="28"/>
        </w:rPr>
      </w:pPr>
      <w:r>
        <w:rPr>
          <w:rFonts w:hint="eastAsia" w:cs="宋体"/>
          <w:b/>
          <w:bCs/>
          <w:kern w:val="0"/>
          <w:sz w:val="28"/>
          <w:szCs w:val="28"/>
        </w:rPr>
        <w:t xml:space="preserve"> </w:t>
      </w:r>
      <w:bookmarkStart w:id="865" w:name="_Toc148459149"/>
      <w:r>
        <w:rPr>
          <w:rFonts w:hint="eastAsia" w:cs="宋体"/>
          <w:b/>
          <w:bCs/>
          <w:kern w:val="0"/>
          <w:sz w:val="28"/>
          <w:szCs w:val="28"/>
        </w:rPr>
        <w:t>四、投标人资格证明文件</w:t>
      </w:r>
      <w:bookmarkEnd w:id="865"/>
    </w:p>
    <w:p>
      <w:pPr>
        <w:spacing w:line="360" w:lineRule="auto"/>
        <w:rPr>
          <w:rFonts w:hint="eastAsia" w:cs="宋体"/>
          <w:sz w:val="24"/>
          <w:u w:val="single"/>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tbl>
      <w:tblPr>
        <w:tblStyle w:val="28"/>
        <w:tblW w:w="9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73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ind w:left="-53" w:leftChars="-25" w:right="-40" w:rightChars="-19"/>
              <w:jc w:val="center"/>
              <w:rPr>
                <w:rFonts w:hint="eastAsia" w:cs="宋体"/>
                <w:sz w:val="24"/>
              </w:rPr>
            </w:pPr>
            <w:r>
              <w:rPr>
                <w:rFonts w:hint="eastAsia" w:cs="宋体"/>
                <w:sz w:val="24"/>
              </w:rPr>
              <w:t>序号</w:t>
            </w:r>
          </w:p>
        </w:tc>
        <w:tc>
          <w:tcPr>
            <w:tcW w:w="6736"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应提供的证明文件</w:t>
            </w:r>
          </w:p>
        </w:tc>
        <w:tc>
          <w:tcPr>
            <w:tcW w:w="1691"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对应投标文件页码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53" w:leftChars="-25" w:right="-40" w:rightChars="-19"/>
              <w:jc w:val="center"/>
              <w:rPr>
                <w:rFonts w:hint="eastAsia" w:cs="宋体"/>
                <w:sz w:val="24"/>
              </w:rPr>
            </w:pPr>
            <w:r>
              <w:rPr>
                <w:rFonts w:hint="eastAsia" w:cs="宋体"/>
                <w:sz w:val="24"/>
              </w:rPr>
              <w:t>（1）</w:t>
            </w:r>
          </w:p>
        </w:tc>
        <w:tc>
          <w:tcPr>
            <w:tcW w:w="6736" w:type="dxa"/>
            <w:tcBorders>
              <w:top w:val="single" w:color="auto" w:sz="4" w:space="0"/>
              <w:left w:val="nil"/>
              <w:bottom w:val="single" w:color="auto" w:sz="4" w:space="0"/>
              <w:right w:val="single" w:color="auto" w:sz="4" w:space="0"/>
            </w:tcBorders>
            <w:noWrap w:val="0"/>
            <w:vAlign w:val="center"/>
          </w:tcPr>
          <w:p>
            <w:pPr>
              <w:snapToGrid w:val="0"/>
              <w:spacing w:line="360" w:lineRule="auto"/>
              <w:ind w:left="69" w:firstLine="420" w:firstLineChars="200"/>
              <w:rPr>
                <w:rFonts w:hint="eastAsia" w:cs="宋体"/>
                <w:bCs/>
                <w:sz w:val="24"/>
                <w:szCs w:val="24"/>
              </w:rPr>
            </w:pPr>
            <w:r>
              <w:rPr>
                <w:rFonts w:hint="eastAsia"/>
                <w:b w:val="0"/>
                <w:bCs/>
                <w:szCs w:val="21"/>
              </w:rPr>
              <w:t>1、投标人应具备独立的法人资格，并提供加载有统一社会征信代码的营业执照的复印件。</w:t>
            </w:r>
          </w:p>
        </w:tc>
        <w:tc>
          <w:tcPr>
            <w:tcW w:w="1691" w:type="dxa"/>
            <w:tcBorders>
              <w:top w:val="single" w:color="auto" w:sz="4" w:space="0"/>
              <w:left w:val="nil"/>
              <w:bottom w:val="single" w:color="auto" w:sz="4" w:space="0"/>
              <w:right w:val="single" w:color="auto" w:sz="4" w:space="0"/>
            </w:tcBorders>
            <w:noWrap w:val="0"/>
            <w:vAlign w:val="center"/>
          </w:tcPr>
          <w:p>
            <w:pPr>
              <w:spacing w:before="60" w:beforeLines="25" w:after="60"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53" w:leftChars="-25" w:right="-40" w:rightChars="-19"/>
              <w:jc w:val="center"/>
              <w:rPr>
                <w:rFonts w:hint="eastAsia" w:cs="宋体"/>
                <w:sz w:val="24"/>
              </w:rPr>
            </w:pPr>
            <w:r>
              <w:rPr>
                <w:rFonts w:hint="eastAsia" w:cs="宋体"/>
                <w:sz w:val="24"/>
              </w:rPr>
              <w:t>（2）</w:t>
            </w:r>
          </w:p>
        </w:tc>
        <w:tc>
          <w:tcPr>
            <w:tcW w:w="6736" w:type="dxa"/>
            <w:tcBorders>
              <w:top w:val="single" w:color="auto" w:sz="4" w:space="0"/>
              <w:left w:val="nil"/>
              <w:bottom w:val="single" w:color="auto" w:sz="4" w:space="0"/>
              <w:right w:val="single" w:color="auto" w:sz="4" w:space="0"/>
            </w:tcBorders>
            <w:noWrap w:val="0"/>
            <w:vAlign w:val="center"/>
          </w:tcPr>
          <w:p>
            <w:pPr>
              <w:snapToGrid w:val="0"/>
              <w:spacing w:line="360" w:lineRule="auto"/>
              <w:ind w:left="69" w:firstLine="420" w:firstLineChars="200"/>
              <w:rPr>
                <w:rFonts w:hint="eastAsia" w:cs="宋体"/>
                <w:bCs/>
                <w:sz w:val="24"/>
                <w:szCs w:val="24"/>
              </w:rPr>
            </w:pPr>
            <w:r>
              <w:rPr>
                <w:rFonts w:hint="eastAsia"/>
                <w:b w:val="0"/>
                <w:bCs/>
                <w:szCs w:val="21"/>
              </w:rPr>
              <w:t>2、投标人代表若不是法定代表人的，应提供法人授权书原件，并加盖投标人公章。</w:t>
            </w:r>
          </w:p>
        </w:tc>
        <w:tc>
          <w:tcPr>
            <w:tcW w:w="1691" w:type="dxa"/>
            <w:tcBorders>
              <w:top w:val="single" w:color="auto" w:sz="4" w:space="0"/>
              <w:left w:val="nil"/>
              <w:bottom w:val="single" w:color="auto" w:sz="4" w:space="0"/>
              <w:right w:val="single" w:color="auto" w:sz="4" w:space="0"/>
            </w:tcBorders>
            <w:noWrap w:val="0"/>
            <w:vAlign w:val="center"/>
          </w:tcPr>
          <w:p>
            <w:pPr>
              <w:spacing w:before="60" w:beforeLines="25" w:after="60"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53" w:leftChars="-25" w:right="-40" w:rightChars="-19"/>
              <w:jc w:val="center"/>
              <w:rPr>
                <w:rFonts w:hint="eastAsia" w:cs="宋体"/>
                <w:sz w:val="24"/>
              </w:rPr>
            </w:pPr>
            <w:r>
              <w:rPr>
                <w:rFonts w:hint="eastAsia" w:cs="宋体"/>
                <w:sz w:val="24"/>
              </w:rPr>
              <w:t>（3）</w:t>
            </w:r>
          </w:p>
        </w:tc>
        <w:tc>
          <w:tcPr>
            <w:tcW w:w="6736" w:type="dxa"/>
            <w:tcBorders>
              <w:top w:val="single" w:color="auto" w:sz="4" w:space="0"/>
              <w:left w:val="nil"/>
              <w:bottom w:val="single" w:color="auto" w:sz="4" w:space="0"/>
              <w:right w:val="single" w:color="auto" w:sz="4" w:space="0"/>
            </w:tcBorders>
            <w:noWrap w:val="0"/>
            <w:vAlign w:val="center"/>
          </w:tcPr>
          <w:p>
            <w:pPr>
              <w:snapToGrid w:val="0"/>
              <w:spacing w:line="360" w:lineRule="auto"/>
              <w:ind w:left="69" w:firstLine="420" w:firstLineChars="200"/>
              <w:rPr>
                <w:rFonts w:hint="eastAsia" w:cs="宋体"/>
                <w:bCs/>
                <w:sz w:val="24"/>
                <w:szCs w:val="24"/>
              </w:rPr>
            </w:pPr>
            <w:r>
              <w:rPr>
                <w:rFonts w:hint="eastAsia"/>
                <w:b w:val="0"/>
                <w:bCs/>
                <w:szCs w:val="21"/>
              </w:rPr>
              <w:t>3、投标人若非投标设备的制造商，则须提供制造商或国外制造商在国内合法的分支机构出具的授权函，原件备查。</w:t>
            </w:r>
          </w:p>
        </w:tc>
        <w:tc>
          <w:tcPr>
            <w:tcW w:w="1691" w:type="dxa"/>
            <w:tcBorders>
              <w:top w:val="single" w:color="auto" w:sz="4" w:space="0"/>
              <w:left w:val="nil"/>
              <w:bottom w:val="single" w:color="auto" w:sz="4" w:space="0"/>
              <w:right w:val="single" w:color="auto" w:sz="4" w:space="0"/>
            </w:tcBorders>
            <w:noWrap w:val="0"/>
            <w:vAlign w:val="center"/>
          </w:tcPr>
          <w:p>
            <w:pPr>
              <w:spacing w:before="60" w:beforeLines="25" w:after="60"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53" w:leftChars="-25" w:right="-40" w:rightChars="-19"/>
              <w:jc w:val="center"/>
              <w:rPr>
                <w:rFonts w:hint="eastAsia" w:cs="宋体"/>
                <w:sz w:val="24"/>
              </w:rPr>
            </w:pPr>
            <w:r>
              <w:rPr>
                <w:rFonts w:hint="eastAsia" w:cs="宋体"/>
                <w:sz w:val="24"/>
              </w:rPr>
              <w:t>（</w:t>
            </w:r>
            <w:r>
              <w:rPr>
                <w:rFonts w:hint="eastAsia" w:cs="宋体"/>
                <w:sz w:val="24"/>
                <w:lang w:val="en-US" w:eastAsia="zh-CN"/>
              </w:rPr>
              <w:t>4</w:t>
            </w:r>
            <w:r>
              <w:rPr>
                <w:rFonts w:hint="eastAsia" w:cs="宋体"/>
                <w:sz w:val="24"/>
              </w:rPr>
              <w:t>）</w:t>
            </w:r>
          </w:p>
        </w:tc>
        <w:tc>
          <w:tcPr>
            <w:tcW w:w="6736" w:type="dxa"/>
            <w:tcBorders>
              <w:top w:val="single" w:color="auto" w:sz="4" w:space="0"/>
              <w:left w:val="nil"/>
              <w:bottom w:val="single" w:color="auto" w:sz="4" w:space="0"/>
              <w:right w:val="single" w:color="auto" w:sz="4" w:space="0"/>
            </w:tcBorders>
            <w:noWrap w:val="0"/>
            <w:vAlign w:val="center"/>
          </w:tcPr>
          <w:p>
            <w:pPr>
              <w:snapToGrid w:val="0"/>
              <w:spacing w:line="360" w:lineRule="auto"/>
              <w:ind w:left="69" w:firstLine="420" w:firstLineChars="200"/>
              <w:rPr>
                <w:rFonts w:hint="eastAsia" w:cs="宋体"/>
                <w:b w:val="0"/>
                <w:bCs/>
                <w:sz w:val="24"/>
                <w:szCs w:val="24"/>
              </w:rPr>
            </w:pPr>
            <w:r>
              <w:rPr>
                <w:rFonts w:hint="eastAsia"/>
                <w:b w:val="0"/>
                <w:bCs/>
                <w:szCs w:val="21"/>
                <w:lang w:val="en-US" w:eastAsia="zh-CN"/>
              </w:rPr>
              <w:t>4</w:t>
            </w:r>
            <w:r>
              <w:rPr>
                <w:rFonts w:hint="eastAsia"/>
                <w:b w:val="0"/>
                <w:bCs/>
                <w:szCs w:val="21"/>
              </w:rPr>
              <w:t>、本项目</w:t>
            </w:r>
            <w:r>
              <w:rPr>
                <w:rStyle w:val="33"/>
                <w:rFonts w:hint="eastAsia" w:ascii="Times New Roman" w:hAnsi="Times New Roman"/>
                <w:b w:val="0"/>
                <w:bCs/>
                <w:kern w:val="0"/>
              </w:rPr>
              <w:t>不</w:t>
            </w:r>
            <w:r>
              <w:rPr>
                <w:rFonts w:hint="eastAsia"/>
                <w:b w:val="0"/>
                <w:bCs/>
                <w:szCs w:val="21"/>
              </w:rPr>
              <w:t>接受联合体投标</w:t>
            </w:r>
          </w:p>
        </w:tc>
        <w:tc>
          <w:tcPr>
            <w:tcW w:w="1691" w:type="dxa"/>
            <w:tcBorders>
              <w:top w:val="single" w:color="auto" w:sz="4" w:space="0"/>
              <w:left w:val="nil"/>
              <w:bottom w:val="single" w:color="auto" w:sz="4" w:space="0"/>
              <w:right w:val="single" w:color="auto" w:sz="4" w:space="0"/>
            </w:tcBorders>
            <w:noWrap w:val="0"/>
            <w:vAlign w:val="center"/>
          </w:tcPr>
          <w:p>
            <w:pPr>
              <w:spacing w:before="60" w:beforeLines="25" w:after="60" w:afterLines="25"/>
              <w:jc w:val="center"/>
              <w:rPr>
                <w:rFonts w:hint="eastAsia" w:cs="宋体"/>
                <w:sz w:val="24"/>
              </w:rPr>
            </w:pPr>
          </w:p>
        </w:tc>
      </w:tr>
    </w:tbl>
    <w:p>
      <w:pPr>
        <w:widowControl/>
        <w:spacing w:line="360" w:lineRule="auto"/>
        <w:jc w:val="center"/>
        <w:rPr>
          <w:rFonts w:hint="eastAsia" w:cs="宋体"/>
          <w:kern w:val="0"/>
          <w:sz w:val="24"/>
          <w:szCs w:val="24"/>
        </w:rPr>
      </w:pPr>
      <w:r>
        <w:rPr>
          <w:rFonts w:hint="eastAsia" w:cs="宋体"/>
          <w:kern w:val="0"/>
          <w:sz w:val="24"/>
          <w:szCs w:val="24"/>
        </w:rPr>
        <w:t> </w:t>
      </w:r>
    </w:p>
    <w:p>
      <w:pPr>
        <w:spacing w:line="360" w:lineRule="auto"/>
        <w:rPr>
          <w:rFonts w:hint="eastAsia" w:cs="宋体"/>
          <w:sz w:val="24"/>
          <w:szCs w:val="24"/>
        </w:rPr>
      </w:pPr>
      <w:r>
        <w:rPr>
          <w:rFonts w:hint="eastAsia" w:cs="宋体"/>
          <w:sz w:val="24"/>
        </w:rPr>
        <w:t>投标人应按招标文件要求提交的资格证明文件加盖投标人的单位公章后应在此项下提交。</w:t>
      </w:r>
    </w:p>
    <w:p>
      <w:pPr>
        <w:spacing w:line="360" w:lineRule="auto"/>
        <w:ind w:firstLine="4200" w:firstLineChars="1750"/>
        <w:rPr>
          <w:rFonts w:hint="eastAsia" w:cs="宋体"/>
          <w:sz w:val="24"/>
          <w:szCs w:val="24"/>
        </w:rPr>
      </w:pPr>
      <w:r>
        <w:rPr>
          <w:rFonts w:hint="eastAsia" w:cs="宋体"/>
          <w:sz w:val="24"/>
          <w:szCs w:val="24"/>
        </w:rPr>
        <w:t xml:space="preserve"> </w:t>
      </w: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48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480" w:lineRule="auto"/>
        <w:jc w:val="right"/>
        <w:rPr>
          <w:rFonts w:hint="eastAsia" w:cs="宋体"/>
          <w:b/>
          <w:bCs/>
          <w:kern w:val="0"/>
          <w:sz w:val="28"/>
          <w:szCs w:val="28"/>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rPr>
          <w:rFonts w:hint="eastAsia"/>
        </w:rPr>
      </w:pPr>
    </w:p>
    <w:p>
      <w:pPr>
        <w:keepNext w:val="0"/>
        <w:keepLines w:val="0"/>
        <w:spacing w:before="0" w:beforeLines="-2147483648" w:after="0" w:afterLines="-2147483648" w:line="240" w:lineRule="auto"/>
        <w:jc w:val="left"/>
        <w:outlineLvl w:val="9"/>
        <w:rPr>
          <w:rFonts w:hint="eastAsia" w:cs="宋体"/>
          <w:b/>
          <w:bCs/>
          <w:kern w:val="0"/>
          <w:sz w:val="28"/>
          <w:szCs w:val="28"/>
        </w:rPr>
      </w:pPr>
      <w:bookmarkStart w:id="866" w:name="_Toc148459150"/>
      <w:r>
        <w:rPr>
          <w:rFonts w:hint="eastAsia" w:cs="宋体"/>
          <w:b/>
          <w:bCs/>
          <w:kern w:val="0"/>
          <w:sz w:val="28"/>
          <w:szCs w:val="28"/>
        </w:rPr>
        <w:br w:type="page"/>
      </w:r>
    </w:p>
    <w:p>
      <w:pPr>
        <w:keepNext/>
        <w:keepLines/>
        <w:spacing w:before="120" w:beforeLines="50" w:after="120" w:afterLines="50" w:line="415" w:lineRule="auto"/>
        <w:jc w:val="center"/>
        <w:outlineLvl w:val="9"/>
        <w:rPr>
          <w:rFonts w:hint="eastAsia" w:cs="宋体"/>
          <w:b/>
          <w:bCs/>
          <w:kern w:val="0"/>
          <w:sz w:val="30"/>
          <w:szCs w:val="30"/>
        </w:rPr>
      </w:pPr>
      <w:r>
        <w:rPr>
          <w:rFonts w:hint="eastAsia" w:cs="宋体"/>
          <w:b/>
          <w:bCs/>
          <w:kern w:val="0"/>
          <w:sz w:val="28"/>
          <w:szCs w:val="28"/>
        </w:rPr>
        <w:t>五、带“★”号条款响应表</w:t>
      </w:r>
      <w:bookmarkEnd w:id="866"/>
    </w:p>
    <w:p>
      <w:pPr>
        <w:spacing w:line="360" w:lineRule="auto"/>
        <w:rPr>
          <w:rFonts w:hint="eastAsia" w:cs="宋体"/>
          <w:sz w:val="24"/>
          <w:u w:val="single"/>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tbl>
      <w:tblPr>
        <w:tblStyle w:val="28"/>
        <w:tblW w:w="920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1"/>
        <w:gridCol w:w="6698"/>
        <w:gridCol w:w="1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cs="宋体"/>
                <w:sz w:val="24"/>
              </w:rPr>
            </w:pPr>
            <w:r>
              <w:rPr>
                <w:rFonts w:hint="eastAsia" w:cs="宋体"/>
                <w:sz w:val="24"/>
              </w:rPr>
              <w:t>序号</w:t>
            </w:r>
          </w:p>
        </w:tc>
        <w:tc>
          <w:tcPr>
            <w:tcW w:w="6698" w:type="dxa"/>
            <w:tcBorders>
              <w:top w:val="single" w:color="auto" w:sz="6" w:space="0"/>
              <w:left w:val="nil"/>
              <w:bottom w:val="single" w:color="auto" w:sz="6" w:space="0"/>
              <w:right w:val="single" w:color="auto" w:sz="6" w:space="0"/>
            </w:tcBorders>
            <w:noWrap w:val="0"/>
            <w:vAlign w:val="center"/>
          </w:tcPr>
          <w:p>
            <w:pPr>
              <w:spacing w:line="320" w:lineRule="exact"/>
              <w:jc w:val="center"/>
              <w:rPr>
                <w:rFonts w:hint="eastAsia" w:cs="宋体"/>
                <w:sz w:val="24"/>
              </w:rPr>
            </w:pPr>
            <w:r>
              <w:rPr>
                <w:rFonts w:hint="eastAsia" w:cs="宋体"/>
                <w:sz w:val="24"/>
              </w:rPr>
              <w:t>招标文件中带“</w:t>
            </w:r>
            <w:r>
              <w:rPr>
                <w:rFonts w:hint="eastAsia" w:cs="宋体"/>
                <w:b/>
                <w:bCs/>
                <w:sz w:val="24"/>
              </w:rPr>
              <w:t>★</w:t>
            </w:r>
            <w:r>
              <w:rPr>
                <w:rFonts w:hint="eastAsia" w:cs="宋体"/>
                <w:sz w:val="24"/>
              </w:rPr>
              <w:t>”号的条款</w:t>
            </w:r>
          </w:p>
        </w:tc>
        <w:tc>
          <w:tcPr>
            <w:tcW w:w="1625" w:type="dxa"/>
            <w:tcBorders>
              <w:top w:val="single" w:color="auto" w:sz="6" w:space="0"/>
              <w:left w:val="nil"/>
              <w:bottom w:val="single" w:color="auto" w:sz="6" w:space="0"/>
              <w:right w:val="single" w:color="auto" w:sz="6" w:space="0"/>
            </w:tcBorders>
            <w:noWrap w:val="0"/>
            <w:vAlign w:val="center"/>
          </w:tcPr>
          <w:p>
            <w:pPr>
              <w:jc w:val="center"/>
              <w:rPr>
                <w:rFonts w:cs="宋体"/>
                <w:sz w:val="24"/>
              </w:rPr>
            </w:pPr>
            <w:r>
              <w:rPr>
                <w:rFonts w:hint="eastAsia" w:cs="宋体"/>
                <w:sz w:val="24"/>
              </w:rPr>
              <w:t>对应页码/响应情况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1</w:t>
            </w:r>
          </w:p>
        </w:tc>
        <w:tc>
          <w:tcPr>
            <w:tcW w:w="6698" w:type="dxa"/>
            <w:tcBorders>
              <w:top w:val="single" w:color="auto" w:sz="6" w:space="0"/>
              <w:left w:val="nil"/>
              <w:bottom w:val="single" w:color="auto" w:sz="6" w:space="0"/>
              <w:right w:val="single" w:color="auto" w:sz="6" w:space="0"/>
            </w:tcBorders>
            <w:noWrap w:val="0"/>
            <w:vAlign w:val="center"/>
          </w:tcPr>
          <w:p>
            <w:pPr>
              <w:snapToGrid w:val="0"/>
              <w:spacing w:line="360" w:lineRule="auto"/>
              <w:rPr>
                <w:rFonts w:hint="eastAsia"/>
                <w:b/>
                <w:bCs/>
              </w:rPr>
            </w:pPr>
            <w:r>
              <w:rPr>
                <w:rFonts w:hint="eastAsia"/>
                <w:b/>
                <w:bCs/>
              </w:rPr>
              <w:t>★质保期：以合同设备验收合格之日起整机质保</w:t>
            </w:r>
            <w:r>
              <w:rPr>
                <w:rFonts w:hint="eastAsia"/>
                <w:b/>
                <w:bCs/>
                <w:lang w:val="en-US" w:eastAsia="zh-CN"/>
              </w:rPr>
              <w:t xml:space="preserve">  </w:t>
            </w:r>
            <w:r>
              <w:rPr>
                <w:rFonts w:hint="eastAsia"/>
                <w:b/>
                <w:bCs/>
              </w:rPr>
              <w:t>年</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2</w:t>
            </w:r>
          </w:p>
        </w:tc>
        <w:tc>
          <w:tcPr>
            <w:tcW w:w="6698" w:type="dxa"/>
            <w:tcBorders>
              <w:top w:val="single" w:color="auto" w:sz="6" w:space="0"/>
              <w:left w:val="nil"/>
              <w:bottom w:val="single" w:color="auto" w:sz="6" w:space="0"/>
              <w:right w:val="single" w:color="auto" w:sz="6" w:space="0"/>
            </w:tcBorders>
            <w:noWrap w:val="0"/>
            <w:vAlign w:val="center"/>
          </w:tcPr>
          <w:p>
            <w:pPr>
              <w:snapToGrid w:val="0"/>
              <w:spacing w:line="360" w:lineRule="auto"/>
              <w:rPr>
                <w:rFonts w:hint="eastAsia"/>
                <w:b/>
                <w:bCs/>
              </w:rPr>
            </w:pPr>
            <w:r>
              <w:rPr>
                <w:rFonts w:hint="eastAsia" w:cs="宋体"/>
                <w:b/>
                <w:bCs/>
                <w:szCs w:val="21"/>
              </w:rPr>
              <w:t>★供应范围：本次招标为交钥匙工程，设备所需物料</w:t>
            </w:r>
            <w:r>
              <w:rPr>
                <w:rFonts w:hint="eastAsia" w:cs="宋体"/>
                <w:b/>
                <w:bCs/>
                <w:szCs w:val="21"/>
                <w:lang w:eastAsia="zh-CN"/>
              </w:rPr>
              <w:t>、</w:t>
            </w:r>
            <w:r>
              <w:rPr>
                <w:rFonts w:hint="eastAsia" w:cs="宋体"/>
                <w:b/>
                <w:bCs/>
                <w:szCs w:val="21"/>
              </w:rPr>
              <w:t>服务等均须按招标文件技术要求由投标方负责全部提供</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3</w:t>
            </w:r>
          </w:p>
        </w:tc>
        <w:tc>
          <w:tcPr>
            <w:tcW w:w="6698" w:type="dxa"/>
            <w:tcBorders>
              <w:top w:val="single" w:color="auto" w:sz="6" w:space="0"/>
              <w:left w:val="nil"/>
              <w:bottom w:val="single" w:color="auto" w:sz="6" w:space="0"/>
              <w:right w:val="single" w:color="auto" w:sz="6" w:space="0"/>
            </w:tcBorders>
            <w:noWrap w:val="0"/>
            <w:vAlign w:val="center"/>
          </w:tcPr>
          <w:p>
            <w:pPr>
              <w:snapToGrid w:val="0"/>
              <w:spacing w:line="360" w:lineRule="auto"/>
              <w:rPr>
                <w:rFonts w:hint="eastAsia"/>
                <w:b/>
                <w:bCs/>
              </w:rPr>
            </w:pPr>
            <w:r>
              <w:rPr>
                <w:rFonts w:hint="eastAsia" w:cs="宋体"/>
                <w:b/>
                <w:bCs/>
                <w:szCs w:val="21"/>
              </w:rPr>
              <w:t>★</w:t>
            </w:r>
            <w:r>
              <w:rPr>
                <w:rFonts w:hint="eastAsia" w:cs="宋体"/>
                <w:b/>
                <w:szCs w:val="21"/>
              </w:rPr>
              <w:t>全部设备在合同签订后</w:t>
            </w:r>
            <w:r>
              <w:rPr>
                <w:rFonts w:hint="eastAsia" w:cs="宋体"/>
                <w:b/>
                <w:szCs w:val="21"/>
                <w:u w:val="single"/>
                <w:lang w:val="en-US" w:eastAsia="zh-CN"/>
              </w:rPr>
              <w:t xml:space="preserve">  </w:t>
            </w:r>
            <w:r>
              <w:rPr>
                <w:rFonts w:hint="eastAsia" w:cs="宋体"/>
                <w:b/>
                <w:szCs w:val="21"/>
                <w:u w:val="single"/>
              </w:rPr>
              <w:t>天内</w:t>
            </w:r>
            <w:r>
              <w:rPr>
                <w:rFonts w:hint="eastAsia" w:cs="宋体"/>
                <w:b/>
                <w:szCs w:val="21"/>
              </w:rPr>
              <w:t>交货到招标人的指定地点，并在具备安装条件后</w:t>
            </w:r>
            <w:r>
              <w:rPr>
                <w:rFonts w:hint="eastAsia" w:cs="宋体"/>
                <w:b/>
                <w:szCs w:val="21"/>
                <w:u w:val="single"/>
                <w:lang w:val="en-US" w:eastAsia="zh-CN"/>
              </w:rPr>
              <w:t xml:space="preserve">  </w:t>
            </w:r>
            <w:r>
              <w:rPr>
                <w:rFonts w:hint="eastAsia" w:cs="宋体"/>
                <w:b/>
                <w:szCs w:val="21"/>
              </w:rPr>
              <w:t>天内完成设备的安装调试。</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4</w:t>
            </w:r>
          </w:p>
        </w:tc>
        <w:tc>
          <w:tcPr>
            <w:tcW w:w="6698" w:type="dxa"/>
            <w:tcBorders>
              <w:top w:val="single" w:color="auto" w:sz="6" w:space="0"/>
              <w:left w:val="nil"/>
              <w:bottom w:val="single" w:color="auto" w:sz="6" w:space="0"/>
              <w:right w:val="single" w:color="auto" w:sz="6" w:space="0"/>
            </w:tcBorders>
            <w:noWrap w:val="0"/>
            <w:vAlign w:val="center"/>
          </w:tcPr>
          <w:p>
            <w:pPr>
              <w:adjustRightInd w:val="0"/>
              <w:snapToGrid w:val="0"/>
              <w:spacing w:line="360" w:lineRule="auto"/>
              <w:rPr>
                <w:rFonts w:hint="eastAsia"/>
                <w:b/>
                <w:bCs/>
              </w:rPr>
            </w:pPr>
            <w:r>
              <w:rPr>
                <w:rFonts w:hint="eastAsia" w:cs="宋体"/>
                <w:b/>
                <w:bCs/>
                <w:szCs w:val="21"/>
              </w:rPr>
              <w:t>★付款方式（详见“第四章招标内容及要求”中“五、付款方式”中的要求）</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5</w:t>
            </w:r>
          </w:p>
        </w:tc>
        <w:tc>
          <w:tcPr>
            <w:tcW w:w="6698" w:type="dxa"/>
            <w:tcBorders>
              <w:top w:val="single" w:color="auto" w:sz="6" w:space="0"/>
              <w:left w:val="nil"/>
              <w:bottom w:val="single" w:color="auto" w:sz="6" w:space="0"/>
              <w:right w:val="single" w:color="auto" w:sz="6" w:space="0"/>
            </w:tcBorders>
            <w:noWrap w:val="0"/>
            <w:vAlign w:val="center"/>
          </w:tcPr>
          <w:p>
            <w:pPr>
              <w:snapToGrid w:val="0"/>
              <w:spacing w:line="320" w:lineRule="exact"/>
              <w:rPr>
                <w:rFonts w:hint="eastAsia"/>
                <w:b/>
                <w:bCs/>
              </w:rPr>
            </w:pPr>
            <w:r>
              <w:rPr>
                <w:rFonts w:hint="eastAsia"/>
                <w:b/>
                <w:bCs/>
              </w:rPr>
              <w:t>……</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bl>
    <w:p>
      <w:pPr>
        <w:ind w:firstLine="482" w:firstLineChars="200"/>
        <w:jc w:val="right"/>
        <w:rPr>
          <w:rFonts w:hint="eastAsia" w:cs="宋体"/>
          <w:b/>
          <w:bCs/>
          <w:sz w:val="24"/>
        </w:rPr>
      </w:pPr>
    </w:p>
    <w:p>
      <w:pPr>
        <w:spacing w:line="360" w:lineRule="auto"/>
        <w:ind w:firstLine="482" w:firstLineChars="200"/>
        <w:jc w:val="right"/>
        <w:rPr>
          <w:rFonts w:hint="eastAsia" w:cs="宋体"/>
          <w:sz w:val="24"/>
          <w:szCs w:val="24"/>
        </w:rPr>
      </w:pP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36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36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keepNext/>
        <w:keepLines/>
        <w:adjustRightInd w:val="0"/>
        <w:spacing w:before="260" w:after="260" w:line="416" w:lineRule="atLeast"/>
        <w:jc w:val="both"/>
        <w:textAlignment w:val="baseline"/>
        <w:outlineLvl w:val="9"/>
        <w:rPr>
          <w:rFonts w:hint="eastAsia" w:ascii="Times New Roman" w:hAnsi="Times New Roman" w:cs="宋体"/>
          <w:b/>
          <w:bCs/>
          <w:kern w:val="0"/>
          <w:sz w:val="28"/>
          <w:szCs w:val="28"/>
        </w:rPr>
        <w:sectPr>
          <w:headerReference r:id="rId7" w:type="default"/>
          <w:footerReference r:id="rId8" w:type="default"/>
          <w:pgSz w:w="12240" w:h="15840"/>
          <w:pgMar w:top="1418" w:right="1418" w:bottom="1418" w:left="1588" w:header="567" w:footer="839" w:gutter="0"/>
          <w:cols w:space="720" w:num="1"/>
          <w:docGrid w:linePitch="299" w:charSpace="0"/>
        </w:sectPr>
      </w:pPr>
    </w:p>
    <w:p>
      <w:pPr>
        <w:keepNext/>
        <w:keepLines/>
        <w:adjustRightInd w:val="0"/>
        <w:spacing w:before="260" w:after="260" w:line="416" w:lineRule="atLeast"/>
        <w:jc w:val="center"/>
        <w:textAlignment w:val="baseline"/>
        <w:outlineLvl w:val="9"/>
        <w:rPr>
          <w:rFonts w:hint="eastAsia"/>
          <w:kern w:val="0"/>
          <w:sz w:val="28"/>
          <w:szCs w:val="28"/>
          <w:lang w:val="zh-CN"/>
        </w:rPr>
      </w:pPr>
      <w:r>
        <w:rPr>
          <w:rFonts w:hint="eastAsia" w:ascii="Times New Roman" w:hAnsi="Times New Roman" w:cs="宋体"/>
          <w:b/>
          <w:bCs/>
          <w:kern w:val="0"/>
          <w:sz w:val="28"/>
          <w:szCs w:val="28"/>
        </w:rPr>
        <w:t>六、法定代表人资格证明书</w:t>
      </w:r>
    </w:p>
    <w:p>
      <w:pPr>
        <w:autoSpaceDE w:val="0"/>
        <w:autoSpaceDN w:val="0"/>
        <w:spacing w:line="300" w:lineRule="auto"/>
        <w:jc w:val="left"/>
        <w:rPr>
          <w:rFonts w:hint="eastAsia" w:cs="宋体"/>
          <w:kern w:val="0"/>
          <w:sz w:val="24"/>
          <w:szCs w:val="24"/>
          <w:lang w:val="zh-CN" w:bidi="zh-CN"/>
        </w:rPr>
      </w:pPr>
    </w:p>
    <w:p>
      <w:pPr>
        <w:autoSpaceDE w:val="0"/>
        <w:autoSpaceDN w:val="0"/>
        <w:snapToGrid w:val="0"/>
        <w:spacing w:line="480" w:lineRule="auto"/>
        <w:ind w:firstLine="240" w:firstLineChars="100"/>
        <w:jc w:val="left"/>
        <w:rPr>
          <w:rFonts w:hint="eastAsia" w:cs="宋体"/>
          <w:sz w:val="24"/>
          <w:szCs w:val="24"/>
          <w:lang w:val="zh-CN" w:bidi="zh-CN"/>
        </w:rPr>
      </w:pPr>
      <w:r>
        <w:rPr>
          <w:rFonts w:hint="eastAsia" w:cs="宋体"/>
          <w:sz w:val="24"/>
          <w:szCs w:val="24"/>
          <w:lang w:val="zh-CN" w:bidi="zh-CN"/>
        </w:rPr>
        <w:t>投标人名称：</w:t>
      </w:r>
      <w:r>
        <w:rPr>
          <w:rFonts w:hint="eastAsia" w:cs="宋体"/>
          <w:sz w:val="24"/>
          <w:szCs w:val="24"/>
          <w:u w:val="single"/>
          <w:lang w:val="zh-CN" w:bidi="zh-CN"/>
        </w:rPr>
        <w:t xml:space="preserve">                                                       </w:t>
      </w:r>
    </w:p>
    <w:p>
      <w:pPr>
        <w:autoSpaceDE w:val="0"/>
        <w:autoSpaceDN w:val="0"/>
        <w:snapToGrid w:val="0"/>
        <w:spacing w:line="480" w:lineRule="auto"/>
        <w:ind w:firstLine="240" w:firstLineChars="100"/>
        <w:jc w:val="left"/>
        <w:rPr>
          <w:rFonts w:hint="eastAsia" w:cs="宋体"/>
          <w:sz w:val="24"/>
          <w:szCs w:val="24"/>
          <w:lang w:val="zh-CN" w:bidi="zh-CN"/>
        </w:rPr>
      </w:pPr>
      <w:r>
        <w:rPr>
          <w:rFonts w:hint="eastAsia" w:cs="宋体"/>
          <w:sz w:val="24"/>
          <w:szCs w:val="24"/>
          <w:lang w:val="zh-CN" w:bidi="zh-CN"/>
        </w:rPr>
        <w:t>地址：</w:t>
      </w:r>
      <w:r>
        <w:rPr>
          <w:rFonts w:hint="eastAsia" w:cs="宋体"/>
          <w:sz w:val="24"/>
          <w:szCs w:val="24"/>
          <w:u w:val="single"/>
          <w:lang w:val="zh-CN" w:bidi="zh-CN"/>
        </w:rPr>
        <w:t xml:space="preserve">                                                             </w:t>
      </w:r>
    </w:p>
    <w:p>
      <w:pPr>
        <w:autoSpaceDE w:val="0"/>
        <w:autoSpaceDN w:val="0"/>
        <w:snapToGrid w:val="0"/>
        <w:spacing w:line="480" w:lineRule="auto"/>
        <w:ind w:firstLine="240" w:firstLineChars="100"/>
        <w:jc w:val="left"/>
        <w:rPr>
          <w:rFonts w:hint="eastAsia" w:cs="宋体"/>
          <w:sz w:val="24"/>
          <w:szCs w:val="24"/>
          <w:u w:val="single"/>
          <w:lang w:val="zh-CN" w:bidi="zh-CN"/>
        </w:rPr>
      </w:pPr>
      <w:r>
        <w:rPr>
          <w:rFonts w:hint="eastAsia" w:cs="宋体"/>
          <w:sz w:val="24"/>
          <w:szCs w:val="24"/>
          <w:lang w:val="zh-CN" w:bidi="zh-CN"/>
        </w:rPr>
        <w:t>姓名：</w:t>
      </w:r>
      <w:r>
        <w:rPr>
          <w:rFonts w:hint="eastAsia" w:cs="宋体"/>
          <w:sz w:val="24"/>
          <w:szCs w:val="24"/>
          <w:u w:val="single"/>
          <w:lang w:val="zh-CN" w:bidi="zh-CN"/>
        </w:rPr>
        <w:t xml:space="preserve">               </w:t>
      </w:r>
      <w:r>
        <w:rPr>
          <w:rFonts w:hint="eastAsia" w:cs="宋体"/>
          <w:sz w:val="24"/>
          <w:szCs w:val="24"/>
          <w:lang w:val="zh-CN" w:bidi="zh-CN"/>
        </w:rPr>
        <w:t>性别：</w:t>
      </w:r>
      <w:r>
        <w:rPr>
          <w:rFonts w:hint="eastAsia" w:cs="宋体"/>
          <w:sz w:val="24"/>
          <w:szCs w:val="24"/>
          <w:u w:val="single"/>
          <w:lang w:val="zh-CN" w:bidi="zh-CN"/>
        </w:rPr>
        <w:t xml:space="preserve">        </w:t>
      </w:r>
      <w:r>
        <w:rPr>
          <w:rFonts w:hint="eastAsia" w:cs="宋体"/>
          <w:sz w:val="24"/>
          <w:szCs w:val="24"/>
          <w:lang w:val="zh-CN" w:bidi="zh-CN"/>
        </w:rPr>
        <w:t>身份证号码：</w:t>
      </w:r>
      <w:r>
        <w:rPr>
          <w:rFonts w:hint="eastAsia" w:cs="宋体"/>
          <w:sz w:val="24"/>
          <w:szCs w:val="24"/>
          <w:u w:val="single"/>
          <w:lang w:val="zh-CN" w:bidi="zh-CN"/>
        </w:rPr>
        <w:t xml:space="preserve">                    </w:t>
      </w:r>
    </w:p>
    <w:p>
      <w:pPr>
        <w:autoSpaceDE w:val="0"/>
        <w:autoSpaceDN w:val="0"/>
        <w:snapToGrid w:val="0"/>
        <w:spacing w:line="480" w:lineRule="auto"/>
        <w:ind w:firstLine="240" w:firstLineChars="100"/>
        <w:jc w:val="left"/>
        <w:rPr>
          <w:rFonts w:hint="eastAsia" w:cs="宋体"/>
          <w:sz w:val="24"/>
          <w:szCs w:val="24"/>
          <w:lang w:val="zh-CN" w:bidi="zh-CN"/>
        </w:rPr>
      </w:pPr>
      <w:r>
        <w:rPr>
          <w:rFonts w:hint="eastAsia" w:cs="宋体"/>
          <w:sz w:val="24"/>
          <w:szCs w:val="24"/>
          <w:lang w:val="zh-CN" w:bidi="zh-CN"/>
        </w:rPr>
        <w:t>职务：</w:t>
      </w:r>
      <w:r>
        <w:rPr>
          <w:rFonts w:hint="eastAsia" w:cs="宋体"/>
          <w:sz w:val="24"/>
          <w:szCs w:val="24"/>
          <w:u w:val="single"/>
          <w:lang w:val="zh-CN" w:bidi="zh-CN"/>
        </w:rPr>
        <w:t xml:space="preserve">               </w:t>
      </w:r>
      <w:r>
        <w:rPr>
          <w:rFonts w:hint="eastAsia" w:cs="宋体"/>
          <w:sz w:val="24"/>
          <w:szCs w:val="24"/>
          <w:lang w:val="zh-CN" w:bidi="zh-CN"/>
        </w:rPr>
        <w:t>联系电话：</w:t>
      </w:r>
      <w:r>
        <w:rPr>
          <w:rFonts w:hint="eastAsia" w:cs="宋体"/>
          <w:sz w:val="24"/>
          <w:szCs w:val="24"/>
          <w:u w:val="single"/>
          <w:lang w:val="zh-CN" w:bidi="zh-CN"/>
        </w:rPr>
        <w:t xml:space="preserve">               </w:t>
      </w:r>
    </w:p>
    <w:p>
      <w:pPr>
        <w:autoSpaceDE w:val="0"/>
        <w:autoSpaceDN w:val="0"/>
        <w:snapToGrid w:val="0"/>
        <w:spacing w:line="480" w:lineRule="auto"/>
        <w:ind w:firstLine="240" w:firstLineChars="100"/>
        <w:jc w:val="left"/>
        <w:rPr>
          <w:rFonts w:hint="eastAsia" w:cs="宋体"/>
          <w:sz w:val="24"/>
          <w:szCs w:val="24"/>
          <w:lang w:val="zh-CN" w:bidi="zh-CN"/>
        </w:rPr>
      </w:pPr>
      <w:r>
        <w:rPr>
          <w:rFonts w:hint="eastAsia" w:cs="宋体"/>
          <w:sz w:val="24"/>
          <w:szCs w:val="24"/>
          <w:lang w:val="zh-CN" w:bidi="zh-CN"/>
        </w:rPr>
        <w:t>系</w:t>
      </w:r>
      <w:r>
        <w:rPr>
          <w:rFonts w:hint="eastAsia" w:cs="宋体"/>
          <w:sz w:val="24"/>
          <w:szCs w:val="24"/>
          <w:u w:val="single"/>
          <w:lang w:val="zh-CN" w:bidi="zh-CN"/>
        </w:rPr>
        <w:t xml:space="preserve">                               （投标人名称）</w:t>
      </w:r>
      <w:r>
        <w:rPr>
          <w:rFonts w:hint="eastAsia" w:cs="宋体"/>
          <w:sz w:val="24"/>
          <w:szCs w:val="24"/>
          <w:lang w:val="zh-CN" w:bidi="zh-CN"/>
        </w:rPr>
        <w:t>的法定代表人。</w:t>
      </w:r>
    </w:p>
    <w:p>
      <w:pPr>
        <w:autoSpaceDE w:val="0"/>
        <w:autoSpaceDN w:val="0"/>
        <w:snapToGrid w:val="0"/>
        <w:spacing w:line="480" w:lineRule="auto"/>
        <w:ind w:firstLine="960" w:firstLineChars="400"/>
        <w:jc w:val="left"/>
        <w:rPr>
          <w:rFonts w:cs="宋体"/>
          <w:sz w:val="24"/>
          <w:szCs w:val="24"/>
          <w:lang w:val="zh-CN" w:bidi="zh-CN"/>
        </w:rPr>
      </w:pPr>
      <w:r>
        <w:rPr>
          <w:rFonts w:hint="eastAsia" w:cs="宋体"/>
          <w:sz w:val="24"/>
          <w:szCs w:val="24"/>
          <w:lang w:val="zh-CN" w:bidi="zh-CN"/>
        </w:rPr>
        <w:t>特此证明。</w:t>
      </w:r>
    </w:p>
    <w:p>
      <w:pPr>
        <w:adjustRightInd w:val="0"/>
        <w:snapToGrid w:val="0"/>
        <w:spacing w:line="480" w:lineRule="auto"/>
        <w:ind w:firstLine="480" w:firstLineChars="200"/>
        <w:textAlignment w:val="baseline"/>
        <w:rPr>
          <w:rFonts w:hint="eastAsia" w:cs="宋体"/>
          <w:sz w:val="24"/>
          <w:szCs w:val="24"/>
          <w:lang w:val="zh-CN"/>
        </w:rPr>
      </w:pPr>
      <w:r>
        <w:rPr>
          <w:rFonts w:hint="eastAsia" w:cs="宋体"/>
          <w:sz w:val="24"/>
          <w:szCs w:val="24"/>
          <w:lang w:val="zh-CN"/>
        </w:rPr>
        <w:t>附：法定代表人身份证复印件</w:t>
      </w:r>
    </w:p>
    <w:p>
      <w:pPr>
        <w:tabs>
          <w:tab w:val="left" w:pos="0"/>
          <w:tab w:val="left" w:pos="993"/>
          <w:tab w:val="left" w:pos="1134"/>
        </w:tabs>
        <w:autoSpaceDE w:val="0"/>
        <w:autoSpaceDN w:val="0"/>
        <w:spacing w:after="120"/>
        <w:ind w:left="420" w:leftChars="200" w:firstLine="480" w:firstLineChars="200"/>
        <w:jc w:val="left"/>
        <w:rPr>
          <w:rFonts w:hint="eastAsia" w:cs="宋体"/>
          <w:sz w:val="24"/>
          <w:szCs w:val="24"/>
          <w:lang w:val="zh-CN" w:bidi="zh-CN"/>
        </w:rPr>
      </w:pPr>
    </w:p>
    <w:p>
      <w:pPr>
        <w:tabs>
          <w:tab w:val="left" w:pos="6661"/>
        </w:tabs>
        <w:autoSpaceDE w:val="0"/>
        <w:autoSpaceDN w:val="0"/>
        <w:spacing w:line="720" w:lineRule="auto"/>
        <w:ind w:firstLine="3600" w:firstLineChars="1500"/>
        <w:rPr>
          <w:rFonts w:hint="eastAsia" w:cs="宋体"/>
          <w:sz w:val="24"/>
          <w:szCs w:val="24"/>
          <w:lang w:val="zh-CN" w:bidi="zh-CN"/>
        </w:rPr>
      </w:pPr>
    </w:p>
    <w:p>
      <w:pPr>
        <w:tabs>
          <w:tab w:val="left" w:pos="6661"/>
        </w:tabs>
        <w:autoSpaceDE w:val="0"/>
        <w:autoSpaceDN w:val="0"/>
        <w:spacing w:line="480" w:lineRule="auto"/>
        <w:ind w:firstLine="3600" w:firstLineChars="1500"/>
        <w:rPr>
          <w:rFonts w:hint="eastAsia" w:cs="宋体"/>
          <w:sz w:val="24"/>
          <w:szCs w:val="24"/>
          <w:lang w:val="zh-CN" w:bidi="zh-CN"/>
        </w:rPr>
      </w:pPr>
      <w:r>
        <w:rPr>
          <w:rFonts w:hint="eastAsia" w:cs="宋体"/>
          <w:sz w:val="24"/>
          <w:szCs w:val="24"/>
          <w:lang w:val="zh-CN" w:bidi="zh-CN"/>
        </w:rPr>
        <w:t>投标人：</w:t>
      </w:r>
      <w:r>
        <w:rPr>
          <w:rFonts w:hint="eastAsia" w:cs="宋体"/>
          <w:sz w:val="24"/>
          <w:szCs w:val="24"/>
          <w:u w:val="single"/>
          <w:lang w:val="zh-CN" w:bidi="zh-CN"/>
        </w:rPr>
        <w:t xml:space="preserve">                        </w:t>
      </w:r>
      <w:r>
        <w:rPr>
          <w:rFonts w:hint="eastAsia" w:cs="宋体"/>
          <w:sz w:val="24"/>
          <w:szCs w:val="24"/>
          <w:lang w:val="zh-CN" w:bidi="zh-CN"/>
        </w:rPr>
        <w:t>(盖单位公章)</w:t>
      </w:r>
    </w:p>
    <w:p>
      <w:pPr>
        <w:tabs>
          <w:tab w:val="left" w:pos="5730"/>
          <w:tab w:val="left" w:pos="6332"/>
          <w:tab w:val="left" w:pos="7530"/>
        </w:tabs>
        <w:autoSpaceDE w:val="0"/>
        <w:autoSpaceDN w:val="0"/>
        <w:spacing w:line="480" w:lineRule="auto"/>
        <w:ind w:left="4861"/>
        <w:rPr>
          <w:rFonts w:hint="eastAsia"/>
        </w:rPr>
        <w:sectPr>
          <w:pgSz w:w="12240" w:h="15840"/>
          <w:pgMar w:top="1418" w:right="1418" w:bottom="1418" w:left="1588" w:header="567" w:footer="839" w:gutter="0"/>
          <w:cols w:space="720" w:num="1"/>
          <w:docGrid w:linePitch="299" w:charSpace="0"/>
        </w:sectPr>
      </w:pPr>
      <w:r>
        <w:rPr>
          <w:rFonts w:hint="eastAsia" w:cs="宋体"/>
          <w:sz w:val="24"/>
          <w:szCs w:val="24"/>
          <w:u w:val="single"/>
          <w:lang w:val="zh-CN" w:bidi="zh-CN"/>
        </w:rPr>
        <w:t xml:space="preserve"> </w:t>
      </w:r>
      <w:r>
        <w:rPr>
          <w:rFonts w:hint="eastAsia" w:cs="宋体"/>
          <w:sz w:val="24"/>
          <w:szCs w:val="24"/>
          <w:u w:val="single"/>
          <w:lang w:bidi="zh-CN"/>
        </w:rPr>
        <w:t xml:space="preserve"> </w:t>
      </w:r>
      <w:r>
        <w:rPr>
          <w:rFonts w:hint="eastAsia" w:cs="宋体"/>
          <w:sz w:val="24"/>
          <w:szCs w:val="24"/>
          <w:u w:val="single"/>
          <w:lang w:val="zh-CN" w:bidi="zh-CN"/>
        </w:rPr>
        <w:tab/>
      </w:r>
      <w:r>
        <w:rPr>
          <w:rFonts w:hint="eastAsia" w:cs="宋体"/>
          <w:sz w:val="24"/>
          <w:szCs w:val="24"/>
          <w:u w:val="single"/>
          <w:lang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u w:val="single"/>
          <w:lang w:bidi="zh-CN"/>
        </w:rPr>
        <w:t xml:space="preserve">    </w:t>
      </w:r>
      <w:r>
        <w:rPr>
          <w:rFonts w:hint="eastAsia" w:cs="宋体"/>
          <w:sz w:val="24"/>
          <w:szCs w:val="24"/>
          <w:u w:val="single"/>
          <w:lang w:val="zh-CN" w:bidi="zh-CN"/>
        </w:rPr>
        <w:t xml:space="preserve"> </w:t>
      </w:r>
      <w:r>
        <w:rPr>
          <w:rFonts w:hint="eastAsia" w:cs="宋体"/>
          <w:sz w:val="24"/>
          <w:szCs w:val="24"/>
          <w:u w:val="single"/>
          <w:lang w:bidi="zh-CN"/>
        </w:rPr>
        <w:t xml:space="preserve"> </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u w:val="single"/>
          <w:lang w:val="zh-CN" w:bidi="zh-CN"/>
        </w:rPr>
        <w:tab/>
      </w:r>
      <w:r>
        <w:rPr>
          <w:rFonts w:hint="eastAsia" w:cs="宋体"/>
          <w:sz w:val="24"/>
          <w:szCs w:val="24"/>
          <w:u w:val="single"/>
          <w:lang w:bidi="zh-CN"/>
        </w:rPr>
        <w:t xml:space="preserve">     </w:t>
      </w:r>
      <w:r>
        <w:rPr>
          <w:rFonts w:hint="eastAsia" w:cs="宋体"/>
          <w:sz w:val="24"/>
          <w:szCs w:val="24"/>
          <w:lang w:val="zh-CN" w:bidi="zh-CN"/>
        </w:rPr>
        <w:t>日</w:t>
      </w:r>
    </w:p>
    <w:p>
      <w:pPr>
        <w:keepNext/>
        <w:keepLines/>
        <w:adjustRightInd w:val="0"/>
        <w:spacing w:before="260" w:after="260" w:line="416" w:lineRule="atLeast"/>
        <w:jc w:val="center"/>
        <w:textAlignment w:val="baseline"/>
        <w:outlineLvl w:val="9"/>
        <w:rPr>
          <w:rFonts w:hint="eastAsia" w:ascii="Times New Roman" w:hAnsi="Times New Roman" w:cs="宋体"/>
          <w:b/>
          <w:bCs/>
          <w:kern w:val="0"/>
          <w:sz w:val="28"/>
          <w:szCs w:val="28"/>
        </w:rPr>
      </w:pPr>
      <w:r>
        <w:rPr>
          <w:rFonts w:hint="eastAsia" w:ascii="Times New Roman" w:hAnsi="Times New Roman" w:cs="宋体"/>
          <w:b/>
          <w:bCs/>
          <w:kern w:val="0"/>
          <w:sz w:val="28"/>
          <w:szCs w:val="28"/>
        </w:rPr>
        <w:t>七、授权委托书</w:t>
      </w:r>
    </w:p>
    <w:p>
      <w:pPr>
        <w:snapToGrid w:val="0"/>
        <w:spacing w:line="360" w:lineRule="auto"/>
        <w:ind w:firstLine="480" w:firstLineChars="200"/>
        <w:rPr>
          <w:rFonts w:hint="eastAsia" w:cs="宋体"/>
          <w:sz w:val="24"/>
        </w:rPr>
      </w:pPr>
      <w:r>
        <w:rPr>
          <w:rFonts w:hint="eastAsia" w:cs="宋体"/>
          <w:sz w:val="24"/>
        </w:rPr>
        <w:t>本人</w:t>
      </w:r>
      <w:r>
        <w:rPr>
          <w:rFonts w:hint="eastAsia" w:cs="宋体"/>
          <w:sz w:val="24"/>
          <w:u w:val="single"/>
        </w:rPr>
        <w:t xml:space="preserve">      （姓名）</w:t>
      </w:r>
      <w:r>
        <w:rPr>
          <w:rFonts w:hint="eastAsia" w:cs="宋体"/>
          <w:sz w:val="24"/>
        </w:rPr>
        <w:t>系</w:t>
      </w:r>
      <w:r>
        <w:rPr>
          <w:rFonts w:hint="eastAsia" w:cs="宋体"/>
          <w:sz w:val="24"/>
          <w:u w:val="single"/>
        </w:rPr>
        <w:t xml:space="preserve">      （投标人全称）</w:t>
      </w:r>
      <w:r>
        <w:rPr>
          <w:rFonts w:hint="eastAsia" w:cs="宋体"/>
          <w:sz w:val="24"/>
        </w:rPr>
        <w:t>的法定代表人，现授权委托</w:t>
      </w:r>
      <w:r>
        <w:rPr>
          <w:rFonts w:hint="eastAsia" w:cs="宋体"/>
          <w:sz w:val="24"/>
          <w:u w:val="single"/>
        </w:rPr>
        <w:t xml:space="preserve">      （投标人代表姓名）</w:t>
      </w:r>
      <w:r>
        <w:rPr>
          <w:rFonts w:hint="eastAsia" w:cs="宋体"/>
          <w:sz w:val="24"/>
        </w:rPr>
        <w:t>为投标人代表，代表我方参加</w:t>
      </w:r>
      <w:r>
        <w:rPr>
          <w:rFonts w:hint="eastAsia" w:cs="宋体"/>
          <w:sz w:val="24"/>
          <w:u w:val="single"/>
        </w:rPr>
        <w:t xml:space="preserve">     （项目名称）</w:t>
      </w:r>
      <w:r>
        <w:rPr>
          <w:rFonts w:hint="eastAsia" w:cs="宋体"/>
          <w:sz w:val="24"/>
        </w:rPr>
        <w:t>项目</w:t>
      </w:r>
      <w:r>
        <w:rPr>
          <w:rFonts w:hint="eastAsia" w:cs="宋体"/>
          <w:sz w:val="24"/>
          <w:u w:val="single"/>
        </w:rPr>
        <w:t>（招标编号：      ）</w:t>
      </w:r>
      <w:r>
        <w:rPr>
          <w:rFonts w:hint="eastAsia" w:cs="宋体"/>
          <w:sz w:val="24"/>
        </w:rPr>
        <w:t>招标活动，全权代表我方处理投标过程的一切事宜，包括但不限于：投标、参与开标、谈判、签约等。投标人代表在投标过程中所签署的一切文件和处理与之有关的一切事务，我方均予以认可并对此承担责任。投标人代表无转委权。</w:t>
      </w:r>
    </w:p>
    <w:p>
      <w:pPr>
        <w:snapToGrid w:val="0"/>
        <w:spacing w:line="360" w:lineRule="auto"/>
        <w:ind w:firstLine="480" w:firstLineChars="200"/>
        <w:rPr>
          <w:rFonts w:hint="eastAsia" w:cs="宋体"/>
          <w:sz w:val="24"/>
        </w:rPr>
      </w:pPr>
      <w:r>
        <w:rPr>
          <w:rFonts w:hint="eastAsia" w:cs="宋体"/>
          <w:sz w:val="24"/>
        </w:rPr>
        <w:t>特此授权。</w:t>
      </w:r>
    </w:p>
    <w:p>
      <w:pPr>
        <w:snapToGrid w:val="0"/>
        <w:spacing w:line="360" w:lineRule="auto"/>
        <w:ind w:firstLine="480" w:firstLineChars="200"/>
        <w:rPr>
          <w:rFonts w:hint="eastAsia" w:cs="宋体"/>
          <w:sz w:val="24"/>
        </w:rPr>
      </w:pPr>
      <w:r>
        <w:rPr>
          <w:rFonts w:hint="eastAsia" w:cs="宋体"/>
          <w:sz w:val="24"/>
        </w:rPr>
        <w:t>本授权书自出具之日起生效。</w:t>
      </w:r>
    </w:p>
    <w:p>
      <w:pPr>
        <w:snapToGrid w:val="0"/>
        <w:spacing w:line="360" w:lineRule="auto"/>
        <w:ind w:firstLine="480" w:firstLineChars="200"/>
        <w:rPr>
          <w:rFonts w:hint="eastAsia" w:cs="宋体"/>
          <w:sz w:val="24"/>
        </w:rPr>
      </w:pPr>
      <w:r>
        <w:rPr>
          <w:rFonts w:hint="eastAsia" w:cs="宋体"/>
          <w:sz w:val="24"/>
        </w:rPr>
        <w:t xml:space="preserve">投标人代表: </w:t>
      </w:r>
      <w:r>
        <w:rPr>
          <w:rFonts w:hint="eastAsia" w:cs="宋体"/>
          <w:sz w:val="24"/>
          <w:u w:val="single"/>
        </w:rPr>
        <w:t xml:space="preserve">                            </w:t>
      </w:r>
      <w:r>
        <w:rPr>
          <w:rFonts w:hint="eastAsia" w:cs="宋体"/>
          <w:sz w:val="24"/>
        </w:rPr>
        <w:t>性别：</w:t>
      </w:r>
      <w:r>
        <w:rPr>
          <w:rFonts w:hint="eastAsia" w:cs="宋体"/>
          <w:sz w:val="24"/>
          <w:u w:val="single"/>
        </w:rPr>
        <w:t xml:space="preserve">                   </w:t>
      </w:r>
    </w:p>
    <w:p>
      <w:pPr>
        <w:snapToGrid w:val="0"/>
        <w:spacing w:line="360" w:lineRule="auto"/>
        <w:ind w:firstLine="480" w:firstLineChars="200"/>
        <w:rPr>
          <w:rFonts w:hint="eastAsia" w:cs="宋体"/>
          <w:sz w:val="24"/>
          <w:u w:val="single"/>
        </w:rPr>
      </w:pPr>
      <w:r>
        <w:rPr>
          <w:rFonts w:hint="eastAsia" w:cs="宋体"/>
          <w:sz w:val="24"/>
        </w:rPr>
        <w:t>身份证号：</w:t>
      </w:r>
      <w:r>
        <w:rPr>
          <w:rFonts w:hint="eastAsia" w:cs="宋体"/>
          <w:sz w:val="24"/>
          <w:u w:val="single"/>
        </w:rPr>
        <w:t xml:space="preserve">                              </w:t>
      </w:r>
      <w:r>
        <w:rPr>
          <w:rFonts w:hint="eastAsia" w:cs="宋体"/>
          <w:sz w:val="24"/>
        </w:rPr>
        <w:t>单位:</w:t>
      </w:r>
      <w:r>
        <w:rPr>
          <w:rFonts w:hint="eastAsia" w:cs="宋体"/>
          <w:sz w:val="24"/>
          <w:u w:val="single"/>
        </w:rPr>
        <w:t xml:space="preserve">                    </w:t>
      </w:r>
    </w:p>
    <w:p>
      <w:pPr>
        <w:snapToGrid w:val="0"/>
        <w:spacing w:line="360" w:lineRule="auto"/>
        <w:ind w:firstLine="480" w:firstLineChars="200"/>
        <w:rPr>
          <w:rFonts w:hint="eastAsia" w:cs="宋体"/>
          <w:sz w:val="24"/>
          <w:u w:val="single"/>
        </w:rPr>
      </w:pPr>
      <w:r>
        <w:rPr>
          <w:rFonts w:hint="eastAsia" w:cs="宋体"/>
          <w:sz w:val="24"/>
        </w:rPr>
        <w:t>详细通讯地址：</w:t>
      </w:r>
      <w:r>
        <w:rPr>
          <w:rFonts w:hint="eastAsia" w:cs="宋体"/>
          <w:sz w:val="24"/>
          <w:u w:val="single"/>
        </w:rPr>
        <w:t xml:space="preserve">                          </w:t>
      </w:r>
      <w:r>
        <w:rPr>
          <w:rFonts w:hint="eastAsia" w:cs="宋体"/>
          <w:sz w:val="24"/>
        </w:rPr>
        <w:t>电话：</w:t>
      </w:r>
      <w:r>
        <w:rPr>
          <w:rFonts w:hint="eastAsia" w:cs="宋体"/>
          <w:sz w:val="24"/>
          <w:u w:val="single"/>
        </w:rPr>
        <w:t xml:space="preserve">                   </w:t>
      </w:r>
    </w:p>
    <w:p>
      <w:pPr>
        <w:snapToGrid w:val="0"/>
        <w:spacing w:line="360" w:lineRule="auto"/>
        <w:ind w:firstLine="480" w:firstLineChars="200"/>
        <w:rPr>
          <w:rFonts w:hint="eastAsia" w:cs="宋体"/>
          <w:sz w:val="24"/>
          <w:u w:val="single"/>
        </w:rPr>
      </w:pPr>
      <w:r>
        <w:rPr>
          <w:rFonts w:hint="eastAsia" w:cs="宋体"/>
          <w:sz w:val="24"/>
        </w:rPr>
        <w:t>邮箱：</w:t>
      </w:r>
      <w:r>
        <w:rPr>
          <w:rFonts w:hint="eastAsia" w:cs="宋体"/>
          <w:sz w:val="24"/>
          <w:u w:val="single"/>
        </w:rPr>
        <w:t xml:space="preserve">                                  </w:t>
      </w:r>
    </w:p>
    <w:p>
      <w:pPr>
        <w:snapToGrid w:val="0"/>
        <w:spacing w:line="360" w:lineRule="auto"/>
        <w:ind w:firstLine="480" w:firstLineChars="200"/>
        <w:rPr>
          <w:rFonts w:hint="eastAsia" w:cs="宋体"/>
          <w:sz w:val="24"/>
        </w:rPr>
      </w:pPr>
    </w:p>
    <w:p>
      <w:pPr>
        <w:snapToGrid w:val="0"/>
        <w:spacing w:line="360" w:lineRule="auto"/>
        <w:ind w:firstLine="480" w:firstLineChars="200"/>
        <w:rPr>
          <w:rFonts w:hint="eastAsia" w:cs="宋体"/>
          <w:sz w:val="24"/>
        </w:rPr>
      </w:pPr>
      <w:r>
        <w:rPr>
          <w:rFonts w:hint="eastAsia" w:cs="宋体"/>
          <w:sz w:val="24"/>
        </w:rPr>
        <w:t>授权方</w:t>
      </w:r>
    </w:p>
    <w:p>
      <w:pPr>
        <w:snapToGrid w:val="0"/>
        <w:spacing w:line="360" w:lineRule="auto"/>
        <w:ind w:firstLine="480" w:firstLineChars="200"/>
        <w:rPr>
          <w:rFonts w:cs="宋体"/>
          <w:sz w:val="24"/>
        </w:rPr>
      </w:pPr>
      <w:r>
        <w:rPr>
          <w:rFonts w:hint="eastAsia" w:cs="宋体"/>
          <w:sz w:val="24"/>
        </w:rPr>
        <w:t>投标人全称（加盖公章）：</w:t>
      </w:r>
      <w:r>
        <w:rPr>
          <w:rFonts w:hint="eastAsia" w:cs="宋体"/>
          <w:sz w:val="24"/>
          <w:u w:val="single"/>
        </w:rPr>
        <w:t xml:space="preserve">                              </w:t>
      </w:r>
    </w:p>
    <w:p>
      <w:pPr>
        <w:snapToGrid w:val="0"/>
        <w:spacing w:line="360" w:lineRule="auto"/>
        <w:ind w:firstLine="480" w:firstLineChars="200"/>
        <w:rPr>
          <w:rFonts w:hint="eastAsia" w:cs="宋体"/>
          <w:sz w:val="24"/>
        </w:rPr>
      </w:pPr>
      <w:r>
        <w:rPr>
          <w:rFonts w:hint="eastAsia" w:cs="宋体"/>
          <w:sz w:val="24"/>
        </w:rPr>
        <w:t>法定代表人（单位负责人）签字（或签章）：______________</w:t>
      </w:r>
    </w:p>
    <w:p>
      <w:pPr>
        <w:snapToGrid w:val="0"/>
        <w:spacing w:line="360" w:lineRule="auto"/>
        <w:ind w:firstLine="480" w:firstLineChars="200"/>
        <w:rPr>
          <w:rFonts w:hint="eastAsia" w:cs="宋体"/>
          <w:sz w:val="24"/>
        </w:rPr>
      </w:pPr>
    </w:p>
    <w:p>
      <w:pPr>
        <w:snapToGrid w:val="0"/>
        <w:spacing w:line="360" w:lineRule="auto"/>
        <w:ind w:firstLine="480" w:firstLineChars="200"/>
        <w:rPr>
          <w:rFonts w:hint="eastAsia" w:cs="宋体"/>
          <w:sz w:val="24"/>
        </w:rPr>
      </w:pPr>
      <w:r>
        <w:rPr>
          <w:rFonts w:hint="eastAsia" w:cs="宋体"/>
          <w:sz w:val="24"/>
        </w:rPr>
        <w:t>接受授权方</w:t>
      </w:r>
    </w:p>
    <w:p>
      <w:pPr>
        <w:snapToGrid w:val="0"/>
        <w:spacing w:line="360" w:lineRule="auto"/>
        <w:ind w:firstLine="480" w:firstLineChars="200"/>
        <w:rPr>
          <w:rFonts w:hint="eastAsia" w:cs="宋体"/>
          <w:sz w:val="24"/>
        </w:rPr>
      </w:pPr>
      <w:r>
        <w:rPr>
          <w:rFonts w:hint="eastAsia" w:cs="宋体"/>
          <w:sz w:val="24"/>
        </w:rPr>
        <w:t>投标人代表签字（或签章）：_____________________________</w:t>
      </w:r>
    </w:p>
    <w:p>
      <w:pPr>
        <w:snapToGrid w:val="0"/>
        <w:spacing w:line="360" w:lineRule="auto"/>
        <w:ind w:firstLine="480" w:firstLineChars="200"/>
        <w:rPr>
          <w:rFonts w:cs="宋体"/>
          <w:sz w:val="24"/>
        </w:rPr>
      </w:pPr>
      <w:r>
        <w:rPr>
          <w:rFonts w:hint="eastAsia" w:cs="宋体"/>
          <w:sz w:val="24"/>
        </w:rPr>
        <w:t>日 期：</w:t>
      </w:r>
      <w:r>
        <w:rPr>
          <w:rFonts w:hint="eastAsia" w:cs="宋体"/>
          <w:sz w:val="24"/>
          <w:u w:val="single"/>
        </w:rPr>
        <w:t xml:space="preserve">                                               </w:t>
      </w:r>
    </w:p>
    <w:p>
      <w:pPr>
        <w:snapToGrid w:val="0"/>
        <w:spacing w:line="360" w:lineRule="auto"/>
        <w:ind w:firstLine="480" w:firstLineChars="200"/>
        <w:rPr>
          <w:rFonts w:hint="eastAsia" w:cs="宋体"/>
          <w:sz w:val="24"/>
          <w:szCs w:val="24"/>
        </w:rPr>
      </w:pPr>
    </w:p>
    <w:p>
      <w:pPr>
        <w:snapToGrid w:val="0"/>
        <w:spacing w:line="360" w:lineRule="auto"/>
        <w:ind w:firstLine="480" w:firstLineChars="200"/>
        <w:rPr>
          <w:rFonts w:hint="eastAsia" w:cs="宋体"/>
          <w:b/>
          <w:bCs/>
          <w:sz w:val="36"/>
          <w:szCs w:val="36"/>
        </w:rPr>
      </w:pPr>
      <w:r>
        <w:rPr>
          <w:rFonts w:hint="eastAsia" w:cs="宋体"/>
          <w:sz w:val="24"/>
          <w:szCs w:val="24"/>
        </w:rPr>
        <w:t>后附：授权人和被授权人身份证复印件并加盖单位公章。</w:t>
      </w:r>
      <w:r>
        <w:rPr>
          <w:rFonts w:hint="eastAsia" w:cs="宋体"/>
          <w:sz w:val="23"/>
        </w:rPr>
        <w:br w:type="page"/>
      </w:r>
    </w:p>
    <w:p>
      <w:pPr>
        <w:spacing w:line="360" w:lineRule="auto"/>
        <w:jc w:val="center"/>
        <w:rPr>
          <w:rFonts w:hint="eastAsia" w:cs="宋体"/>
          <w:b/>
          <w:bCs/>
          <w:sz w:val="72"/>
          <w:szCs w:val="72"/>
        </w:rPr>
      </w:pPr>
      <w:r>
        <w:rPr>
          <w:sz w:val="7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250825</wp:posOffset>
                </wp:positionV>
                <wp:extent cx="5379720" cy="2864485"/>
                <wp:effectExtent l="4445" t="4445" r="6985" b="7620"/>
                <wp:wrapNone/>
                <wp:docPr id="1" name="矩形 1"/>
                <wp:cNvGraphicFramePr/>
                <a:graphic xmlns:a="http://schemas.openxmlformats.org/drawingml/2006/main">
                  <a:graphicData uri="http://schemas.microsoft.com/office/word/2010/wordprocessingShape">
                    <wps:wsp>
                      <wps:cNvSpPr/>
                      <wps:spPr>
                        <a:xfrm>
                          <a:off x="0" y="0"/>
                          <a:ext cx="5379720" cy="2864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pPr>
                            <w:r>
                              <w:rPr>
                                <w:rFonts w:hint="eastAsia" w:cs="宋体"/>
                                <w:b/>
                                <w:bCs/>
                                <w:sz w:val="23"/>
                              </w:rPr>
                              <w:t>授权人身份证复印件并加盖单位公章</w:t>
                            </w:r>
                          </w:p>
                        </w:txbxContent>
                      </wps:txbx>
                      <wps:bodyPr upright="1"/>
                    </wps:wsp>
                  </a:graphicData>
                </a:graphic>
              </wp:anchor>
            </w:drawing>
          </mc:Choice>
          <mc:Fallback>
            <w:pict>
              <v:rect id="_x0000_s1026" o:spid="_x0000_s1026" o:spt="1" style="position:absolute;left:0pt;margin-left:-4.75pt;margin-top:19.75pt;height:225.55pt;width:423.6pt;z-index:251659264;mso-width-relative:page;mso-height-relative:page;" fillcolor="#FFFFFF" filled="t" stroked="t" coordsize="21600,21600" o:gfxdata="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PtGm2QAAAAkBAAAPAAAAAAAAAAEAIAAAACIAAABkcnMvZG93bnJldi54bWxQSwECFAAUAAAA&#10;CACHTuJA9sBK4O0BAADqAwAADgAAAAAAAAABACAAAAAoAQAAZHJzL2Uyb0RvYy54bWxQSwUGAAAA&#10;AAYABgBZAQAAhwUAAAAA&#10;">
                <v:fill on="t" focussize="0,0"/>
                <v:stroke color="#000000" joinstyle="miter"/>
                <v:imagedata o:title=""/>
                <o:lock v:ext="edit" aspectratio="f"/>
                <v:textbox>
                  <w:txbxContent>
                    <w:p>
                      <w:pPr>
                        <w:jc w:val="left"/>
                      </w:pPr>
                      <w:r>
                        <w:rPr>
                          <w:rFonts w:hint="eastAsia" w:cs="宋体"/>
                          <w:b/>
                          <w:bCs/>
                          <w:sz w:val="23"/>
                        </w:rPr>
                        <w:t>授权人身份证复印件并加盖单位公章</w:t>
                      </w:r>
                    </w:p>
                  </w:txbxContent>
                </v:textbox>
              </v:rect>
            </w:pict>
          </mc:Fallback>
        </mc:AlternateContent>
      </w:r>
      <w:r>
        <w:rPr>
          <w:rFonts w:hint="eastAsia" w:cs="宋体"/>
          <w:b/>
          <w:bCs/>
          <w:sz w:val="72"/>
          <w:szCs w:val="72"/>
        </w:rPr>
        <w:t xml:space="preserve"> </w:t>
      </w: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r>
        <w:rPr>
          <w:rFonts w:cs="宋体"/>
          <w:kern w:val="0"/>
          <w:sz w:val="72"/>
          <w:szCs w:val="24"/>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592455</wp:posOffset>
                </wp:positionV>
                <wp:extent cx="5381625" cy="3037840"/>
                <wp:effectExtent l="4445" t="4445" r="5080" b="5715"/>
                <wp:wrapNone/>
                <wp:docPr id="2" name="矩形 2"/>
                <wp:cNvGraphicFramePr/>
                <a:graphic xmlns:a="http://schemas.openxmlformats.org/drawingml/2006/main">
                  <a:graphicData uri="http://schemas.microsoft.com/office/word/2010/wordprocessingShape">
                    <wps:wsp>
                      <wps:cNvSpPr/>
                      <wps:spPr>
                        <a:xfrm>
                          <a:off x="0" y="0"/>
                          <a:ext cx="5381625" cy="3037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cs="宋体"/>
                                <w:b/>
                                <w:bCs/>
                                <w:sz w:val="23"/>
                              </w:rPr>
                              <w:t>被授权人身份证复印件并加盖单位公章</w:t>
                            </w:r>
                          </w:p>
                          <w:p/>
                        </w:txbxContent>
                      </wps:txbx>
                      <wps:bodyPr upright="1"/>
                    </wps:wsp>
                  </a:graphicData>
                </a:graphic>
              </wp:anchor>
            </w:drawing>
          </mc:Choice>
          <mc:Fallback>
            <w:pict>
              <v:rect id="_x0000_s1026" o:spid="_x0000_s1026" o:spt="1" style="position:absolute;left:0pt;margin-left:-4.9pt;margin-top:46.65pt;height:239.2pt;width:423.75pt;z-index:251660288;mso-width-relative:page;mso-height-relative:page;" fillcolor="#FFFFFF" filled="t" stroked="t" coordsize="21600,21600" o:gfxdata="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BgLL2AAAAAkBAAAPAAAAAAAAAAEAIAAAACIAAABkcnMvZG93bnJldi54bWxQSwECFAAUAAAA&#10;CACHTuJAMY+pQ+4BAADqAwAADgAAAAAAAAABACAAAAAnAQAAZHJzL2Uyb0RvYy54bWxQSwUGAAAA&#10;AAYABgBZAQAAhwUAAAAA&#10;">
                <v:fill on="t" focussize="0,0"/>
                <v:stroke color="#000000" joinstyle="miter"/>
                <v:imagedata o:title=""/>
                <o:lock v:ext="edit" aspectratio="f"/>
                <v:textbox>
                  <w:txbxContent>
                    <w:p>
                      <w:r>
                        <w:rPr>
                          <w:rFonts w:hint="eastAsia" w:cs="宋体"/>
                          <w:b/>
                          <w:bCs/>
                          <w:sz w:val="23"/>
                        </w:rPr>
                        <w:t>被授权人身份证复印件并加盖单位公章</w:t>
                      </w:r>
                    </w:p>
                    <w:p/>
                  </w:txbxContent>
                </v:textbox>
              </v:rect>
            </w:pict>
          </mc:Fallback>
        </mc:AlternateContent>
      </w: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widowControl/>
        <w:spacing w:line="360" w:lineRule="auto"/>
        <w:jc w:val="center"/>
        <w:outlineLvl w:val="9"/>
        <w:rPr>
          <w:rFonts w:hint="eastAsia"/>
          <w:sz w:val="28"/>
          <w:szCs w:val="28"/>
        </w:rPr>
      </w:pPr>
      <w:r>
        <w:rPr>
          <w:rFonts w:hint="eastAsia"/>
          <w:sz w:val="28"/>
          <w:szCs w:val="28"/>
        </w:rPr>
        <w:br w:type="page"/>
      </w:r>
      <w:r>
        <w:rPr>
          <w:rFonts w:hint="eastAsia" w:ascii="Times New Roman" w:hAnsi="Times New Roman" w:cs="宋体"/>
          <w:b/>
          <w:bCs/>
          <w:kern w:val="0"/>
          <w:sz w:val="28"/>
          <w:szCs w:val="28"/>
        </w:rPr>
        <w:t>八、投标保证金缴交凭证</w:t>
      </w:r>
    </w:p>
    <w:p>
      <w:pPr>
        <w:widowControl/>
        <w:spacing w:line="360" w:lineRule="auto"/>
        <w:jc w:val="center"/>
        <w:rPr>
          <w:rFonts w:hint="eastAsia"/>
          <w:sz w:val="28"/>
          <w:szCs w:val="28"/>
        </w:rPr>
      </w:pPr>
      <w:r>
        <w:rPr>
          <w:rFonts w:hint="eastAsia"/>
          <w:sz w:val="28"/>
          <w:szCs w:val="28"/>
        </w:rPr>
        <w:t xml:space="preserve"> </w:t>
      </w:r>
    </w:p>
    <w:p>
      <w:pPr>
        <w:widowControl/>
        <w:spacing w:line="360" w:lineRule="auto"/>
        <w:rPr>
          <w:rFonts w:hint="eastAsia"/>
          <w:sz w:val="24"/>
          <w:szCs w:val="24"/>
        </w:rPr>
      </w:pPr>
      <w:r>
        <w:rPr>
          <w:rFonts w:hint="eastAsia"/>
          <w:sz w:val="24"/>
          <w:szCs w:val="24"/>
        </w:rPr>
        <w:t>1、在此项下提交的“投标保证金”材料可使用转账凭证复印件。</w:t>
      </w:r>
    </w:p>
    <w:p>
      <w:pPr>
        <w:widowControl/>
        <w:spacing w:line="360" w:lineRule="auto"/>
        <w:rPr>
          <w:rFonts w:hint="eastAsia"/>
          <w:sz w:val="24"/>
          <w:szCs w:val="24"/>
        </w:rPr>
      </w:pPr>
      <w:r>
        <w:rPr>
          <w:rFonts w:hint="eastAsia"/>
          <w:sz w:val="24"/>
          <w:szCs w:val="24"/>
        </w:rPr>
        <w:t>2、投标保证金是否已提交的认定按照招标文件第二章规定执行。</w:t>
      </w: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outlineLvl w:val="9"/>
        <w:rPr>
          <w:rFonts w:hint="eastAsia" w:ascii="Times New Roman" w:hAnsi="Times New Roman" w:cs="宋体"/>
          <w:b/>
          <w:bCs/>
          <w:kern w:val="0"/>
          <w:sz w:val="28"/>
          <w:szCs w:val="28"/>
        </w:rPr>
      </w:pPr>
      <w:r>
        <w:rPr>
          <w:rFonts w:hint="eastAsia" w:ascii="Times New Roman" w:hAnsi="Times New Roman" w:cs="宋体"/>
          <w:b/>
          <w:bCs/>
          <w:kern w:val="0"/>
          <w:sz w:val="28"/>
          <w:szCs w:val="28"/>
        </w:rPr>
        <w:t>九、投标人基本账户信息</w:t>
      </w:r>
    </w:p>
    <w:tbl>
      <w:tblPr>
        <w:tblStyle w:val="2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restart"/>
            <w:noWrap w:val="0"/>
            <w:vAlign w:val="center"/>
          </w:tcPr>
          <w:p>
            <w:pPr>
              <w:autoSpaceDE w:val="0"/>
              <w:autoSpaceDN w:val="0"/>
              <w:spacing w:line="300" w:lineRule="auto"/>
              <w:jc w:val="center"/>
              <w:rPr>
                <w:rFonts w:hint="eastAsia" w:cs="宋体"/>
                <w:kern w:val="0"/>
                <w:sz w:val="24"/>
                <w:szCs w:val="24"/>
                <w:lang w:val="zh-CN" w:bidi="zh-CN"/>
              </w:rPr>
            </w:pPr>
            <w:r>
              <w:rPr>
                <w:rFonts w:hint="eastAsia" w:cs="宋体"/>
                <w:kern w:val="0"/>
                <w:sz w:val="24"/>
                <w:szCs w:val="24"/>
                <w:lang w:val="zh-CN" w:bidi="zh-CN"/>
              </w:rPr>
              <w:t>基本账户</w:t>
            </w:r>
          </w:p>
          <w:p>
            <w:pPr>
              <w:autoSpaceDE w:val="0"/>
              <w:autoSpaceDN w:val="0"/>
              <w:spacing w:line="300" w:lineRule="auto"/>
              <w:jc w:val="center"/>
              <w:rPr>
                <w:rFonts w:hint="eastAsia" w:cs="宋体"/>
                <w:kern w:val="0"/>
                <w:sz w:val="24"/>
                <w:szCs w:val="24"/>
                <w:lang w:val="zh-CN" w:bidi="zh-CN"/>
              </w:rPr>
            </w:pPr>
            <w:r>
              <w:rPr>
                <w:rFonts w:hint="eastAsia" w:cs="宋体"/>
                <w:kern w:val="0"/>
                <w:sz w:val="24"/>
                <w:szCs w:val="24"/>
                <w:lang w:val="zh-CN" w:bidi="zh-CN"/>
              </w:rPr>
              <w:t>开户银行</w:t>
            </w: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continue"/>
            <w:noWrap w:val="0"/>
            <w:vAlign w:val="center"/>
          </w:tcPr>
          <w:p>
            <w:pPr>
              <w:autoSpaceDE w:val="0"/>
              <w:autoSpaceDN w:val="0"/>
              <w:jc w:val="left"/>
              <w:rPr>
                <w:rFonts w:cs="宋体"/>
                <w:kern w:val="0"/>
                <w:sz w:val="22"/>
                <w:lang w:val="zh-CN" w:bidi="zh-CN"/>
              </w:rPr>
            </w:pP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continue"/>
            <w:noWrap w:val="0"/>
            <w:vAlign w:val="center"/>
          </w:tcPr>
          <w:p>
            <w:pPr>
              <w:autoSpaceDE w:val="0"/>
              <w:autoSpaceDN w:val="0"/>
              <w:jc w:val="left"/>
              <w:rPr>
                <w:rFonts w:cs="宋体"/>
                <w:kern w:val="0"/>
                <w:sz w:val="22"/>
                <w:lang w:val="zh-CN" w:bidi="zh-CN"/>
              </w:rPr>
            </w:pPr>
          </w:p>
        </w:tc>
        <w:tc>
          <w:tcPr>
            <w:tcW w:w="3749" w:type="dxa"/>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电话：</w:t>
            </w:r>
          </w:p>
        </w:tc>
        <w:tc>
          <w:tcPr>
            <w:tcW w:w="3163" w:type="dxa"/>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continue"/>
            <w:noWrap w:val="0"/>
            <w:vAlign w:val="center"/>
          </w:tcPr>
          <w:p>
            <w:pPr>
              <w:autoSpaceDE w:val="0"/>
              <w:autoSpaceDN w:val="0"/>
              <w:jc w:val="left"/>
              <w:rPr>
                <w:rFonts w:cs="宋体"/>
                <w:kern w:val="0"/>
                <w:sz w:val="22"/>
                <w:lang w:val="zh-CN" w:bidi="zh-CN"/>
              </w:rPr>
            </w:pP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restart"/>
            <w:noWrap w:val="0"/>
            <w:vAlign w:val="center"/>
          </w:tcPr>
          <w:p>
            <w:pPr>
              <w:autoSpaceDE w:val="0"/>
              <w:autoSpaceDN w:val="0"/>
              <w:spacing w:line="300" w:lineRule="auto"/>
              <w:jc w:val="center"/>
              <w:rPr>
                <w:rFonts w:hint="eastAsia" w:cs="宋体"/>
                <w:kern w:val="0"/>
                <w:sz w:val="24"/>
                <w:szCs w:val="24"/>
                <w:lang w:val="zh-CN" w:bidi="zh-CN"/>
              </w:rPr>
            </w:pPr>
            <w:r>
              <w:rPr>
                <w:rFonts w:hint="eastAsia" w:cs="宋体"/>
                <w:kern w:val="0"/>
                <w:sz w:val="24"/>
                <w:szCs w:val="24"/>
                <w:lang w:val="zh-CN" w:bidi="zh-CN"/>
              </w:rPr>
              <w:t>基本账户</w:t>
            </w: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continue"/>
            <w:noWrap w:val="0"/>
            <w:vAlign w:val="center"/>
          </w:tcPr>
          <w:p>
            <w:pPr>
              <w:autoSpaceDE w:val="0"/>
              <w:autoSpaceDN w:val="0"/>
              <w:jc w:val="left"/>
              <w:rPr>
                <w:rFonts w:cs="宋体"/>
                <w:kern w:val="0"/>
                <w:sz w:val="22"/>
                <w:lang w:val="zh-CN" w:bidi="zh-CN"/>
              </w:rPr>
            </w:pP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账号：</w:t>
            </w:r>
          </w:p>
        </w:tc>
      </w:tr>
    </w:tbl>
    <w:p>
      <w:pPr>
        <w:autoSpaceDE w:val="0"/>
        <w:autoSpaceDN w:val="0"/>
        <w:spacing w:line="300" w:lineRule="auto"/>
        <w:ind w:firstLine="6090"/>
        <w:jc w:val="left"/>
        <w:rPr>
          <w:rFonts w:hint="eastAsia" w:cs="宋体"/>
          <w:kern w:val="0"/>
          <w:sz w:val="24"/>
          <w:szCs w:val="24"/>
          <w:lang w:val="zh-CN" w:bidi="zh-CN"/>
        </w:rPr>
      </w:pPr>
    </w:p>
    <w:p>
      <w:pPr>
        <w:adjustRightInd w:val="0"/>
        <w:spacing w:line="300" w:lineRule="auto"/>
        <w:textAlignment w:val="baseline"/>
        <w:rPr>
          <w:rFonts w:hint="eastAsia"/>
          <w:sz w:val="24"/>
          <w:szCs w:val="24"/>
          <w:lang w:val="zh-CN"/>
        </w:rPr>
      </w:pPr>
      <w:r>
        <w:rPr>
          <w:rFonts w:hint="eastAsia"/>
          <w:sz w:val="24"/>
          <w:szCs w:val="24"/>
          <w:lang w:val="zh-CN"/>
        </w:rPr>
        <w:t xml:space="preserve">                               投标人：</w:t>
      </w:r>
      <w:r>
        <w:rPr>
          <w:rFonts w:hint="eastAsia"/>
          <w:sz w:val="24"/>
          <w:szCs w:val="24"/>
          <w:u w:val="single"/>
          <w:lang w:val="zh-CN"/>
        </w:rPr>
        <w:t xml:space="preserve">                   </w:t>
      </w:r>
      <w:r>
        <w:rPr>
          <w:rFonts w:hint="eastAsia"/>
          <w:sz w:val="24"/>
          <w:szCs w:val="24"/>
          <w:lang w:val="zh-CN"/>
        </w:rPr>
        <w:t>(盖单位公章)</w:t>
      </w:r>
    </w:p>
    <w:p>
      <w:pPr>
        <w:autoSpaceDE w:val="0"/>
        <w:autoSpaceDN w:val="0"/>
        <w:spacing w:line="300" w:lineRule="auto"/>
        <w:ind w:firstLine="6090"/>
        <w:jc w:val="left"/>
        <w:rPr>
          <w:rFonts w:hint="eastAsia" w:cs="宋体"/>
          <w:kern w:val="0"/>
          <w:sz w:val="24"/>
          <w:szCs w:val="24"/>
          <w:lang w:val="zh-CN" w:bidi="zh-CN"/>
        </w:rPr>
      </w:pPr>
    </w:p>
    <w:p>
      <w:pPr>
        <w:autoSpaceDE w:val="0"/>
        <w:autoSpaceDN w:val="0"/>
        <w:adjustRightInd w:val="0"/>
        <w:snapToGrid w:val="0"/>
        <w:spacing w:line="300" w:lineRule="auto"/>
        <w:ind w:firstLine="480" w:firstLineChars="200"/>
        <w:jc w:val="left"/>
        <w:rPr>
          <w:rFonts w:hint="eastAsia" w:cs="宋体"/>
          <w:bCs/>
          <w:kern w:val="0"/>
          <w:sz w:val="24"/>
          <w:szCs w:val="24"/>
          <w:lang w:val="zh-CN" w:bidi="zh-CN"/>
        </w:rPr>
      </w:pPr>
      <w:r>
        <w:rPr>
          <w:rFonts w:hint="eastAsia" w:cs="宋体"/>
          <w:bCs/>
          <w:kern w:val="0"/>
          <w:sz w:val="24"/>
          <w:szCs w:val="24"/>
          <w:lang w:bidi="zh-CN"/>
        </w:rPr>
        <w:t>后附</w:t>
      </w:r>
      <w:r>
        <w:rPr>
          <w:rFonts w:hint="eastAsia" w:cs="宋体"/>
          <w:bCs/>
          <w:kern w:val="0"/>
          <w:sz w:val="24"/>
          <w:szCs w:val="24"/>
          <w:lang w:val="zh-CN" w:bidi="zh-CN"/>
        </w:rPr>
        <w:t>：投标人应附上中国人民银行发出的投标人企业基本账户许可证复印件或基本存款账户开户银行开具的《基本存款账户信息》复印件</w:t>
      </w:r>
      <w:r>
        <w:rPr>
          <w:rFonts w:hint="eastAsia" w:cs="宋体"/>
          <w:bCs/>
          <w:kern w:val="0"/>
          <w:sz w:val="24"/>
          <w:szCs w:val="24"/>
          <w:lang w:bidi="zh-CN"/>
        </w:rPr>
        <w:t>或开户许可证复印件并</w:t>
      </w:r>
      <w:r>
        <w:rPr>
          <w:rFonts w:hint="eastAsia" w:cs="宋体"/>
          <w:bCs/>
          <w:kern w:val="0"/>
          <w:sz w:val="24"/>
          <w:szCs w:val="24"/>
          <w:lang w:val="zh-CN" w:bidi="zh-CN"/>
        </w:rPr>
        <w:t>加盖投标人单位公章。</w:t>
      </w: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outlineLvl w:val="9"/>
        <w:rPr>
          <w:rFonts w:hint="eastAsia" w:cs="宋体"/>
          <w:b/>
          <w:bCs/>
          <w:kern w:val="0"/>
          <w:sz w:val="28"/>
          <w:szCs w:val="28"/>
        </w:rPr>
      </w:pPr>
      <w:r>
        <w:rPr>
          <w:rFonts w:hint="eastAsia" w:cs="宋体"/>
          <w:b/>
          <w:bCs/>
          <w:kern w:val="0"/>
          <w:sz w:val="28"/>
          <w:szCs w:val="28"/>
        </w:rPr>
        <w:t>十、</w:t>
      </w:r>
      <w:bookmarkStart w:id="867" w:name="_Toc148459151"/>
      <w:r>
        <w:rPr>
          <w:rFonts w:hint="eastAsia" w:cs="宋体"/>
          <w:b/>
          <w:bCs/>
          <w:kern w:val="0"/>
          <w:sz w:val="28"/>
          <w:szCs w:val="28"/>
        </w:rPr>
        <w:t>投标人提交的其它资料</w:t>
      </w:r>
      <w:bookmarkEnd w:id="867"/>
    </w:p>
    <w:p>
      <w:pPr>
        <w:rPr>
          <w:rFonts w:hint="eastAsia" w:cs="宋体"/>
          <w:sz w:val="24"/>
        </w:rPr>
      </w:pPr>
      <w:r>
        <w:rPr>
          <w:rFonts w:hint="eastAsia" w:cs="宋体"/>
          <w:sz w:val="24"/>
        </w:rPr>
        <w:t xml:space="preserve"> </w:t>
      </w:r>
    </w:p>
    <w:p>
      <w:pPr>
        <w:spacing w:line="360" w:lineRule="auto"/>
        <w:ind w:firstLine="480" w:firstLineChars="200"/>
        <w:rPr>
          <w:rFonts w:hint="eastAsia" w:cs="宋体"/>
          <w:b/>
          <w:bCs/>
          <w:sz w:val="36"/>
          <w:szCs w:val="36"/>
        </w:rPr>
      </w:pPr>
      <w:r>
        <w:rPr>
          <w:rFonts w:hint="eastAsia" w:cs="宋体"/>
          <w:sz w:val="24"/>
        </w:rPr>
        <w:t>投标人认为应提交的其他材料，可在此附件中提交。</w:t>
      </w:r>
    </w:p>
    <w:p>
      <w:pPr>
        <w:rPr>
          <w:rFonts w:hint="eastAsia" w:cs="宋体"/>
          <w:sz w:val="28"/>
          <w:szCs w:val="28"/>
        </w:rPr>
      </w:pPr>
      <w:r>
        <w:rPr>
          <w:rFonts w:hint="eastAsia" w:cs="宋体"/>
          <w:sz w:val="28"/>
          <w:szCs w:val="28"/>
        </w:rPr>
        <w:t xml:space="preserve"> </w:t>
      </w:r>
    </w:p>
    <w:p>
      <w:pPr>
        <w:autoSpaceDE w:val="0"/>
        <w:autoSpaceDN w:val="0"/>
        <w:adjustRightInd w:val="0"/>
        <w:jc w:val="left"/>
        <w:rPr>
          <w:rFonts w:hint="eastAsia" w:cs="宋体"/>
          <w:kern w:val="0"/>
          <w:sz w:val="28"/>
          <w:szCs w:val="28"/>
        </w:rPr>
      </w:pPr>
    </w:p>
    <w:p>
      <w:pPr>
        <w:autoSpaceDE w:val="0"/>
        <w:autoSpaceDN w:val="0"/>
        <w:adjustRightInd w:val="0"/>
        <w:jc w:val="left"/>
        <w:rPr>
          <w:rFonts w:hint="eastAsia" w:cs="宋体"/>
          <w:kern w:val="0"/>
          <w:sz w:val="28"/>
          <w:szCs w:val="28"/>
        </w:rPr>
      </w:pPr>
    </w:p>
    <w:p>
      <w:pPr>
        <w:spacing w:line="480" w:lineRule="auto"/>
        <w:ind w:firstLine="420" w:firstLineChars="200"/>
        <w:jc w:val="right"/>
        <w:rPr>
          <w:rFonts w:hint="eastAsia"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48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spacing w:line="380" w:lineRule="exact"/>
        <w:rPr>
          <w:rFonts w:hint="eastAsia" w:cs="宋体"/>
          <w:b/>
          <w:bCs/>
          <w:szCs w:val="21"/>
          <w:u w:val="single"/>
        </w:rPr>
      </w:pPr>
    </w:p>
    <w:p>
      <w:pPr>
        <w:rPr>
          <w:rFonts w:hint="eastAsia" w:cs="宋体"/>
        </w:rPr>
      </w:pPr>
      <w:r>
        <w:rPr>
          <w:rFonts w:hint="eastAsia" w:cs="宋体"/>
        </w:rPr>
        <w:t xml:space="preserve"> </w:t>
      </w:r>
    </w:p>
    <w:p>
      <w:pPr>
        <w:ind w:firstLine="643" w:firstLineChars="201"/>
        <w:rPr>
          <w:rFonts w:hint="eastAsia" w:cs="宋体"/>
          <w:sz w:val="32"/>
          <w:szCs w:val="32"/>
        </w:rPr>
      </w:pPr>
    </w:p>
    <w:p>
      <w:pPr>
        <w:rPr>
          <w:rFonts w:hint="eastAsia" w:cs="宋体"/>
        </w:rPr>
      </w:pPr>
    </w:p>
    <w:p>
      <w:pPr>
        <w:rPr>
          <w:rFonts w:hint="eastAsia" w:cs="宋体"/>
        </w:rPr>
      </w:pPr>
    </w:p>
    <w:p/>
    <w:p/>
    <w:p/>
    <w:p/>
    <w:p/>
    <w:p/>
    <w:p>
      <w:pPr>
        <w:keepNext/>
        <w:keepLines/>
        <w:spacing w:before="156" w:beforeLines="50" w:after="156" w:afterLines="50" w:line="415" w:lineRule="auto"/>
        <w:jc w:val="center"/>
        <w:outlineLvl w:val="1"/>
        <w:rPr>
          <w:rFonts w:ascii="Cambria" w:hAnsi="Cambria" w:cs="宋体"/>
          <w:b/>
          <w:bCs/>
          <w:kern w:val="0"/>
          <w:sz w:val="32"/>
          <w:szCs w:val="32"/>
        </w:rPr>
      </w:pPr>
    </w:p>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spacing w:line="360" w:lineRule="auto"/>
        <w:ind w:firstLine="420"/>
        <w:jc w:val="right"/>
        <w:rPr>
          <w:rFonts w:hint="eastAsia" w:cs="宋体"/>
          <w:b/>
          <w:bCs/>
          <w:kern w:val="0"/>
          <w:sz w:val="72"/>
          <w:szCs w:val="72"/>
        </w:rPr>
      </w:pPr>
      <w:r>
        <w:rPr>
          <w:rFonts w:hint="eastAsia" w:cs="宋体"/>
          <w:b/>
          <w:bCs/>
          <w:kern w:val="0"/>
          <w:sz w:val="36"/>
          <w:szCs w:val="36"/>
        </w:rPr>
        <w:t xml:space="preserve"> （正/副本）</w:t>
      </w:r>
    </w:p>
    <w:p>
      <w:pPr>
        <w:spacing w:line="360" w:lineRule="auto"/>
        <w:jc w:val="center"/>
        <w:rPr>
          <w:rFonts w:hint="eastAsia" w:cs="宋体"/>
          <w:b/>
          <w:bCs/>
          <w:sz w:val="72"/>
          <w:szCs w:val="72"/>
        </w:rPr>
      </w:pPr>
      <w:r>
        <w:rPr>
          <w:rFonts w:hint="eastAsia" w:cs="宋体"/>
          <w:b/>
          <w:bCs/>
          <w:sz w:val="72"/>
          <w:szCs w:val="72"/>
        </w:rPr>
        <w:t xml:space="preserve"> </w:t>
      </w:r>
    </w:p>
    <w:p>
      <w:pPr>
        <w:spacing w:line="360" w:lineRule="auto"/>
        <w:jc w:val="center"/>
        <w:outlineLvl w:val="1"/>
        <w:rPr>
          <w:rFonts w:hint="eastAsia" w:cs="宋体"/>
          <w:b/>
          <w:bCs/>
          <w:sz w:val="72"/>
          <w:szCs w:val="72"/>
        </w:rPr>
      </w:pPr>
      <w:bookmarkStart w:id="868" w:name="_Toc12103"/>
      <w:bookmarkStart w:id="869" w:name="_Toc16406"/>
      <w:bookmarkStart w:id="870" w:name="_Toc6317"/>
      <w:bookmarkStart w:id="871" w:name="_Toc14104"/>
      <w:bookmarkStart w:id="872" w:name="_Toc26602"/>
      <w:bookmarkStart w:id="873" w:name="_Toc21066"/>
      <w:r>
        <w:rPr>
          <w:rFonts w:hint="eastAsia" w:cs="宋体"/>
          <w:b/>
          <w:bCs/>
          <w:sz w:val="72"/>
          <w:szCs w:val="72"/>
        </w:rPr>
        <w:t>投  标  文  件</w:t>
      </w:r>
      <w:bookmarkEnd w:id="868"/>
      <w:bookmarkEnd w:id="869"/>
      <w:bookmarkEnd w:id="870"/>
      <w:bookmarkEnd w:id="871"/>
      <w:bookmarkEnd w:id="872"/>
      <w:bookmarkEnd w:id="873"/>
    </w:p>
    <w:p>
      <w:pPr>
        <w:spacing w:line="360" w:lineRule="auto"/>
        <w:jc w:val="center"/>
        <w:outlineLvl w:val="1"/>
        <w:rPr>
          <w:rFonts w:hint="eastAsia" w:cs="宋体"/>
          <w:b/>
          <w:bCs/>
          <w:sz w:val="36"/>
          <w:szCs w:val="36"/>
        </w:rPr>
      </w:pPr>
      <w:bookmarkStart w:id="874" w:name="_Toc20581"/>
      <w:bookmarkStart w:id="875" w:name="_Toc30331"/>
      <w:bookmarkStart w:id="876" w:name="_Toc8144"/>
      <w:bookmarkStart w:id="877" w:name="_Toc797"/>
      <w:bookmarkStart w:id="878" w:name="_Toc19214"/>
      <w:bookmarkStart w:id="879" w:name="_Toc15064"/>
      <w:r>
        <w:rPr>
          <w:rFonts w:hint="eastAsia" w:cs="宋体"/>
          <w:b/>
          <w:bCs/>
          <w:sz w:val="36"/>
          <w:szCs w:val="36"/>
        </w:rPr>
        <w:t>（技术文件）</w:t>
      </w:r>
      <w:bookmarkEnd w:id="874"/>
      <w:bookmarkEnd w:id="875"/>
      <w:bookmarkEnd w:id="876"/>
      <w:bookmarkEnd w:id="877"/>
      <w:bookmarkEnd w:id="878"/>
      <w:bookmarkEnd w:id="879"/>
    </w:p>
    <w:p>
      <w:pPr>
        <w:spacing w:line="360" w:lineRule="auto"/>
        <w:jc w:val="center"/>
        <w:rPr>
          <w:rFonts w:hint="eastAsia" w:cs="宋体"/>
          <w:b/>
          <w:bCs/>
          <w:sz w:val="36"/>
          <w:szCs w:val="36"/>
        </w:rPr>
      </w:pPr>
    </w:p>
    <w:p>
      <w:pPr>
        <w:spacing w:line="360" w:lineRule="auto"/>
        <w:jc w:val="center"/>
        <w:rPr>
          <w:rFonts w:hint="eastAsia" w:cs="宋体"/>
          <w:b/>
          <w:bCs/>
          <w:sz w:val="36"/>
          <w:szCs w:val="36"/>
        </w:rPr>
      </w:pPr>
      <w:r>
        <w:rPr>
          <w:rFonts w:hint="eastAsia" w:cs="宋体"/>
          <w:b/>
          <w:bCs/>
          <w:sz w:val="36"/>
          <w:szCs w:val="36"/>
        </w:rPr>
        <w:t xml:space="preserve"> </w:t>
      </w:r>
    </w:p>
    <w:p>
      <w:pPr>
        <w:spacing w:line="360" w:lineRule="auto"/>
        <w:ind w:firstLine="1084" w:firstLineChars="300"/>
        <w:rPr>
          <w:rFonts w:hint="eastAsia" w:cs="宋体"/>
          <w:b/>
          <w:bCs/>
          <w:sz w:val="36"/>
          <w:szCs w:val="36"/>
        </w:rPr>
      </w:pPr>
      <w:r>
        <w:rPr>
          <w:rFonts w:hint="eastAsia" w:cs="宋体"/>
          <w:b/>
          <w:bCs/>
          <w:sz w:val="36"/>
          <w:szCs w:val="36"/>
        </w:rPr>
        <w:t>项 目 名 称：</w:t>
      </w:r>
      <w:r>
        <w:rPr>
          <w:rFonts w:hint="eastAsia" w:cs="宋体"/>
          <w:b/>
          <w:bCs/>
          <w:sz w:val="36"/>
          <w:szCs w:val="36"/>
          <w:u w:val="single"/>
        </w:rPr>
        <w:t xml:space="preserve">               </w:t>
      </w:r>
    </w:p>
    <w:p>
      <w:pPr>
        <w:spacing w:line="360" w:lineRule="auto"/>
        <w:ind w:firstLine="1084" w:firstLineChars="300"/>
        <w:rPr>
          <w:rFonts w:hint="eastAsia" w:cs="宋体"/>
          <w:b/>
          <w:bCs/>
          <w:sz w:val="36"/>
          <w:szCs w:val="36"/>
          <w:u w:val="single"/>
        </w:rPr>
      </w:pPr>
      <w:r>
        <w:rPr>
          <w:rFonts w:hint="eastAsia" w:cs="宋体"/>
          <w:b/>
          <w:bCs/>
          <w:sz w:val="36"/>
          <w:szCs w:val="36"/>
        </w:rPr>
        <w:t>招 标 编 号：</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autoSpaceDE w:val="0"/>
        <w:autoSpaceDN w:val="0"/>
        <w:adjustRightInd w:val="0"/>
        <w:jc w:val="left"/>
        <w:rPr>
          <w:rFonts w:hint="eastAsia" w:cs="宋体"/>
          <w:b/>
          <w:bCs/>
          <w:kern w:val="0"/>
          <w:sz w:val="36"/>
          <w:szCs w:val="36"/>
        </w:rPr>
      </w:pPr>
    </w:p>
    <w:p>
      <w:pPr>
        <w:autoSpaceDE w:val="0"/>
        <w:autoSpaceDN w:val="0"/>
        <w:adjustRightInd w:val="0"/>
        <w:jc w:val="left"/>
        <w:rPr>
          <w:rFonts w:hint="eastAsia" w:cs="宋体"/>
          <w:b/>
          <w:bCs/>
          <w:kern w:val="0"/>
          <w:sz w:val="36"/>
          <w:szCs w:val="36"/>
        </w:rPr>
      </w:pP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u w:val="single"/>
        </w:rPr>
      </w:pPr>
      <w:r>
        <w:rPr>
          <w:rFonts w:hint="eastAsia" w:cs="宋体"/>
          <w:b/>
          <w:bCs/>
          <w:sz w:val="36"/>
          <w:szCs w:val="36"/>
        </w:rPr>
        <w:t xml:space="preserve">       投标人名称 ：</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日      期 ：</w:t>
      </w:r>
      <w:r>
        <w:rPr>
          <w:rFonts w:hint="eastAsia" w:cs="宋体"/>
          <w:b/>
          <w:bCs/>
          <w:sz w:val="36"/>
          <w:szCs w:val="36"/>
          <w:u w:val="single"/>
        </w:rPr>
        <w:t xml:space="preserve">               </w:t>
      </w:r>
    </w:p>
    <w:p>
      <w:pPr>
        <w:spacing w:line="360" w:lineRule="auto"/>
        <w:rPr>
          <w:rFonts w:hint="eastAsia" w:cs="宋体"/>
          <w:sz w:val="24"/>
        </w:rPr>
      </w:pPr>
      <w:r>
        <w:rPr>
          <w:rFonts w:hint="eastAsia" w:cs="宋体"/>
          <w:sz w:val="24"/>
        </w:rPr>
        <w:t xml:space="preserve"> </w:t>
      </w:r>
    </w:p>
    <w:p>
      <w:pPr>
        <w:keepNext/>
        <w:keepLines/>
        <w:spacing w:before="156" w:beforeLines="50" w:after="156" w:afterLines="50" w:line="415" w:lineRule="auto"/>
        <w:jc w:val="center"/>
        <w:outlineLvl w:val="9"/>
        <w:rPr>
          <w:rFonts w:hint="eastAsia" w:cs="宋体"/>
          <w:kern w:val="0"/>
          <w:sz w:val="36"/>
          <w:szCs w:val="36"/>
        </w:rPr>
      </w:pPr>
      <w:r>
        <w:rPr>
          <w:rFonts w:hint="eastAsia" w:cs="宋体"/>
          <w:b/>
          <w:bCs/>
          <w:kern w:val="0"/>
          <w:sz w:val="32"/>
          <w:szCs w:val="32"/>
        </w:rPr>
        <w:br w:type="page"/>
      </w:r>
      <w:bookmarkStart w:id="880" w:name="_Toc148459152"/>
      <w:r>
        <w:rPr>
          <w:rFonts w:hint="eastAsia" w:cs="宋体"/>
          <w:kern w:val="0"/>
          <w:sz w:val="36"/>
          <w:szCs w:val="36"/>
        </w:rPr>
        <w:t>目 录</w:t>
      </w:r>
      <w:bookmarkEnd w:id="880"/>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一、技术评分索引表</w:t>
      </w:r>
    </w:p>
    <w:p>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二、技术和商务偏离表</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三、设备技术方案</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四、设备供货组织方案</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五、设备售后服务方案</w:t>
      </w:r>
    </w:p>
    <w:p>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六、其他</w:t>
      </w: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pStyle w:val="65"/>
        <w:rPr>
          <w:rFonts w:hint="eastAsia"/>
          <w:color w:val="auto"/>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center"/>
        <w:rPr>
          <w:rFonts w:hint="eastAsia" w:cs="宋体"/>
          <w:b/>
          <w:bCs/>
          <w:kern w:val="0"/>
          <w:sz w:val="28"/>
          <w:szCs w:val="28"/>
        </w:rPr>
      </w:pPr>
    </w:p>
    <w:p>
      <w:pPr>
        <w:autoSpaceDE w:val="0"/>
        <w:autoSpaceDN w:val="0"/>
        <w:adjustRightInd w:val="0"/>
        <w:snapToGrid w:val="0"/>
        <w:spacing w:line="480" w:lineRule="auto"/>
        <w:jc w:val="center"/>
        <w:rPr>
          <w:rFonts w:hint="eastAsia" w:cs="宋体"/>
          <w:b/>
          <w:bCs/>
          <w:kern w:val="0"/>
          <w:sz w:val="28"/>
          <w:szCs w:val="28"/>
        </w:rPr>
      </w:pPr>
    </w:p>
    <w:p>
      <w:pPr>
        <w:autoSpaceDE w:val="0"/>
        <w:autoSpaceDN w:val="0"/>
        <w:adjustRightInd w:val="0"/>
        <w:snapToGrid w:val="0"/>
        <w:spacing w:line="480" w:lineRule="auto"/>
        <w:jc w:val="center"/>
        <w:rPr>
          <w:rFonts w:hint="eastAsia" w:cs="宋体"/>
          <w:b/>
          <w:bCs/>
          <w:kern w:val="0"/>
          <w:sz w:val="28"/>
          <w:szCs w:val="28"/>
        </w:rPr>
      </w:pPr>
      <w:r>
        <w:rPr>
          <w:rFonts w:hint="eastAsia" w:cs="宋体"/>
          <w:b/>
          <w:bCs/>
          <w:kern w:val="0"/>
          <w:sz w:val="28"/>
          <w:szCs w:val="28"/>
        </w:rPr>
        <w:t>一、技术评分索引表</w:t>
      </w:r>
    </w:p>
    <w:p>
      <w:pPr>
        <w:autoSpaceDE w:val="0"/>
        <w:autoSpaceDN w:val="0"/>
        <w:adjustRightInd w:val="0"/>
        <w:snapToGrid w:val="0"/>
        <w:spacing w:line="480" w:lineRule="auto"/>
        <w:rPr>
          <w:rFonts w:hint="eastAsia" w:cs="宋体"/>
          <w:b/>
          <w:bCs/>
          <w:kern w:val="0"/>
          <w:sz w:val="28"/>
          <w:szCs w:val="28"/>
        </w:rPr>
      </w:pPr>
      <w:r>
        <w:rPr>
          <w:rFonts w:hint="eastAsia" w:cs="宋体"/>
          <w:kern w:val="0"/>
          <w:sz w:val="24"/>
          <w:szCs w:val="24"/>
        </w:rPr>
        <w:t>项目名称：</w:t>
      </w:r>
      <w:r>
        <w:rPr>
          <w:rFonts w:hint="eastAsia" w:cs="宋体"/>
          <w:kern w:val="0"/>
          <w:sz w:val="24"/>
          <w:szCs w:val="24"/>
          <w:u w:val="single"/>
        </w:rPr>
        <w:t xml:space="preserve">                  </w:t>
      </w:r>
      <w:r>
        <w:rPr>
          <w:rFonts w:hint="eastAsia" w:cs="宋体"/>
          <w:kern w:val="0"/>
          <w:sz w:val="24"/>
          <w:szCs w:val="24"/>
        </w:rPr>
        <w:t xml:space="preserve">        招标编号：</w:t>
      </w:r>
      <w:r>
        <w:rPr>
          <w:rFonts w:hint="eastAsia" w:cs="宋体"/>
          <w:kern w:val="0"/>
          <w:sz w:val="24"/>
          <w:szCs w:val="24"/>
          <w:u w:val="single"/>
        </w:rPr>
        <w:t xml:space="preserve">                      </w:t>
      </w:r>
    </w:p>
    <w:tbl>
      <w:tblPr>
        <w:tblStyle w:val="28"/>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03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宋体"/>
                <w:sz w:val="24"/>
              </w:rPr>
              <w:t>序号</w:t>
            </w:r>
          </w:p>
        </w:tc>
        <w:tc>
          <w:tcPr>
            <w:tcW w:w="703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宋体"/>
                <w:sz w:val="24"/>
              </w:rPr>
              <w:t>评审项目</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Arial"/>
                <w:kern w:val="10"/>
                <w:sz w:val="24"/>
                <w:szCs w:val="24"/>
              </w:rPr>
              <w:t>1-</w:t>
            </w:r>
            <w:r>
              <w:rPr>
                <w:rFonts w:hint="eastAsia" w:cs="Arial"/>
                <w:kern w:val="10"/>
                <w:sz w:val="24"/>
                <w:szCs w:val="24"/>
                <w:lang w:val="en-US" w:eastAsia="zh-CN"/>
              </w:rPr>
              <w:t>1</w:t>
            </w:r>
          </w:p>
        </w:tc>
        <w:tc>
          <w:tcPr>
            <w:tcW w:w="7032" w:type="dxa"/>
            <w:tcBorders>
              <w:top w:val="single" w:color="auto" w:sz="4" w:space="0"/>
              <w:left w:val="nil"/>
              <w:bottom w:val="single" w:color="auto" w:sz="4" w:space="0"/>
              <w:right w:val="single" w:color="auto" w:sz="4" w:space="0"/>
            </w:tcBorders>
            <w:noWrap w:val="0"/>
            <w:vAlign w:val="center"/>
          </w:tcPr>
          <w:p>
            <w:pPr>
              <w:widowControl/>
              <w:spacing w:line="360" w:lineRule="auto"/>
              <w:textAlignment w:val="center"/>
              <w:rPr>
                <w:rFonts w:hint="eastAsia" w:cs="宋体"/>
                <w:sz w:val="24"/>
              </w:rPr>
            </w:pPr>
            <w:r>
              <w:rPr>
                <w:rFonts w:hint="eastAsia" w:cs="宋体"/>
                <w:kern w:val="0"/>
                <w:sz w:val="24"/>
                <w:szCs w:val="24"/>
                <w:lang w:bidi="ar"/>
              </w:rPr>
              <w:t>根据方案的优劣程度进行评价</w:t>
            </w:r>
          </w:p>
        </w:tc>
        <w:tc>
          <w:tcPr>
            <w:tcW w:w="8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Arial"/>
                <w:kern w:val="10"/>
                <w:sz w:val="24"/>
                <w:szCs w:val="24"/>
              </w:rPr>
              <w:t>1-</w:t>
            </w:r>
            <w:r>
              <w:rPr>
                <w:rFonts w:hint="eastAsia" w:cs="Arial"/>
                <w:kern w:val="10"/>
                <w:sz w:val="24"/>
                <w:szCs w:val="24"/>
                <w:lang w:val="en-US" w:eastAsia="zh-CN"/>
              </w:rPr>
              <w:t>2</w:t>
            </w:r>
          </w:p>
        </w:tc>
        <w:tc>
          <w:tcPr>
            <w:tcW w:w="7032" w:type="dxa"/>
            <w:tcBorders>
              <w:top w:val="single" w:color="auto" w:sz="4" w:space="0"/>
              <w:left w:val="nil"/>
              <w:bottom w:val="single" w:color="auto" w:sz="4" w:space="0"/>
              <w:right w:val="single" w:color="auto" w:sz="4" w:space="0"/>
            </w:tcBorders>
            <w:noWrap w:val="0"/>
            <w:vAlign w:val="center"/>
          </w:tcPr>
          <w:p>
            <w:pPr>
              <w:spacing w:line="400" w:lineRule="exact"/>
              <w:rPr>
                <w:rFonts w:hint="eastAsia" w:cs="宋体"/>
                <w:sz w:val="24"/>
              </w:rPr>
            </w:pPr>
            <w:r>
              <w:rPr>
                <w:rFonts w:hint="eastAsia" w:cs="仿宋"/>
                <w:sz w:val="24"/>
                <w:szCs w:val="24"/>
              </w:rPr>
              <w:t>投标人提供的供货组织方案（人员配备、运输、安装调试、培训计划等）内容完整、合理可行。</w:t>
            </w:r>
            <w:r>
              <w:rPr>
                <w:rFonts w:hint="eastAsia"/>
                <w:sz w:val="24"/>
                <w:szCs w:val="24"/>
              </w:rPr>
              <w:t>以综合评审质量等级评分</w:t>
            </w:r>
          </w:p>
        </w:tc>
        <w:tc>
          <w:tcPr>
            <w:tcW w:w="8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Arial"/>
                <w:kern w:val="10"/>
                <w:sz w:val="24"/>
                <w:szCs w:val="24"/>
              </w:rPr>
              <w:t>1-</w:t>
            </w:r>
            <w:r>
              <w:rPr>
                <w:rFonts w:hint="eastAsia" w:cs="Arial"/>
                <w:kern w:val="10"/>
                <w:sz w:val="24"/>
                <w:szCs w:val="24"/>
                <w:lang w:val="en-US" w:eastAsia="zh-CN"/>
              </w:rPr>
              <w:t>3</w:t>
            </w:r>
          </w:p>
        </w:tc>
        <w:tc>
          <w:tcPr>
            <w:tcW w:w="7032" w:type="dxa"/>
            <w:tcBorders>
              <w:top w:val="single" w:color="auto" w:sz="4" w:space="0"/>
              <w:left w:val="nil"/>
              <w:bottom w:val="single" w:color="auto" w:sz="4" w:space="0"/>
              <w:right w:val="single" w:color="auto" w:sz="4" w:space="0"/>
            </w:tcBorders>
            <w:noWrap w:val="0"/>
            <w:vAlign w:val="center"/>
          </w:tcPr>
          <w:p>
            <w:pPr>
              <w:pStyle w:val="52"/>
              <w:spacing w:before="78" w:line="400" w:lineRule="exact"/>
              <w:ind w:right="40" w:rightChars="0"/>
              <w:jc w:val="both"/>
              <w:rPr>
                <w:rFonts w:hint="eastAsia"/>
                <w:sz w:val="24"/>
              </w:rPr>
            </w:pPr>
            <w:r>
              <w:rPr>
                <w:rFonts w:hint="eastAsia" w:cs="仿宋"/>
                <w:sz w:val="24"/>
                <w:szCs w:val="24"/>
              </w:rPr>
              <w:t>投标人提供的针对本项目的售后服务方案合理完整；应包括响应速度、人员安排、质保期限、质保期限内服务方案、质保期后服务方案等的响应情况。</w:t>
            </w:r>
            <w:r>
              <w:rPr>
                <w:rFonts w:hint="eastAsia"/>
                <w:sz w:val="24"/>
                <w:szCs w:val="24"/>
              </w:rPr>
              <w:t>以综合评审质量等级评分</w:t>
            </w:r>
          </w:p>
        </w:tc>
        <w:tc>
          <w:tcPr>
            <w:tcW w:w="8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bl>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jc w:val="center"/>
        <w:rPr>
          <w:rFonts w:hint="eastAsia" w:cs="宋体"/>
          <w:b/>
          <w:bCs/>
          <w:kern w:val="0"/>
          <w:sz w:val="28"/>
          <w:szCs w:val="28"/>
          <w:lang w:bidi="zh-CN"/>
        </w:rPr>
        <w:sectPr>
          <w:pgSz w:w="11906" w:h="16838"/>
          <w:pgMar w:top="1440" w:right="1800" w:bottom="1440" w:left="1800" w:header="851" w:footer="992" w:gutter="0"/>
          <w:cols w:space="720" w:num="1"/>
          <w:docGrid w:type="lines" w:linePitch="312" w:charSpace="0"/>
        </w:sectPr>
      </w:pPr>
    </w:p>
    <w:p>
      <w:pPr>
        <w:autoSpaceDE w:val="0"/>
        <w:autoSpaceDN w:val="0"/>
        <w:adjustRightInd w:val="0"/>
        <w:snapToGrid w:val="0"/>
        <w:spacing w:line="480" w:lineRule="auto"/>
        <w:jc w:val="center"/>
        <w:rPr>
          <w:rFonts w:cs="宋体"/>
          <w:b/>
          <w:bCs/>
          <w:kern w:val="0"/>
          <w:sz w:val="28"/>
          <w:szCs w:val="28"/>
          <w:lang w:bidi="zh-CN"/>
        </w:rPr>
      </w:pPr>
      <w:r>
        <w:rPr>
          <w:rFonts w:hint="eastAsia" w:cs="宋体"/>
          <w:b/>
          <w:bCs/>
          <w:kern w:val="0"/>
          <w:sz w:val="28"/>
          <w:szCs w:val="28"/>
          <w:lang w:bidi="zh-CN"/>
        </w:rPr>
        <w:t>二、技术和商务</w:t>
      </w:r>
      <w:r>
        <w:rPr>
          <w:rFonts w:cs="宋体"/>
          <w:b/>
          <w:bCs/>
          <w:kern w:val="0"/>
          <w:sz w:val="28"/>
          <w:szCs w:val="28"/>
          <w:lang w:bidi="zh-CN"/>
        </w:rPr>
        <w:t>偏离表</w:t>
      </w:r>
    </w:p>
    <w:p>
      <w:pPr>
        <w:autoSpaceDE w:val="0"/>
        <w:autoSpaceDN w:val="0"/>
        <w:adjustRightInd w:val="0"/>
        <w:snapToGrid w:val="0"/>
        <w:spacing w:line="480" w:lineRule="auto"/>
        <w:rPr>
          <w:rFonts w:hint="eastAsia" w:cs="宋体"/>
          <w:b/>
          <w:bCs/>
          <w:kern w:val="0"/>
          <w:sz w:val="28"/>
          <w:szCs w:val="28"/>
        </w:rPr>
      </w:pPr>
      <w:r>
        <w:rPr>
          <w:rFonts w:hint="eastAsia" w:cs="宋体"/>
          <w:kern w:val="0"/>
          <w:sz w:val="24"/>
          <w:szCs w:val="24"/>
        </w:rPr>
        <w:t>项目名称：</w:t>
      </w:r>
      <w:r>
        <w:rPr>
          <w:rFonts w:hint="eastAsia" w:cs="宋体"/>
          <w:kern w:val="0"/>
          <w:sz w:val="24"/>
          <w:szCs w:val="24"/>
          <w:u w:val="single"/>
        </w:rPr>
        <w:t xml:space="preserve">                  </w:t>
      </w:r>
      <w:r>
        <w:rPr>
          <w:rFonts w:hint="eastAsia" w:cs="宋体"/>
          <w:kern w:val="0"/>
          <w:sz w:val="24"/>
          <w:szCs w:val="24"/>
        </w:rPr>
        <w:t xml:space="preserve">        招标编号：</w:t>
      </w:r>
      <w:r>
        <w:rPr>
          <w:rFonts w:hint="eastAsia" w:cs="宋体"/>
          <w:kern w:val="0"/>
          <w:sz w:val="24"/>
          <w:szCs w:val="24"/>
          <w:u w:val="single"/>
        </w:rPr>
        <w:t xml:space="preserve">                      </w:t>
      </w:r>
    </w:p>
    <w:tbl>
      <w:tblPr>
        <w:tblStyle w:val="28"/>
        <w:tblW w:w="8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712"/>
        <w:gridCol w:w="1670"/>
        <w:gridCol w:w="1808"/>
        <w:gridCol w:w="1551"/>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序号</w:t>
            </w:r>
          </w:p>
        </w:tc>
        <w:tc>
          <w:tcPr>
            <w:tcW w:w="1712"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招标规格</w:t>
            </w:r>
          </w:p>
        </w:tc>
        <w:tc>
          <w:tcPr>
            <w:tcW w:w="1670"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投标规格</w:t>
            </w:r>
          </w:p>
        </w:tc>
        <w:tc>
          <w:tcPr>
            <w:tcW w:w="1808" w:type="dxa"/>
            <w:tcBorders>
              <w:top w:val="single" w:color="auto" w:sz="4" w:space="0"/>
              <w:left w:val="nil"/>
              <w:bottom w:val="single" w:color="auto" w:sz="4" w:space="0"/>
              <w:right w:val="single" w:color="auto" w:sz="4" w:space="0"/>
            </w:tcBorders>
            <w:noWrap w:val="0"/>
            <w:vAlign w:val="center"/>
          </w:tcPr>
          <w:p>
            <w:pPr>
              <w:ind w:left="-63" w:leftChars="-30" w:right="-80" w:rightChars="-38"/>
              <w:jc w:val="center"/>
              <w:rPr>
                <w:rFonts w:hint="eastAsia" w:cs="宋体"/>
                <w:sz w:val="24"/>
              </w:rPr>
            </w:pPr>
            <w:r>
              <w:rPr>
                <w:rFonts w:hint="eastAsia" w:cs="宋体"/>
                <w:sz w:val="24"/>
              </w:rPr>
              <w:t>偏离情况说明</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对应页码</w:t>
            </w:r>
          </w:p>
        </w:tc>
        <w:tc>
          <w:tcPr>
            <w:tcW w:w="1175"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712"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670"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808"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551"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175"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712"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670"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808"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551"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175"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712"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670"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808"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551"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175"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712"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670"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808"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551"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175"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r>
    </w:tbl>
    <w:p>
      <w:pPr>
        <w:autoSpaceDE w:val="0"/>
        <w:autoSpaceDN w:val="0"/>
        <w:adjustRightInd w:val="0"/>
        <w:spacing w:line="360" w:lineRule="auto"/>
        <w:ind w:firstLine="480" w:firstLineChars="200"/>
        <w:jc w:val="left"/>
        <w:rPr>
          <w:rFonts w:hint="eastAsia" w:cs="宋体"/>
          <w:sz w:val="24"/>
        </w:rPr>
      </w:pPr>
      <w:r>
        <w:rPr>
          <w:rFonts w:hint="eastAsia" w:cs="宋体"/>
          <w:sz w:val="24"/>
        </w:rPr>
        <w:t>注：投标人须对照招标文件</w:t>
      </w:r>
      <w:r>
        <w:rPr>
          <w:rFonts w:hint="eastAsia" w:cs="宋体"/>
          <w:b/>
          <w:bCs/>
          <w:sz w:val="24"/>
        </w:rPr>
        <w:t>“第四章招标内容及要求”</w:t>
      </w:r>
      <w:r>
        <w:rPr>
          <w:rFonts w:hint="eastAsia" w:cs="宋体"/>
          <w:sz w:val="24"/>
        </w:rPr>
        <w:t>的</w:t>
      </w:r>
      <w:r>
        <w:rPr>
          <w:rFonts w:hint="eastAsia" w:cs="宋体"/>
          <w:b/>
          <w:sz w:val="24"/>
        </w:rPr>
        <w:t>全部内容及要求</w:t>
      </w:r>
      <w:r>
        <w:rPr>
          <w:rFonts w:hint="eastAsia" w:cs="宋体"/>
          <w:sz w:val="24"/>
        </w:rPr>
        <w:t>，按以下方式填写：</w:t>
      </w:r>
    </w:p>
    <w:p>
      <w:pPr>
        <w:autoSpaceDE w:val="0"/>
        <w:autoSpaceDN w:val="0"/>
        <w:adjustRightInd w:val="0"/>
        <w:spacing w:line="360" w:lineRule="auto"/>
        <w:ind w:firstLine="480" w:firstLineChars="200"/>
        <w:jc w:val="left"/>
        <w:rPr>
          <w:rFonts w:hint="eastAsia" w:cs="宋体"/>
          <w:sz w:val="24"/>
        </w:rPr>
      </w:pPr>
      <w:r>
        <w:rPr>
          <w:rFonts w:hint="eastAsia" w:cs="宋体"/>
          <w:sz w:val="24"/>
        </w:rPr>
        <w:t>①完全响应招标文件</w:t>
      </w:r>
      <w:r>
        <w:rPr>
          <w:rFonts w:hint="eastAsia" w:cs="宋体"/>
          <w:b/>
          <w:bCs/>
          <w:sz w:val="24"/>
        </w:rPr>
        <w:t>“第四章招标内容及要求”</w:t>
      </w:r>
      <w:r>
        <w:rPr>
          <w:rFonts w:hint="eastAsia" w:cs="宋体"/>
          <w:sz w:val="24"/>
        </w:rPr>
        <w:t>的，在上述表格中写明</w:t>
      </w:r>
      <w:r>
        <w:rPr>
          <w:rFonts w:hint="eastAsia" w:cs="宋体"/>
          <w:b/>
          <w:bCs/>
          <w:sz w:val="24"/>
        </w:rPr>
        <w:t>“我司完全响应招标文件第四章招标内容及要求的规格要求”</w:t>
      </w:r>
      <w:r>
        <w:rPr>
          <w:rFonts w:hint="eastAsia" w:cs="宋体"/>
          <w:sz w:val="24"/>
        </w:rPr>
        <w:t>；</w:t>
      </w:r>
    </w:p>
    <w:p>
      <w:pPr>
        <w:autoSpaceDE w:val="0"/>
        <w:autoSpaceDN w:val="0"/>
        <w:adjustRightInd w:val="0"/>
        <w:spacing w:line="360" w:lineRule="auto"/>
        <w:ind w:firstLine="480" w:firstLineChars="200"/>
        <w:jc w:val="left"/>
        <w:rPr>
          <w:rFonts w:hint="eastAsia" w:cs="宋体"/>
          <w:sz w:val="24"/>
        </w:rPr>
      </w:pPr>
      <w:r>
        <w:rPr>
          <w:rFonts w:hint="eastAsia" w:cs="宋体"/>
          <w:sz w:val="24"/>
        </w:rPr>
        <w:t>②若投标规格和招标文件有偏离的，详细列明偏离的招标规格和投标规格，说明偏离情况，指明偏离内容对应的页码，并在最后加上</w:t>
      </w:r>
      <w:r>
        <w:rPr>
          <w:rFonts w:hint="eastAsia" w:cs="宋体"/>
          <w:b/>
          <w:bCs/>
          <w:sz w:val="24"/>
        </w:rPr>
        <w:t>“除上述偏离外我司完全响应招标文件第四章招标内容及要求的规格要求”。</w:t>
      </w:r>
    </w:p>
    <w:p>
      <w:pPr>
        <w:autoSpaceDE w:val="0"/>
        <w:autoSpaceDN w:val="0"/>
        <w:adjustRightInd w:val="0"/>
        <w:spacing w:line="360" w:lineRule="auto"/>
        <w:ind w:firstLine="480" w:firstLineChars="200"/>
        <w:jc w:val="left"/>
        <w:rPr>
          <w:rFonts w:hint="eastAsia" w:cs="宋体"/>
          <w:kern w:val="0"/>
          <w:sz w:val="24"/>
          <w:szCs w:val="24"/>
        </w:rPr>
      </w:pPr>
      <w:r>
        <w:rPr>
          <w:rFonts w:hint="eastAsia" w:cs="宋体"/>
          <w:sz w:val="24"/>
        </w:rPr>
        <w:t>投标人存在弄虚作假行为的，将依法承担相应的法律责任。</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pStyle w:val="65"/>
        <w:rPr>
          <w:rFonts w:hint="eastAsia"/>
          <w:color w:val="auto"/>
        </w:rPr>
        <w:sectPr>
          <w:pgSz w:w="11906" w:h="16838"/>
          <w:pgMar w:top="1440" w:right="1803" w:bottom="1440" w:left="1803" w:header="851" w:footer="992" w:gutter="0"/>
          <w:cols w:space="720" w:num="1"/>
          <w:docGrid w:type="lines" w:linePitch="319" w:charSpace="0"/>
        </w:sectPr>
      </w:pPr>
    </w:p>
    <w:p>
      <w:pPr>
        <w:autoSpaceDE w:val="0"/>
        <w:autoSpaceDN w:val="0"/>
        <w:adjustRightInd w:val="0"/>
        <w:snapToGrid w:val="0"/>
        <w:spacing w:line="480" w:lineRule="auto"/>
        <w:jc w:val="center"/>
        <w:outlineLvl w:val="9"/>
        <w:rPr>
          <w:rFonts w:hint="eastAsia" w:cs="宋体"/>
          <w:b/>
          <w:bCs/>
          <w:kern w:val="0"/>
          <w:sz w:val="28"/>
          <w:szCs w:val="28"/>
          <w:lang w:bidi="zh-CN"/>
        </w:rPr>
      </w:pPr>
      <w:r>
        <w:rPr>
          <w:rFonts w:hint="eastAsia" w:cs="宋体"/>
          <w:b/>
          <w:bCs/>
          <w:kern w:val="0"/>
          <w:sz w:val="28"/>
          <w:szCs w:val="28"/>
          <w:lang w:bidi="zh-CN"/>
        </w:rPr>
        <w:t>三、设备技术方案</w:t>
      </w: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spacing w:line="360" w:lineRule="auto"/>
        <w:ind w:firstLine="480"/>
        <w:jc w:val="center"/>
        <w:rPr>
          <w:rFonts w:hint="eastAsia" w:cs="宋体"/>
          <w:sz w:val="24"/>
        </w:rPr>
      </w:pPr>
      <w:r>
        <w:rPr>
          <w:rFonts w:hint="eastAsia" w:cs="宋体"/>
          <w:sz w:val="24"/>
        </w:rPr>
        <w:t xml:space="preserve"> </w:t>
      </w:r>
    </w:p>
    <w:p>
      <w:pPr>
        <w:spacing w:line="360" w:lineRule="auto"/>
        <w:jc w:val="left"/>
        <w:rPr>
          <w:rFonts w:hint="eastAsia" w:cs="宋体"/>
          <w:sz w:val="24"/>
        </w:rPr>
      </w:pPr>
      <w:r>
        <w:rPr>
          <w:rFonts w:hint="eastAsia" w:cs="宋体"/>
          <w:sz w:val="24"/>
        </w:rPr>
        <w:t>注：1、技术方案格式自拟，技术方案应包含按照“</w:t>
      </w:r>
      <w:r>
        <w:rPr>
          <w:rFonts w:hint="eastAsia" w:cs="宋体"/>
          <w:b/>
          <w:sz w:val="24"/>
        </w:rPr>
        <w:t>第四章招标内容及要求</w:t>
      </w:r>
      <w:r>
        <w:rPr>
          <w:rFonts w:hint="eastAsia" w:cs="宋体"/>
          <w:sz w:val="24"/>
        </w:rPr>
        <w:t>”确认的</w:t>
      </w:r>
      <w:r>
        <w:rPr>
          <w:rFonts w:hint="eastAsia" w:cs="宋体"/>
          <w:b/>
          <w:sz w:val="24"/>
        </w:rPr>
        <w:t>零部件配置及相关技术要求</w:t>
      </w:r>
      <w:r>
        <w:rPr>
          <w:rFonts w:hint="eastAsia" w:cs="宋体"/>
          <w:sz w:val="24"/>
        </w:rPr>
        <w:t>；</w:t>
      </w:r>
    </w:p>
    <w:p>
      <w:pPr>
        <w:spacing w:line="360" w:lineRule="auto"/>
        <w:jc w:val="lef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spacing w:line="360" w:lineRule="auto"/>
        <w:jc w:val="center"/>
        <w:rPr>
          <w:rFonts w:hint="eastAsia" w:cs="宋体"/>
          <w:b/>
          <w:bCs/>
          <w:sz w:val="24"/>
        </w:rPr>
      </w:pPr>
      <w:r>
        <w:rPr>
          <w:rFonts w:hint="eastAsia" w:cs="宋体"/>
          <w:b/>
          <w:bCs/>
          <w:sz w:val="24"/>
        </w:rPr>
        <w:t xml:space="preserve"> </w:t>
      </w: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hint="eastAsia" w:cs="宋体"/>
          <w:b/>
          <w:bCs/>
          <w:kern w:val="0"/>
          <w:sz w:val="28"/>
          <w:szCs w:val="28"/>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color w:val="auto"/>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jc w:val="center"/>
        <w:outlineLvl w:val="9"/>
        <w:rPr>
          <w:rFonts w:cs="宋体"/>
          <w:b/>
          <w:bCs/>
          <w:kern w:val="0"/>
          <w:sz w:val="28"/>
          <w:szCs w:val="28"/>
          <w:lang w:bidi="zh-CN"/>
        </w:rPr>
      </w:pPr>
    </w:p>
    <w:p>
      <w:pPr>
        <w:autoSpaceDE w:val="0"/>
        <w:autoSpaceDN w:val="0"/>
        <w:adjustRightInd w:val="0"/>
        <w:snapToGrid w:val="0"/>
        <w:spacing w:line="480" w:lineRule="auto"/>
        <w:jc w:val="center"/>
        <w:outlineLvl w:val="9"/>
        <w:rPr>
          <w:rFonts w:cs="宋体"/>
          <w:b/>
          <w:bCs/>
          <w:kern w:val="0"/>
          <w:sz w:val="28"/>
          <w:szCs w:val="28"/>
          <w:lang w:bidi="zh-CN"/>
        </w:rPr>
      </w:pPr>
    </w:p>
    <w:p>
      <w:pPr>
        <w:autoSpaceDE w:val="0"/>
        <w:autoSpaceDN w:val="0"/>
        <w:adjustRightInd w:val="0"/>
        <w:snapToGrid w:val="0"/>
        <w:spacing w:line="480" w:lineRule="auto"/>
        <w:jc w:val="center"/>
        <w:outlineLvl w:val="9"/>
        <w:rPr>
          <w:rFonts w:cs="宋体"/>
          <w:b/>
          <w:bCs/>
          <w:kern w:val="0"/>
          <w:sz w:val="28"/>
          <w:szCs w:val="28"/>
          <w:lang w:bidi="zh-CN"/>
        </w:rPr>
      </w:pPr>
      <w:r>
        <w:rPr>
          <w:rFonts w:cs="宋体"/>
          <w:b/>
          <w:bCs/>
          <w:kern w:val="0"/>
          <w:sz w:val="28"/>
          <w:szCs w:val="28"/>
          <w:lang w:bidi="zh-CN"/>
        </w:rPr>
        <w:t>四、设备供货组织方案</w:t>
      </w: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spacing w:line="360" w:lineRule="auto"/>
        <w:ind w:firstLine="480"/>
        <w:jc w:val="center"/>
        <w:rPr>
          <w:rFonts w:hint="eastAsia" w:cs="宋体"/>
          <w:sz w:val="24"/>
        </w:rPr>
      </w:pPr>
      <w:r>
        <w:rPr>
          <w:rFonts w:hint="eastAsia" w:cs="宋体"/>
          <w:sz w:val="24"/>
        </w:rPr>
        <w:t xml:space="preserve"> </w:t>
      </w:r>
    </w:p>
    <w:p>
      <w:pPr>
        <w:spacing w:line="360" w:lineRule="auto"/>
        <w:jc w:val="left"/>
        <w:rPr>
          <w:rFonts w:hint="eastAsia" w:cs="宋体"/>
          <w:sz w:val="24"/>
        </w:rPr>
      </w:pPr>
      <w:r>
        <w:rPr>
          <w:rFonts w:hint="eastAsia" w:cs="宋体"/>
          <w:sz w:val="24"/>
        </w:rPr>
        <w:t>注：1、方案格式自拟；</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hint="eastAsia" w:cs="宋体"/>
          <w:b/>
          <w:bCs/>
          <w:kern w:val="0"/>
          <w:sz w:val="28"/>
          <w:szCs w:val="28"/>
          <w:lang w:bidi="zh-CN"/>
        </w:rPr>
      </w:pPr>
    </w:p>
    <w:p>
      <w:pPr>
        <w:autoSpaceDE w:val="0"/>
        <w:autoSpaceDN w:val="0"/>
        <w:adjustRightInd w:val="0"/>
        <w:snapToGrid w:val="0"/>
        <w:spacing w:line="480" w:lineRule="auto"/>
        <w:jc w:val="center"/>
        <w:rPr>
          <w:rFonts w:hint="eastAsia"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r>
        <w:rPr>
          <w:rFonts w:hint="eastAsia" w:cs="宋体"/>
          <w:b/>
          <w:bCs/>
          <w:kern w:val="0"/>
          <w:sz w:val="28"/>
          <w:szCs w:val="28"/>
          <w:lang w:bidi="zh-CN"/>
        </w:rPr>
        <w:t>五、</w:t>
      </w:r>
      <w:r>
        <w:rPr>
          <w:rFonts w:cs="宋体"/>
          <w:b/>
          <w:bCs/>
          <w:kern w:val="0"/>
          <w:sz w:val="28"/>
          <w:szCs w:val="28"/>
          <w:lang w:bidi="zh-CN"/>
        </w:rPr>
        <w:t>设备售后服务方案</w:t>
      </w: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spacing w:line="360" w:lineRule="auto"/>
        <w:ind w:firstLine="480"/>
        <w:jc w:val="center"/>
        <w:rPr>
          <w:rFonts w:hint="eastAsia" w:cs="宋体"/>
          <w:sz w:val="24"/>
        </w:rPr>
      </w:pPr>
      <w:r>
        <w:rPr>
          <w:rFonts w:hint="eastAsia" w:cs="宋体"/>
          <w:sz w:val="24"/>
        </w:rPr>
        <w:t xml:space="preserve"> </w:t>
      </w:r>
    </w:p>
    <w:p>
      <w:pPr>
        <w:spacing w:line="360" w:lineRule="auto"/>
        <w:jc w:val="left"/>
        <w:rPr>
          <w:rFonts w:hint="eastAsia" w:cs="宋体"/>
          <w:sz w:val="24"/>
        </w:rPr>
      </w:pPr>
      <w:r>
        <w:rPr>
          <w:rFonts w:hint="eastAsia" w:cs="宋体"/>
          <w:sz w:val="24"/>
        </w:rPr>
        <w:t>注：1、方案格式自拟；</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r>
        <w:rPr>
          <w:rFonts w:hint="eastAsia" w:cs="宋体"/>
          <w:b/>
          <w:bCs/>
          <w:sz w:val="28"/>
          <w:szCs w:val="28"/>
          <w:lang w:bidi="zh-CN"/>
        </w:rPr>
        <w:t>六、其他</w:t>
      </w:r>
    </w:p>
    <w:p>
      <w:pPr>
        <w:spacing w:line="360" w:lineRule="auto"/>
        <w:ind w:firstLine="480" w:firstLineChars="200"/>
        <w:rPr>
          <w:rFonts w:hint="eastAsia" w:cs="宋体"/>
          <w:sz w:val="24"/>
        </w:rPr>
      </w:pPr>
    </w:p>
    <w:p>
      <w:pPr>
        <w:spacing w:line="360" w:lineRule="auto"/>
        <w:ind w:firstLine="480" w:firstLineChars="200"/>
        <w:rPr>
          <w:rFonts w:hint="eastAsia" w:cs="宋体"/>
          <w:b/>
          <w:bCs/>
          <w:sz w:val="36"/>
          <w:szCs w:val="36"/>
        </w:rPr>
      </w:pPr>
      <w:r>
        <w:rPr>
          <w:rFonts w:hint="eastAsia" w:cs="宋体"/>
          <w:sz w:val="24"/>
        </w:rPr>
        <w:t>投标人认为应提交的其他材料，可在此附件中提交。</w:t>
      </w:r>
    </w:p>
    <w:p>
      <w:pPr>
        <w:rPr>
          <w:rFonts w:hint="eastAsia" w:cs="宋体"/>
          <w:sz w:val="28"/>
          <w:szCs w:val="28"/>
        </w:rPr>
      </w:pPr>
      <w:r>
        <w:rPr>
          <w:rFonts w:hint="eastAsia" w:cs="宋体"/>
          <w:sz w:val="28"/>
          <w:szCs w:val="28"/>
        </w:rPr>
        <w:t xml:space="preserve"> </w:t>
      </w:r>
    </w:p>
    <w:p>
      <w:pPr>
        <w:autoSpaceDE w:val="0"/>
        <w:autoSpaceDN w:val="0"/>
        <w:adjustRightInd w:val="0"/>
        <w:jc w:val="left"/>
        <w:rPr>
          <w:rFonts w:hint="eastAsia" w:cs="宋体"/>
          <w:kern w:val="0"/>
          <w:sz w:val="28"/>
          <w:szCs w:val="28"/>
        </w:rPr>
      </w:pPr>
    </w:p>
    <w:p>
      <w:pPr>
        <w:autoSpaceDE w:val="0"/>
        <w:autoSpaceDN w:val="0"/>
        <w:adjustRightInd w:val="0"/>
        <w:jc w:val="left"/>
        <w:rPr>
          <w:rFonts w:hint="eastAsia" w:cs="宋体"/>
          <w:kern w:val="0"/>
          <w:sz w:val="28"/>
          <w:szCs w:val="28"/>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spacing w:line="360" w:lineRule="auto"/>
        <w:ind w:firstLine="420"/>
        <w:jc w:val="right"/>
        <w:rPr>
          <w:rFonts w:hint="eastAsia" w:cs="宋体"/>
          <w:b/>
          <w:bCs/>
          <w:kern w:val="0"/>
          <w:sz w:val="36"/>
          <w:szCs w:val="36"/>
        </w:rPr>
      </w:pPr>
    </w:p>
    <w:p>
      <w:pPr>
        <w:spacing w:line="360" w:lineRule="auto"/>
        <w:ind w:firstLine="420"/>
        <w:jc w:val="right"/>
        <w:rPr>
          <w:rFonts w:hint="eastAsia" w:cs="宋体"/>
          <w:b/>
          <w:bCs/>
          <w:kern w:val="0"/>
          <w:sz w:val="36"/>
          <w:szCs w:val="36"/>
        </w:rPr>
      </w:pPr>
    </w:p>
    <w:p>
      <w:pPr>
        <w:spacing w:line="360" w:lineRule="auto"/>
        <w:jc w:val="both"/>
        <w:rPr>
          <w:rFonts w:hint="eastAsia" w:cs="宋体"/>
          <w:b/>
          <w:bCs/>
          <w:kern w:val="0"/>
          <w:sz w:val="36"/>
          <w:szCs w:val="36"/>
        </w:rPr>
      </w:pPr>
    </w:p>
    <w:p>
      <w:pPr>
        <w:spacing w:line="360" w:lineRule="auto"/>
        <w:ind w:firstLine="420"/>
        <w:jc w:val="right"/>
        <w:rPr>
          <w:rFonts w:hint="eastAsia" w:cs="宋体"/>
          <w:b/>
          <w:bCs/>
          <w:kern w:val="0"/>
          <w:sz w:val="72"/>
          <w:szCs w:val="72"/>
        </w:rPr>
      </w:pPr>
      <w:r>
        <w:rPr>
          <w:rFonts w:hint="eastAsia" w:cs="宋体"/>
          <w:b/>
          <w:bCs/>
          <w:kern w:val="0"/>
          <w:sz w:val="36"/>
          <w:szCs w:val="36"/>
        </w:rPr>
        <w:t xml:space="preserve"> （正/副本）</w:t>
      </w:r>
    </w:p>
    <w:p>
      <w:pPr>
        <w:spacing w:line="360" w:lineRule="auto"/>
        <w:jc w:val="center"/>
        <w:rPr>
          <w:rFonts w:hint="eastAsia" w:cs="宋体"/>
          <w:b/>
          <w:bCs/>
          <w:sz w:val="72"/>
          <w:szCs w:val="72"/>
        </w:rPr>
      </w:pPr>
      <w:r>
        <w:rPr>
          <w:rFonts w:hint="eastAsia" w:cs="宋体"/>
          <w:b/>
          <w:bCs/>
          <w:sz w:val="72"/>
          <w:szCs w:val="72"/>
        </w:rPr>
        <w:t xml:space="preserve"> </w:t>
      </w:r>
    </w:p>
    <w:p>
      <w:pPr>
        <w:spacing w:line="360" w:lineRule="auto"/>
        <w:jc w:val="center"/>
        <w:outlineLvl w:val="1"/>
        <w:rPr>
          <w:rFonts w:hint="eastAsia" w:cs="宋体"/>
          <w:b/>
          <w:bCs/>
          <w:sz w:val="72"/>
          <w:szCs w:val="72"/>
        </w:rPr>
      </w:pPr>
      <w:bookmarkStart w:id="881" w:name="_Toc25466"/>
      <w:bookmarkStart w:id="882" w:name="_Toc24321"/>
      <w:bookmarkStart w:id="883" w:name="_Toc15511"/>
      <w:bookmarkStart w:id="884" w:name="_Toc18880"/>
      <w:bookmarkStart w:id="885" w:name="_Toc11956"/>
      <w:bookmarkStart w:id="886" w:name="_Toc19827"/>
      <w:r>
        <w:rPr>
          <w:rFonts w:hint="eastAsia" w:cs="宋体"/>
          <w:b/>
          <w:bCs/>
          <w:sz w:val="72"/>
          <w:szCs w:val="72"/>
        </w:rPr>
        <w:t>投  标  文  件</w:t>
      </w:r>
      <w:bookmarkEnd w:id="881"/>
      <w:bookmarkEnd w:id="882"/>
      <w:bookmarkEnd w:id="883"/>
      <w:bookmarkEnd w:id="884"/>
      <w:bookmarkEnd w:id="885"/>
      <w:bookmarkEnd w:id="886"/>
    </w:p>
    <w:p>
      <w:pPr>
        <w:spacing w:line="360" w:lineRule="auto"/>
        <w:jc w:val="center"/>
        <w:outlineLvl w:val="1"/>
        <w:rPr>
          <w:rFonts w:hint="eastAsia" w:cs="宋体"/>
          <w:b/>
          <w:bCs/>
          <w:sz w:val="36"/>
          <w:szCs w:val="36"/>
        </w:rPr>
      </w:pPr>
      <w:bookmarkStart w:id="887" w:name="_Toc44"/>
      <w:bookmarkStart w:id="888" w:name="_Toc25368"/>
      <w:bookmarkStart w:id="889" w:name="_Toc23054"/>
      <w:bookmarkStart w:id="890" w:name="_Toc31279"/>
      <w:bookmarkStart w:id="891" w:name="_Toc9249"/>
      <w:bookmarkStart w:id="892" w:name="_Toc2437"/>
      <w:r>
        <w:rPr>
          <w:rFonts w:hint="eastAsia" w:cs="宋体"/>
          <w:b/>
          <w:bCs/>
          <w:sz w:val="36"/>
          <w:szCs w:val="36"/>
        </w:rPr>
        <w:t>（商务文件）</w:t>
      </w:r>
      <w:bookmarkEnd w:id="887"/>
      <w:bookmarkEnd w:id="888"/>
      <w:bookmarkEnd w:id="889"/>
      <w:bookmarkEnd w:id="890"/>
      <w:bookmarkEnd w:id="891"/>
      <w:bookmarkEnd w:id="892"/>
    </w:p>
    <w:p>
      <w:pPr>
        <w:spacing w:line="360" w:lineRule="auto"/>
        <w:jc w:val="center"/>
        <w:rPr>
          <w:rFonts w:hint="eastAsia" w:cs="宋体"/>
          <w:b/>
          <w:bCs/>
          <w:sz w:val="36"/>
          <w:szCs w:val="36"/>
        </w:rPr>
      </w:pPr>
    </w:p>
    <w:p>
      <w:pPr>
        <w:spacing w:line="360" w:lineRule="auto"/>
        <w:jc w:val="center"/>
        <w:rPr>
          <w:rFonts w:hint="eastAsia" w:cs="宋体"/>
          <w:b/>
          <w:bCs/>
          <w:sz w:val="36"/>
          <w:szCs w:val="36"/>
        </w:rPr>
      </w:pPr>
    </w:p>
    <w:p>
      <w:pPr>
        <w:spacing w:line="360" w:lineRule="auto"/>
        <w:jc w:val="center"/>
        <w:rPr>
          <w:rFonts w:hint="eastAsia" w:cs="宋体"/>
          <w:b/>
          <w:bCs/>
          <w:sz w:val="36"/>
          <w:szCs w:val="36"/>
        </w:rPr>
      </w:pPr>
    </w:p>
    <w:p>
      <w:pPr>
        <w:spacing w:line="360" w:lineRule="auto"/>
        <w:jc w:val="center"/>
        <w:rPr>
          <w:rFonts w:hint="eastAsia" w:cs="宋体"/>
          <w:b/>
          <w:bCs/>
          <w:sz w:val="36"/>
          <w:szCs w:val="36"/>
        </w:rPr>
      </w:pPr>
      <w:r>
        <w:rPr>
          <w:rFonts w:hint="eastAsia" w:cs="宋体"/>
          <w:b/>
          <w:bCs/>
          <w:sz w:val="36"/>
          <w:szCs w:val="36"/>
        </w:rPr>
        <w:t xml:space="preserve"> </w:t>
      </w:r>
    </w:p>
    <w:p>
      <w:pPr>
        <w:spacing w:line="360" w:lineRule="auto"/>
        <w:ind w:firstLine="1084" w:firstLineChars="300"/>
        <w:rPr>
          <w:rFonts w:hint="eastAsia" w:cs="宋体"/>
          <w:b/>
          <w:bCs/>
          <w:sz w:val="36"/>
          <w:szCs w:val="36"/>
        </w:rPr>
      </w:pPr>
      <w:r>
        <w:rPr>
          <w:rFonts w:hint="eastAsia" w:cs="宋体"/>
          <w:b/>
          <w:bCs/>
          <w:sz w:val="36"/>
          <w:szCs w:val="36"/>
        </w:rPr>
        <w:t>项 目 名 称：</w:t>
      </w:r>
      <w:r>
        <w:rPr>
          <w:rFonts w:hint="eastAsia" w:cs="宋体"/>
          <w:b/>
          <w:bCs/>
          <w:sz w:val="36"/>
          <w:szCs w:val="36"/>
          <w:u w:val="single"/>
        </w:rPr>
        <w:t xml:space="preserve">               </w:t>
      </w:r>
    </w:p>
    <w:p>
      <w:pPr>
        <w:spacing w:line="360" w:lineRule="auto"/>
        <w:ind w:firstLine="1084" w:firstLineChars="300"/>
        <w:rPr>
          <w:rFonts w:hint="eastAsia" w:cs="宋体"/>
          <w:b/>
          <w:bCs/>
          <w:sz w:val="36"/>
          <w:szCs w:val="36"/>
          <w:u w:val="single"/>
        </w:rPr>
      </w:pPr>
      <w:r>
        <w:rPr>
          <w:rFonts w:hint="eastAsia" w:cs="宋体"/>
          <w:b/>
          <w:bCs/>
          <w:sz w:val="36"/>
          <w:szCs w:val="36"/>
        </w:rPr>
        <w:t>招 标 编 号：</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u w:val="single"/>
        </w:rPr>
      </w:pPr>
      <w:r>
        <w:rPr>
          <w:rFonts w:hint="eastAsia" w:cs="宋体"/>
          <w:b/>
          <w:bCs/>
          <w:sz w:val="36"/>
          <w:szCs w:val="36"/>
        </w:rPr>
        <w:t xml:space="preserve">       投标人名称 ：</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日      期 ：</w:t>
      </w:r>
      <w:r>
        <w:rPr>
          <w:rFonts w:hint="eastAsia" w:cs="宋体"/>
          <w:b/>
          <w:bCs/>
          <w:sz w:val="36"/>
          <w:szCs w:val="36"/>
          <w:u w:val="single"/>
        </w:rPr>
        <w:t xml:space="preserve">               </w:t>
      </w:r>
    </w:p>
    <w:p>
      <w:pPr>
        <w:spacing w:line="360" w:lineRule="auto"/>
        <w:rPr>
          <w:rFonts w:hint="eastAsia" w:cs="宋体"/>
          <w:sz w:val="24"/>
        </w:rPr>
      </w:pPr>
      <w:r>
        <w:rPr>
          <w:rFonts w:hint="eastAsia" w:cs="宋体"/>
          <w:sz w:val="24"/>
        </w:rPr>
        <w:t xml:space="preserve"> </w:t>
      </w:r>
    </w:p>
    <w:p>
      <w:pPr>
        <w:keepNext/>
        <w:keepLines/>
        <w:spacing w:before="156" w:beforeLines="50" w:after="156" w:afterLines="50" w:line="415" w:lineRule="auto"/>
        <w:outlineLvl w:val="1"/>
        <w:rPr>
          <w:rFonts w:hint="eastAsia" w:cs="宋体"/>
          <w:b/>
          <w:bCs/>
          <w:kern w:val="0"/>
          <w:sz w:val="32"/>
          <w:szCs w:val="32"/>
        </w:rPr>
      </w:pPr>
      <w:r>
        <w:rPr>
          <w:rFonts w:hint="eastAsia" w:cs="宋体"/>
          <w:b/>
          <w:bCs/>
          <w:kern w:val="0"/>
          <w:sz w:val="32"/>
          <w:szCs w:val="32"/>
        </w:rPr>
        <w:br w:type="page"/>
      </w:r>
    </w:p>
    <w:p>
      <w:pPr>
        <w:autoSpaceDE w:val="0"/>
        <w:autoSpaceDN w:val="0"/>
        <w:adjustRightInd w:val="0"/>
        <w:snapToGrid w:val="0"/>
        <w:spacing w:line="480" w:lineRule="auto"/>
        <w:jc w:val="center"/>
        <w:rPr>
          <w:rFonts w:hint="eastAsia" w:cs="宋体"/>
          <w:kern w:val="0"/>
          <w:sz w:val="36"/>
          <w:szCs w:val="36"/>
        </w:rPr>
      </w:pPr>
      <w:r>
        <w:rPr>
          <w:rFonts w:hint="eastAsia" w:cs="宋体"/>
          <w:kern w:val="0"/>
          <w:sz w:val="36"/>
          <w:szCs w:val="36"/>
        </w:rPr>
        <w:t>目 录</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一、商务评分索引表</w:t>
      </w:r>
    </w:p>
    <w:p>
      <w:pPr>
        <w:pStyle w:val="65"/>
        <w:rPr>
          <w:rFonts w:hint="eastAsia"/>
          <w:color w:val="auto"/>
          <w:sz w:val="28"/>
          <w:szCs w:val="28"/>
        </w:rPr>
      </w:pPr>
      <w:r>
        <w:rPr>
          <w:rFonts w:hint="eastAsia"/>
          <w:color w:val="auto"/>
          <w:sz w:val="28"/>
          <w:szCs w:val="28"/>
        </w:rPr>
        <w:t>二、商务文件内容</w:t>
      </w:r>
    </w:p>
    <w:p>
      <w:pPr>
        <w:pStyle w:val="65"/>
        <w:rPr>
          <w:color w:val="auto"/>
        </w:rPr>
      </w:pPr>
    </w:p>
    <w:p>
      <w:pPr>
        <w:autoSpaceDE w:val="0"/>
        <w:autoSpaceDN w:val="0"/>
        <w:adjustRightInd w:val="0"/>
        <w:snapToGrid w:val="0"/>
        <w:spacing w:line="480" w:lineRule="auto"/>
        <w:jc w:val="left"/>
        <w:rPr>
          <w:rFonts w:hint="eastAsia" w:cs="宋体"/>
          <w:bCs/>
          <w:kern w:val="0"/>
          <w:sz w:val="28"/>
          <w:szCs w:val="28"/>
          <w:lang w:bidi="zh-CN"/>
        </w:rPr>
      </w:pPr>
      <w:r>
        <w:rPr>
          <w:rFonts w:hint="eastAsia" w:cs="宋体"/>
          <w:bCs/>
          <w:kern w:val="0"/>
          <w:sz w:val="28"/>
          <w:szCs w:val="28"/>
          <w:lang w:bidi="zh-CN"/>
        </w:rPr>
        <w:t>三、投标人免费提供的主要配件、附件和工具等清单</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四、</w:t>
      </w:r>
      <w:r>
        <w:rPr>
          <w:rFonts w:hint="eastAsia" w:cs="宋体"/>
          <w:bCs/>
          <w:kern w:val="0"/>
          <w:sz w:val="28"/>
          <w:szCs w:val="28"/>
          <w:lang w:bidi="zh-CN"/>
        </w:rPr>
        <w:t>投标人有偿提供的</w:t>
      </w:r>
      <w:r>
        <w:rPr>
          <w:rFonts w:hint="eastAsia"/>
          <w:bCs/>
          <w:sz w:val="28"/>
          <w:szCs w:val="28"/>
          <w:lang w:bidi="zh-CN"/>
        </w:rPr>
        <w:t>易损件及</w:t>
      </w:r>
      <w:r>
        <w:rPr>
          <w:rFonts w:hint="eastAsia" w:cs="宋体"/>
          <w:bCs/>
          <w:kern w:val="0"/>
          <w:sz w:val="28"/>
          <w:szCs w:val="28"/>
          <w:lang w:bidi="zh-CN"/>
        </w:rPr>
        <w:t>常用配件等清单</w:t>
      </w:r>
    </w:p>
    <w:p>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五、其他</w:t>
      </w:r>
    </w:p>
    <w:p>
      <w:pPr>
        <w:keepNext/>
        <w:keepLines/>
        <w:spacing w:before="156" w:beforeLines="50" w:after="156" w:afterLines="50" w:line="415" w:lineRule="auto"/>
        <w:jc w:val="center"/>
        <w:outlineLvl w:val="1"/>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pStyle w:val="65"/>
        <w:rPr>
          <w:rFonts w:hint="eastAsia"/>
          <w:color w:val="auto"/>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r>
        <w:rPr>
          <w:rFonts w:hint="eastAsia" w:cs="宋体"/>
          <w:b/>
          <w:bCs/>
          <w:sz w:val="28"/>
          <w:szCs w:val="28"/>
          <w:lang w:bidi="zh-CN"/>
        </w:rPr>
        <w:t>一、商务评分索引表</w:t>
      </w:r>
    </w:p>
    <w:p>
      <w:pPr>
        <w:autoSpaceDE w:val="0"/>
        <w:autoSpaceDN w:val="0"/>
        <w:adjustRightInd w:val="0"/>
        <w:snapToGrid w:val="0"/>
        <w:spacing w:line="480" w:lineRule="auto"/>
        <w:rPr>
          <w:rFonts w:hint="eastAsia" w:cs="宋体"/>
          <w:kern w:val="0"/>
          <w:sz w:val="24"/>
          <w:szCs w:val="24"/>
        </w:rPr>
      </w:pPr>
      <w:r>
        <w:rPr>
          <w:rFonts w:hint="eastAsia" w:cs="宋体"/>
          <w:kern w:val="0"/>
          <w:sz w:val="24"/>
          <w:szCs w:val="24"/>
        </w:rPr>
        <w:t>项目名称：</w:t>
      </w:r>
      <w:r>
        <w:rPr>
          <w:rFonts w:hint="eastAsia" w:cs="宋体"/>
          <w:kern w:val="0"/>
          <w:sz w:val="24"/>
          <w:szCs w:val="24"/>
          <w:u w:val="single"/>
        </w:rPr>
        <w:t xml:space="preserve">                  </w:t>
      </w:r>
      <w:r>
        <w:rPr>
          <w:rFonts w:hint="eastAsia" w:cs="宋体"/>
          <w:kern w:val="0"/>
          <w:sz w:val="24"/>
          <w:szCs w:val="24"/>
        </w:rPr>
        <w:t xml:space="preserve">        招标编号：</w:t>
      </w:r>
      <w:r>
        <w:rPr>
          <w:rFonts w:hint="eastAsia" w:cs="宋体"/>
          <w:kern w:val="0"/>
          <w:sz w:val="24"/>
          <w:szCs w:val="24"/>
          <w:u w:val="single"/>
        </w:rPr>
        <w:t xml:space="preserve">                      </w:t>
      </w:r>
    </w:p>
    <w:tbl>
      <w:tblPr>
        <w:tblStyle w:val="28"/>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92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sz w:val="24"/>
              </w:rPr>
            </w:pPr>
            <w:r>
              <w:rPr>
                <w:rFonts w:hint="eastAsia" w:cs="宋体"/>
                <w:sz w:val="24"/>
              </w:rPr>
              <w:t>序号</w:t>
            </w:r>
          </w:p>
        </w:tc>
        <w:tc>
          <w:tcPr>
            <w:tcW w:w="6924"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评审项目</w:t>
            </w:r>
          </w:p>
        </w:tc>
        <w:tc>
          <w:tcPr>
            <w:tcW w:w="861"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Arial"/>
                <w:bCs/>
                <w:sz w:val="24"/>
                <w:szCs w:val="24"/>
              </w:rPr>
            </w:pPr>
            <w:r>
              <w:rPr>
                <w:rFonts w:hint="eastAsia" w:cs="Arial"/>
                <w:bCs/>
                <w:sz w:val="24"/>
              </w:rPr>
              <w:t>2</w:t>
            </w:r>
            <w:r>
              <w:rPr>
                <w:rFonts w:cs="Arial"/>
                <w:bCs/>
                <w:sz w:val="24"/>
              </w:rPr>
              <w:t>-1</w:t>
            </w:r>
          </w:p>
        </w:tc>
        <w:tc>
          <w:tcPr>
            <w:tcW w:w="6924" w:type="dxa"/>
            <w:tcBorders>
              <w:top w:val="single" w:color="auto" w:sz="4" w:space="0"/>
              <w:left w:val="nil"/>
              <w:bottom w:val="single" w:color="auto" w:sz="4" w:space="0"/>
              <w:right w:val="single" w:color="auto" w:sz="4" w:space="0"/>
            </w:tcBorders>
            <w:noWrap w:val="0"/>
            <w:vAlign w:val="center"/>
          </w:tcPr>
          <w:p>
            <w:pPr>
              <w:spacing w:line="360" w:lineRule="auto"/>
              <w:rPr>
                <w:rFonts w:hint="eastAsia"/>
                <w:sz w:val="24"/>
                <w:szCs w:val="24"/>
              </w:rPr>
            </w:pPr>
            <w:r>
              <w:rPr>
                <w:rFonts w:hint="eastAsia"/>
                <w:sz w:val="24"/>
                <w:szCs w:val="24"/>
              </w:rPr>
              <w:t>投标人综合实力如：</w:t>
            </w:r>
            <w:r>
              <w:rPr>
                <w:rFonts w:hint="eastAsia"/>
                <w:sz w:val="24"/>
                <w:szCs w:val="24"/>
                <w:lang w:val="en-US" w:eastAsia="zh-CN"/>
              </w:rPr>
              <w:t>同类设备</w:t>
            </w:r>
            <w:r>
              <w:rPr>
                <w:rFonts w:hint="eastAsia"/>
                <w:sz w:val="24"/>
                <w:szCs w:val="24"/>
              </w:rPr>
              <w:t>的</w:t>
            </w:r>
            <w:r>
              <w:rPr>
                <w:sz w:val="24"/>
                <w:szCs w:val="24"/>
              </w:rPr>
              <w:t>年度</w:t>
            </w:r>
            <w:r>
              <w:rPr>
                <w:rFonts w:hint="eastAsia"/>
                <w:sz w:val="24"/>
                <w:szCs w:val="24"/>
              </w:rPr>
              <w:t>销售收入、注册资本、企业规模、制造加工能力、财务报表状况、获奖状况等。</w:t>
            </w:r>
          </w:p>
          <w:p>
            <w:pPr>
              <w:spacing w:line="420" w:lineRule="exact"/>
              <w:rPr>
                <w:rFonts w:hint="eastAsia" w:cs="宋体"/>
                <w:sz w:val="24"/>
                <w:szCs w:val="24"/>
              </w:rPr>
            </w:pPr>
            <w:r>
              <w:rPr>
                <w:rFonts w:hint="eastAsia"/>
                <w:sz w:val="24"/>
                <w:szCs w:val="24"/>
              </w:rPr>
              <w:t>投标人须提供能展示企业综合实力的详细资料，包括但不限于企业规模介绍、销售情况、良好的财务状况、行业获奖情况、有履行合同所必需的设备和专业技术能力等材料。</w:t>
            </w:r>
          </w:p>
        </w:tc>
        <w:tc>
          <w:tcPr>
            <w:tcW w:w="8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
            <w:pPr>
              <w:spacing w:line="360" w:lineRule="auto"/>
              <w:jc w:val="center"/>
              <w:rPr>
                <w:rFonts w:hint="eastAsia" w:cs="宋体"/>
                <w:sz w:val="24"/>
              </w:rPr>
            </w:pPr>
            <w:r>
              <w:rPr>
                <w:rFonts w:hint="eastAsia" w:cs="Arial"/>
                <w:bCs/>
                <w:sz w:val="24"/>
              </w:rPr>
              <w:t>2-</w:t>
            </w:r>
            <w:r>
              <w:rPr>
                <w:rFonts w:hint="eastAsia" w:cs="Arial"/>
                <w:bCs/>
                <w:sz w:val="24"/>
                <w:lang w:val="en-US" w:eastAsia="zh-CN"/>
              </w:rPr>
              <w:t>2</w:t>
            </w:r>
          </w:p>
        </w:tc>
        <w:tc>
          <w:tcPr>
            <w:tcW w:w="6924" w:type="dxa"/>
            <w:tcBorders>
              <w:top w:val="single" w:color="auto" w:sz="4" w:space="0"/>
              <w:left w:val="nil"/>
              <w:bottom w:val="single" w:color="auto" w:sz="4" w:space="0"/>
              <w:right w:val="single" w:color="auto" w:sz="4" w:space="0"/>
            </w:tcBorders>
            <w:noWrap w:val="0"/>
            <w:vAlign w:val="center"/>
          </w:tcPr>
          <w:p>
            <w:pPr>
              <w:spacing w:line="420" w:lineRule="exact"/>
              <w:rPr>
                <w:rFonts w:hint="eastAsia" w:eastAsia="宋体" w:cs="宋体"/>
                <w:sz w:val="24"/>
                <w:lang w:val="en-US" w:eastAsia="zh-CN"/>
              </w:rPr>
            </w:pPr>
            <w:r>
              <w:rPr>
                <w:rFonts w:hint="eastAsia"/>
                <w:bCs/>
                <w:sz w:val="24"/>
                <w:szCs w:val="24"/>
              </w:rPr>
              <w:t>质保</w:t>
            </w:r>
            <w:r>
              <w:rPr>
                <w:rFonts w:hint="eastAsia"/>
                <w:bCs/>
                <w:sz w:val="24"/>
                <w:szCs w:val="24"/>
                <w:lang w:val="en-US" w:eastAsia="zh-CN"/>
              </w:rPr>
              <w:t>期限</w:t>
            </w:r>
          </w:p>
        </w:tc>
        <w:tc>
          <w:tcPr>
            <w:tcW w:w="8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Arial"/>
                <w:bCs/>
                <w:sz w:val="24"/>
              </w:rPr>
              <w:t>2-</w:t>
            </w:r>
            <w:r>
              <w:rPr>
                <w:rFonts w:hint="eastAsia" w:cs="Arial"/>
                <w:bCs/>
                <w:sz w:val="24"/>
                <w:lang w:val="en-US" w:eastAsia="zh-CN"/>
              </w:rPr>
              <w:t>3</w:t>
            </w:r>
          </w:p>
        </w:tc>
        <w:tc>
          <w:tcPr>
            <w:tcW w:w="6924" w:type="dxa"/>
            <w:tcBorders>
              <w:top w:val="single" w:color="auto" w:sz="4" w:space="0"/>
              <w:left w:val="nil"/>
              <w:bottom w:val="single" w:color="auto" w:sz="4" w:space="0"/>
              <w:right w:val="single" w:color="auto" w:sz="4" w:space="0"/>
            </w:tcBorders>
            <w:noWrap w:val="0"/>
            <w:vAlign w:val="center"/>
          </w:tcPr>
          <w:p>
            <w:pPr>
              <w:spacing w:line="360" w:lineRule="auto"/>
              <w:rPr>
                <w:rFonts w:hint="eastAsia" w:cs="宋体"/>
                <w:sz w:val="24"/>
              </w:rPr>
            </w:pPr>
            <w:r>
              <w:rPr>
                <w:rFonts w:hint="eastAsia" w:cs="宋体"/>
                <w:color w:val="auto"/>
                <w:sz w:val="24"/>
                <w:szCs w:val="24"/>
              </w:rPr>
              <w:t>投标人2022年1月1日至开标当日同类产品业绩（以合同签订时间为准）进行评价：</w:t>
            </w:r>
            <w:r>
              <w:rPr>
                <w:rFonts w:hint="eastAsia"/>
                <w:sz w:val="24"/>
                <w:szCs w:val="24"/>
              </w:rPr>
              <w:t>投标人需提供业绩表、合同复印件、相关发票复印件等，并加盖单位公章。</w:t>
            </w:r>
          </w:p>
        </w:tc>
        <w:tc>
          <w:tcPr>
            <w:tcW w:w="8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bl>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8"/>
          <w:szCs w:val="28"/>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spacing w:line="360" w:lineRule="auto"/>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240" w:lineRule="auto"/>
        <w:jc w:val="left"/>
        <w:rPr>
          <w:rFonts w:hint="eastAsia" w:cs="宋体"/>
          <w:b/>
          <w:bCs/>
          <w:sz w:val="28"/>
          <w:szCs w:val="28"/>
          <w:lang w:bidi="zh-CN"/>
        </w:rPr>
      </w:pPr>
      <w:r>
        <w:rPr>
          <w:rFonts w:hint="eastAsia" w:cs="宋体"/>
          <w:b/>
          <w:bCs/>
          <w:sz w:val="28"/>
          <w:szCs w:val="28"/>
          <w:lang w:bidi="zh-CN"/>
        </w:rPr>
        <w:br w:type="page"/>
      </w:r>
    </w:p>
    <w:p>
      <w:pPr>
        <w:spacing w:line="360" w:lineRule="auto"/>
        <w:jc w:val="center"/>
        <w:rPr>
          <w:rFonts w:hint="eastAsia" w:cs="宋体"/>
          <w:b/>
          <w:bCs/>
          <w:sz w:val="28"/>
          <w:szCs w:val="28"/>
          <w:lang w:bidi="zh-CN"/>
        </w:rPr>
      </w:pPr>
      <w:r>
        <w:rPr>
          <w:rFonts w:hint="eastAsia" w:cs="宋体"/>
          <w:b/>
          <w:bCs/>
          <w:sz w:val="28"/>
          <w:szCs w:val="28"/>
          <w:lang w:bidi="zh-CN"/>
        </w:rPr>
        <w:t>二、商务文件内容</w:t>
      </w:r>
    </w:p>
    <w:p>
      <w:pPr>
        <w:spacing w:line="360" w:lineRule="auto"/>
        <w:rPr>
          <w:rFonts w:hint="eastAsia" w:cs="宋体"/>
          <w:sz w:val="24"/>
        </w:rPr>
      </w:pP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spacing w:line="360" w:lineRule="auto"/>
        <w:ind w:firstLine="480"/>
        <w:jc w:val="center"/>
        <w:rPr>
          <w:rFonts w:hint="eastAsia" w:cs="宋体"/>
          <w:sz w:val="24"/>
        </w:rPr>
      </w:pPr>
      <w:r>
        <w:rPr>
          <w:rFonts w:hint="eastAsia" w:cs="宋体"/>
          <w:sz w:val="24"/>
        </w:rPr>
        <w:t xml:space="preserve"> </w:t>
      </w:r>
    </w:p>
    <w:p>
      <w:pPr>
        <w:spacing w:line="360" w:lineRule="auto"/>
        <w:jc w:val="left"/>
        <w:rPr>
          <w:rFonts w:hint="eastAsia" w:cs="宋体"/>
          <w:sz w:val="24"/>
        </w:rPr>
      </w:pPr>
      <w:r>
        <w:rPr>
          <w:rFonts w:hint="eastAsia" w:cs="宋体"/>
          <w:sz w:val="24"/>
        </w:rPr>
        <w:t>注：1、投标人商务文件格式自拟，其中投标人综合实力应按“2.1投标人综合情况表进行编制”。</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napToGri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r>
        <w:rPr>
          <w:rFonts w:hint="eastAsia" w:cs="宋体"/>
          <w:sz w:val="24"/>
          <w:lang w:bidi="zh-CN"/>
        </w:rPr>
        <w:t>2.1投标人综合情况表</w:t>
      </w:r>
    </w:p>
    <w:p>
      <w:pPr>
        <w:spacing w:line="360" w:lineRule="auto"/>
        <w:rPr>
          <w:rFonts w:hint="eastAsia" w:cs="宋体"/>
          <w:sz w:val="24"/>
        </w:rPr>
      </w:pP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widowControl/>
        <w:spacing w:line="360" w:lineRule="auto"/>
        <w:jc w:val="center"/>
        <w:rPr>
          <w:rFonts w:hint="eastAsia" w:cs="宋体"/>
          <w:sz w:val="24"/>
          <w:lang w:bidi="zh-CN"/>
        </w:rPr>
      </w:pP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投标人名称</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hint="eastAsia" w:cs="宋体"/>
                <w:sz w:val="24"/>
              </w:rPr>
            </w:pPr>
            <w:r>
              <w:rPr>
                <w:rFonts w:hint="eastAsia" w:cs="宋体"/>
                <w:sz w:val="24"/>
              </w:rPr>
              <w:t>注册地址</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注册资金</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企业规模简介</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近年销售情况</w:t>
            </w:r>
          </w:p>
        </w:tc>
        <w:tc>
          <w:tcPr>
            <w:tcW w:w="6416" w:type="dxa"/>
            <w:noWrap w:val="0"/>
            <w:vAlign w:val="top"/>
          </w:tcPr>
          <w:p>
            <w:pPr>
              <w:spacing w:line="360" w:lineRule="auto"/>
              <w:jc w:val="left"/>
              <w:rPr>
                <w:rFonts w:hint="eastAsia" w:cs="宋体"/>
                <w:sz w:val="24"/>
              </w:rPr>
            </w:pPr>
            <w:r>
              <w:rPr>
                <w:rFonts w:hint="eastAsia" w:cs="宋体"/>
                <w:b/>
                <w:sz w:val="24"/>
              </w:rPr>
              <w:t>必要项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制造加工能力</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财务情况</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104" w:type="dxa"/>
            <w:noWrap w:val="0"/>
            <w:vAlign w:val="top"/>
          </w:tcPr>
          <w:p>
            <w:pPr>
              <w:spacing w:line="360" w:lineRule="auto"/>
              <w:jc w:val="left"/>
              <w:rPr>
                <w:rFonts w:cs="宋体"/>
                <w:sz w:val="24"/>
              </w:rPr>
            </w:pPr>
            <w:r>
              <w:rPr>
                <w:rFonts w:hint="eastAsia" w:cs="宋体"/>
                <w:sz w:val="24"/>
              </w:rPr>
              <w:t>获奖情况</w:t>
            </w:r>
          </w:p>
        </w:tc>
        <w:tc>
          <w:tcPr>
            <w:tcW w:w="6416" w:type="dxa"/>
            <w:noWrap w:val="0"/>
            <w:vAlign w:val="top"/>
          </w:tcPr>
          <w:p>
            <w:pPr>
              <w:spacing w:line="360" w:lineRule="auto"/>
              <w:jc w:val="left"/>
              <w:rPr>
                <w:rFonts w:hint="eastAsia" w:cs="宋体"/>
                <w:sz w:val="24"/>
              </w:rPr>
            </w:pPr>
          </w:p>
        </w:tc>
      </w:tr>
    </w:tbl>
    <w:p>
      <w:pPr>
        <w:autoSpaceDE w:val="0"/>
        <w:autoSpaceDN w:val="0"/>
        <w:adjustRightInd w:val="0"/>
        <w:spacing w:line="480" w:lineRule="auto"/>
        <w:jc w:val="left"/>
        <w:rPr>
          <w:rFonts w:hint="eastAsia" w:cs="宋体"/>
          <w:sz w:val="24"/>
          <w:szCs w:val="24"/>
        </w:rPr>
      </w:pPr>
      <w:r>
        <w:rPr>
          <w:rFonts w:hint="eastAsia" w:cs="宋体"/>
          <w:sz w:val="24"/>
          <w:szCs w:val="24"/>
        </w:rPr>
        <w:t>注：上述表中可只简述相应内容，具体材料应按照以下顺序提供随本表后附：</w:t>
      </w:r>
    </w:p>
    <w:p>
      <w:pPr>
        <w:numPr>
          <w:ilvl w:val="0"/>
          <w:numId w:val="9"/>
        </w:numPr>
        <w:autoSpaceDE w:val="0"/>
        <w:autoSpaceDN w:val="0"/>
        <w:adjustRightInd w:val="0"/>
        <w:spacing w:line="360" w:lineRule="auto"/>
        <w:jc w:val="left"/>
        <w:rPr>
          <w:rFonts w:hint="eastAsia" w:cs="宋体"/>
          <w:kern w:val="0"/>
          <w:sz w:val="24"/>
          <w:szCs w:val="24"/>
        </w:rPr>
      </w:pPr>
      <w:r>
        <w:rPr>
          <w:rFonts w:hint="eastAsia" w:cs="宋体"/>
          <w:kern w:val="0"/>
          <w:sz w:val="24"/>
          <w:szCs w:val="24"/>
        </w:rPr>
        <w:t>注册资金证明；</w:t>
      </w:r>
    </w:p>
    <w:p>
      <w:pPr>
        <w:numPr>
          <w:ilvl w:val="0"/>
          <w:numId w:val="9"/>
        </w:numPr>
        <w:autoSpaceDE w:val="0"/>
        <w:autoSpaceDN w:val="0"/>
        <w:adjustRightInd w:val="0"/>
        <w:spacing w:line="360" w:lineRule="auto"/>
        <w:jc w:val="left"/>
        <w:rPr>
          <w:rFonts w:cs="宋体"/>
          <w:kern w:val="0"/>
          <w:sz w:val="24"/>
          <w:szCs w:val="24"/>
        </w:rPr>
      </w:pPr>
      <w:r>
        <w:rPr>
          <w:rFonts w:hint="eastAsia" w:cs="宋体"/>
          <w:kern w:val="0"/>
          <w:sz w:val="24"/>
          <w:szCs w:val="24"/>
        </w:rPr>
        <w:t>企业规模；</w:t>
      </w:r>
    </w:p>
    <w:p>
      <w:pPr>
        <w:numPr>
          <w:ilvl w:val="0"/>
          <w:numId w:val="9"/>
        </w:numPr>
        <w:autoSpaceDE w:val="0"/>
        <w:autoSpaceDN w:val="0"/>
        <w:adjustRightInd w:val="0"/>
        <w:spacing w:line="360" w:lineRule="auto"/>
        <w:jc w:val="left"/>
        <w:rPr>
          <w:rFonts w:cs="宋体"/>
          <w:b/>
          <w:kern w:val="0"/>
          <w:sz w:val="24"/>
          <w:szCs w:val="24"/>
        </w:rPr>
      </w:pPr>
      <w:r>
        <w:rPr>
          <w:rFonts w:hint="eastAsia" w:cs="宋体"/>
          <w:b/>
          <w:kern w:val="0"/>
          <w:sz w:val="24"/>
          <w:szCs w:val="24"/>
        </w:rPr>
        <w:t>同类产品202</w:t>
      </w:r>
      <w:r>
        <w:rPr>
          <w:rFonts w:hint="eastAsia" w:cs="宋体"/>
          <w:b/>
          <w:kern w:val="0"/>
          <w:sz w:val="24"/>
          <w:szCs w:val="24"/>
          <w:lang w:val="en-US" w:eastAsia="zh-CN"/>
        </w:rPr>
        <w:t>2</w:t>
      </w:r>
      <w:r>
        <w:rPr>
          <w:rFonts w:hint="eastAsia" w:cs="宋体"/>
          <w:b/>
          <w:kern w:val="0"/>
          <w:sz w:val="24"/>
          <w:szCs w:val="24"/>
        </w:rPr>
        <w:t>年第一季度至202</w:t>
      </w:r>
      <w:r>
        <w:rPr>
          <w:rFonts w:hint="eastAsia" w:cs="宋体"/>
          <w:b/>
          <w:kern w:val="0"/>
          <w:sz w:val="24"/>
          <w:szCs w:val="24"/>
          <w:lang w:val="en-US" w:eastAsia="zh-CN"/>
        </w:rPr>
        <w:t>5</w:t>
      </w:r>
      <w:r>
        <w:rPr>
          <w:rFonts w:hint="eastAsia" w:cs="宋体"/>
          <w:b/>
          <w:kern w:val="0"/>
          <w:sz w:val="24"/>
          <w:szCs w:val="24"/>
        </w:rPr>
        <w:t>年第一季度的销售情况</w:t>
      </w:r>
      <w:r>
        <w:rPr>
          <w:rFonts w:hint="eastAsia"/>
          <w:b/>
          <w:sz w:val="24"/>
          <w:szCs w:val="24"/>
        </w:rPr>
        <w:t>（附合同复印件或中标通知书）；</w:t>
      </w:r>
    </w:p>
    <w:p>
      <w:pPr>
        <w:numPr>
          <w:ilvl w:val="0"/>
          <w:numId w:val="9"/>
        </w:numPr>
        <w:autoSpaceDE w:val="0"/>
        <w:autoSpaceDN w:val="0"/>
        <w:adjustRightInd w:val="0"/>
        <w:spacing w:line="360" w:lineRule="auto"/>
        <w:jc w:val="left"/>
        <w:rPr>
          <w:rFonts w:cs="宋体"/>
          <w:kern w:val="0"/>
          <w:sz w:val="24"/>
          <w:szCs w:val="24"/>
        </w:rPr>
      </w:pPr>
      <w:r>
        <w:rPr>
          <w:rFonts w:hint="eastAsia" w:cs="宋体"/>
          <w:kern w:val="0"/>
          <w:sz w:val="24"/>
          <w:szCs w:val="24"/>
        </w:rPr>
        <w:t>制造加工能力；</w:t>
      </w:r>
    </w:p>
    <w:p>
      <w:pPr>
        <w:numPr>
          <w:ilvl w:val="0"/>
          <w:numId w:val="9"/>
        </w:numPr>
        <w:autoSpaceDE w:val="0"/>
        <w:autoSpaceDN w:val="0"/>
        <w:adjustRightInd w:val="0"/>
        <w:spacing w:line="360" w:lineRule="auto"/>
        <w:jc w:val="left"/>
        <w:rPr>
          <w:rFonts w:cs="宋体"/>
          <w:kern w:val="0"/>
          <w:sz w:val="24"/>
          <w:szCs w:val="24"/>
        </w:rPr>
      </w:pPr>
      <w:r>
        <w:rPr>
          <w:rFonts w:hint="eastAsia" w:cs="宋体"/>
          <w:kern w:val="0"/>
          <w:sz w:val="24"/>
          <w:szCs w:val="24"/>
        </w:rPr>
        <w:t>财务报表（仅提供202</w:t>
      </w:r>
      <w:r>
        <w:rPr>
          <w:rFonts w:hint="eastAsia" w:cs="宋体"/>
          <w:kern w:val="0"/>
          <w:sz w:val="24"/>
          <w:szCs w:val="24"/>
          <w:lang w:val="en-US" w:eastAsia="zh-CN"/>
        </w:rPr>
        <w:t>2</w:t>
      </w:r>
      <w:r>
        <w:rPr>
          <w:rFonts w:hint="eastAsia" w:cs="宋体"/>
          <w:kern w:val="0"/>
          <w:sz w:val="24"/>
          <w:szCs w:val="24"/>
        </w:rPr>
        <w:t>年度、202</w:t>
      </w:r>
      <w:r>
        <w:rPr>
          <w:rFonts w:hint="eastAsia" w:cs="宋体"/>
          <w:kern w:val="0"/>
          <w:sz w:val="24"/>
          <w:szCs w:val="24"/>
          <w:lang w:val="en-US" w:eastAsia="zh-CN"/>
        </w:rPr>
        <w:t>3</w:t>
      </w:r>
      <w:r>
        <w:rPr>
          <w:rFonts w:hint="eastAsia" w:cs="宋体"/>
          <w:kern w:val="0"/>
          <w:sz w:val="24"/>
          <w:szCs w:val="24"/>
        </w:rPr>
        <w:t>年度、202</w:t>
      </w:r>
      <w:r>
        <w:rPr>
          <w:rFonts w:hint="eastAsia" w:cs="宋体"/>
          <w:kern w:val="0"/>
          <w:sz w:val="24"/>
          <w:szCs w:val="24"/>
          <w:lang w:val="en-US" w:eastAsia="zh-CN"/>
        </w:rPr>
        <w:t>4</w:t>
      </w:r>
      <w:r>
        <w:rPr>
          <w:rFonts w:hint="eastAsia" w:cs="宋体"/>
          <w:kern w:val="0"/>
          <w:sz w:val="24"/>
          <w:szCs w:val="24"/>
        </w:rPr>
        <w:t>年度财务报表中的资产负债表、现金流量表、利润表）；</w:t>
      </w:r>
    </w:p>
    <w:p>
      <w:pPr>
        <w:numPr>
          <w:ilvl w:val="0"/>
          <w:numId w:val="9"/>
        </w:numPr>
        <w:autoSpaceDE w:val="0"/>
        <w:autoSpaceDN w:val="0"/>
        <w:adjustRightInd w:val="0"/>
        <w:spacing w:line="360" w:lineRule="auto"/>
        <w:jc w:val="left"/>
        <w:rPr>
          <w:rFonts w:cs="宋体"/>
          <w:kern w:val="0"/>
          <w:sz w:val="24"/>
          <w:szCs w:val="24"/>
        </w:rPr>
      </w:pPr>
      <w:r>
        <w:rPr>
          <w:rFonts w:hint="eastAsia" w:cs="宋体"/>
          <w:kern w:val="0"/>
          <w:sz w:val="24"/>
          <w:szCs w:val="24"/>
        </w:rPr>
        <w:t>获奖情况。</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napToGri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spacing w:line="360" w:lineRule="auto"/>
        <w:jc w:val="center"/>
        <w:rPr>
          <w:rFonts w:hint="eastAsia" w:cs="宋体"/>
          <w:b/>
          <w:bCs/>
          <w:sz w:val="28"/>
          <w:szCs w:val="28"/>
          <w:lang w:bidi="zh-CN"/>
        </w:rPr>
      </w:pPr>
      <w:bookmarkStart w:id="893" w:name="_Toc17206"/>
      <w:bookmarkStart w:id="894" w:name="_Toc62057301"/>
      <w:bookmarkStart w:id="895" w:name="_Toc1674"/>
      <w:bookmarkStart w:id="896" w:name="_Toc22747"/>
      <w:bookmarkStart w:id="897" w:name="_Toc148459153"/>
      <w:bookmarkStart w:id="898" w:name="_Toc19378"/>
      <w:r>
        <w:rPr>
          <w:rFonts w:hint="eastAsia" w:cs="宋体"/>
          <w:b/>
          <w:bCs/>
          <w:sz w:val="28"/>
          <w:szCs w:val="28"/>
          <w:lang w:bidi="zh-CN"/>
        </w:rPr>
        <w:t>三、投标人提供的随机配件、附件和工具等清单</w:t>
      </w:r>
      <w:bookmarkEnd w:id="893"/>
      <w:bookmarkEnd w:id="894"/>
      <w:bookmarkEnd w:id="895"/>
      <w:bookmarkEnd w:id="896"/>
      <w:bookmarkEnd w:id="897"/>
      <w:bookmarkEnd w:id="898"/>
    </w:p>
    <w:tbl>
      <w:tblPr>
        <w:tblStyle w:val="28"/>
        <w:tblW w:w="8517" w:type="dxa"/>
        <w:jc w:val="center"/>
        <w:tblInd w:w="0" w:type="dxa"/>
        <w:tblLayout w:type="fixed"/>
        <w:tblCellMar>
          <w:top w:w="0" w:type="dxa"/>
          <w:left w:w="108" w:type="dxa"/>
          <w:bottom w:w="0" w:type="dxa"/>
          <w:right w:w="108" w:type="dxa"/>
        </w:tblCellMar>
      </w:tblPr>
      <w:tblGrid>
        <w:gridCol w:w="1064"/>
        <w:gridCol w:w="1065"/>
        <w:gridCol w:w="910"/>
        <w:gridCol w:w="1218"/>
        <w:gridCol w:w="1063"/>
        <w:gridCol w:w="974"/>
        <w:gridCol w:w="1153"/>
        <w:gridCol w:w="1070"/>
      </w:tblGrid>
      <w:tr>
        <w:tblPrEx>
          <w:tblLayout w:type="fixed"/>
          <w:tblCellMar>
            <w:top w:w="0" w:type="dxa"/>
            <w:left w:w="108" w:type="dxa"/>
            <w:bottom w:w="0" w:type="dxa"/>
            <w:right w:w="108" w:type="dxa"/>
          </w:tblCellMar>
        </w:tblPrEx>
        <w:trPr>
          <w:trHeight w:val="68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名称</w:t>
            </w:r>
          </w:p>
        </w:tc>
        <w:tc>
          <w:tcPr>
            <w:tcW w:w="10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单位</w:t>
            </w:r>
          </w:p>
        </w:tc>
        <w:tc>
          <w:tcPr>
            <w:tcW w:w="91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数量</w:t>
            </w:r>
          </w:p>
        </w:tc>
        <w:tc>
          <w:tcPr>
            <w:tcW w:w="1218"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不含税单价（元）</w:t>
            </w:r>
          </w:p>
        </w:tc>
        <w:tc>
          <w:tcPr>
            <w:tcW w:w="106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金额（元）</w:t>
            </w:r>
          </w:p>
        </w:tc>
        <w:tc>
          <w:tcPr>
            <w:tcW w:w="97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增值税率（%）</w:t>
            </w:r>
          </w:p>
        </w:tc>
        <w:tc>
          <w:tcPr>
            <w:tcW w:w="115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增值税税额（元）</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价税合计（元）</w:t>
            </w: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合计</w:t>
            </w: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bl>
    <w:p>
      <w:pPr>
        <w:spacing w:line="360" w:lineRule="auto"/>
        <w:ind w:firstLine="482" w:firstLineChars="200"/>
        <w:rPr>
          <w:rFonts w:hint="eastAsia" w:cs="宋体"/>
          <w:sz w:val="24"/>
          <w:szCs w:val="24"/>
        </w:rPr>
      </w:pPr>
      <w:r>
        <w:rPr>
          <w:rFonts w:hint="eastAsia" w:cs="宋体"/>
          <w:b/>
          <w:sz w:val="24"/>
          <w:szCs w:val="24"/>
        </w:rPr>
        <w:t>说明：1、上述材料已包括在投标报价中，不再计算</w:t>
      </w:r>
      <w:r>
        <w:rPr>
          <w:rFonts w:hint="eastAsia" w:cs="宋体"/>
          <w:sz w:val="24"/>
          <w:szCs w:val="24"/>
        </w:rPr>
        <w:t>。</w:t>
      </w:r>
    </w:p>
    <w:p>
      <w:pPr>
        <w:autoSpaceDE w:val="0"/>
        <w:autoSpaceDN w:val="0"/>
        <w:adjustRightInd w:val="0"/>
        <w:jc w:val="left"/>
        <w:rPr>
          <w:rFonts w:hint="eastAsia" w:cs="宋体"/>
          <w:kern w:val="0"/>
          <w:sz w:val="28"/>
          <w:szCs w:val="28"/>
        </w:rPr>
      </w:pPr>
      <w:bookmarkStart w:id="899" w:name="_Toc62057302"/>
      <w:bookmarkStart w:id="900" w:name="_Toc1755"/>
      <w:bookmarkStart w:id="901" w:name="_Toc5379"/>
      <w:bookmarkStart w:id="902" w:name="_Toc11475"/>
    </w:p>
    <w:p>
      <w:pPr>
        <w:pStyle w:val="65"/>
        <w:rPr>
          <w:rFonts w:hint="eastAsia"/>
          <w:color w:val="auto"/>
        </w:rPr>
      </w:pPr>
    </w:p>
    <w:p>
      <w:pPr>
        <w:pStyle w:val="65"/>
        <w:rPr>
          <w:rFonts w:hint="eastAsia"/>
          <w:color w:val="auto"/>
        </w:rPr>
      </w:pPr>
    </w:p>
    <w:p>
      <w:pPr>
        <w:pStyle w:val="65"/>
        <w:rPr>
          <w:rFonts w:hint="eastAsia"/>
          <w:color w:val="auto"/>
        </w:rPr>
      </w:pPr>
    </w:p>
    <w:p>
      <w:pPr>
        <w:pStyle w:val="65"/>
        <w:rPr>
          <w:rFonts w:hint="eastAsia"/>
          <w:color w:val="auto"/>
        </w:rPr>
      </w:pPr>
    </w:p>
    <w:p>
      <w:pPr>
        <w:pStyle w:val="65"/>
        <w:rPr>
          <w:rFonts w:hint="eastAsia"/>
          <w:color w:val="auto"/>
        </w:rPr>
      </w:pPr>
    </w:p>
    <w:p>
      <w:pPr>
        <w:snapToGrid w:val="0"/>
        <w:spacing w:line="480" w:lineRule="auto"/>
        <w:ind w:firstLine="420" w:firstLineChars="200"/>
        <w:jc w:val="right"/>
        <w:rPr>
          <w:rFonts w:hint="eastAsia"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autoSpaceDE w:val="0"/>
        <w:autoSpaceDN w:val="0"/>
        <w:spacing w:before="20" w:after="20" w:line="360" w:lineRule="auto"/>
        <w:jc w:val="center"/>
        <w:outlineLvl w:val="9"/>
        <w:rPr>
          <w:rFonts w:hint="eastAsia" w:ascii="宋体" w:hAnsi="宋体"/>
          <w:b/>
          <w:bCs/>
          <w:sz w:val="28"/>
          <w:szCs w:val="28"/>
          <w:lang w:bidi="zh-CN"/>
        </w:rPr>
      </w:pPr>
      <w:bookmarkStart w:id="903" w:name="_Toc148459154"/>
    </w:p>
    <w:p>
      <w:pPr>
        <w:autoSpaceDE w:val="0"/>
        <w:autoSpaceDN w:val="0"/>
        <w:spacing w:before="20" w:after="20" w:line="360" w:lineRule="auto"/>
        <w:jc w:val="center"/>
        <w:outlineLvl w:val="9"/>
        <w:rPr>
          <w:rFonts w:hint="eastAsia" w:ascii="宋体" w:hAnsi="宋体"/>
          <w:b/>
          <w:bCs/>
          <w:sz w:val="28"/>
          <w:szCs w:val="28"/>
          <w:lang w:bidi="zh-CN"/>
        </w:rPr>
      </w:pPr>
    </w:p>
    <w:p>
      <w:pPr>
        <w:autoSpaceDE w:val="0"/>
        <w:autoSpaceDN w:val="0"/>
        <w:spacing w:before="20" w:after="20" w:line="360" w:lineRule="auto"/>
        <w:jc w:val="center"/>
        <w:outlineLvl w:val="9"/>
        <w:rPr>
          <w:rFonts w:hint="eastAsia" w:ascii="宋体" w:hAnsi="宋体"/>
          <w:b/>
          <w:bCs/>
          <w:sz w:val="28"/>
          <w:szCs w:val="28"/>
        </w:rPr>
      </w:pPr>
      <w:r>
        <w:rPr>
          <w:rFonts w:hint="eastAsia" w:ascii="宋体" w:hAnsi="宋体"/>
          <w:b/>
          <w:bCs/>
          <w:sz w:val="28"/>
          <w:szCs w:val="28"/>
          <w:lang w:bidi="zh-CN"/>
        </w:rPr>
        <w:t>四、设备运行日常需更换的易损件及维修配件等清单</w:t>
      </w:r>
      <w:bookmarkEnd w:id="899"/>
      <w:bookmarkEnd w:id="900"/>
      <w:bookmarkEnd w:id="901"/>
      <w:bookmarkEnd w:id="902"/>
      <w:bookmarkEnd w:id="903"/>
    </w:p>
    <w:tbl>
      <w:tblPr>
        <w:tblStyle w:val="28"/>
        <w:tblW w:w="9021" w:type="dxa"/>
        <w:jc w:val="center"/>
        <w:tblInd w:w="0" w:type="dxa"/>
        <w:tblLayout w:type="fixed"/>
        <w:tblCellMar>
          <w:top w:w="0" w:type="dxa"/>
          <w:left w:w="108" w:type="dxa"/>
          <w:bottom w:w="0" w:type="dxa"/>
          <w:right w:w="108" w:type="dxa"/>
        </w:tblCellMar>
      </w:tblPr>
      <w:tblGrid>
        <w:gridCol w:w="1319"/>
        <w:gridCol w:w="742"/>
        <w:gridCol w:w="705"/>
        <w:gridCol w:w="1275"/>
        <w:gridCol w:w="840"/>
        <w:gridCol w:w="1035"/>
        <w:gridCol w:w="990"/>
        <w:gridCol w:w="1095"/>
        <w:gridCol w:w="1020"/>
      </w:tblGrid>
      <w:tr>
        <w:tblPrEx>
          <w:tblLayout w:type="fixed"/>
          <w:tblCellMar>
            <w:top w:w="0" w:type="dxa"/>
            <w:left w:w="108" w:type="dxa"/>
            <w:bottom w:w="0" w:type="dxa"/>
            <w:right w:w="108" w:type="dxa"/>
          </w:tblCellMar>
        </w:tblPrEx>
        <w:trPr>
          <w:trHeight w:val="680" w:hRule="atLeast"/>
          <w:jc w:val="center"/>
        </w:trPr>
        <w:tc>
          <w:tcPr>
            <w:tcW w:w="13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名称</w:t>
            </w:r>
          </w:p>
        </w:tc>
        <w:tc>
          <w:tcPr>
            <w:tcW w:w="74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单位</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数量</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不含税单价（元）</w:t>
            </w:r>
          </w:p>
        </w:tc>
        <w:tc>
          <w:tcPr>
            <w:tcW w:w="8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金额（元）</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增值税税率（%）</w:t>
            </w:r>
          </w:p>
        </w:tc>
        <w:tc>
          <w:tcPr>
            <w:tcW w:w="99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税额（元）</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价税合计（元）</w:t>
            </w:r>
          </w:p>
        </w:tc>
        <w:tc>
          <w:tcPr>
            <w:tcW w:w="102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备注</w:t>
            </w: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pStyle w:val="27"/>
              <w:ind w:left="0" w:leftChars="0" w:firstLine="0" w:firstLineChars="0"/>
              <w:jc w:val="center"/>
              <w:rPr>
                <w:rFonts w:ascii="宋体" w:hAnsi="宋体"/>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合计</w:t>
            </w: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bl>
    <w:p>
      <w:pPr>
        <w:spacing w:line="360" w:lineRule="auto"/>
        <w:ind w:firstLine="480" w:firstLineChars="200"/>
        <w:rPr>
          <w:rFonts w:cs="宋体"/>
          <w:sz w:val="24"/>
          <w:szCs w:val="24"/>
        </w:rPr>
      </w:pPr>
      <w:r>
        <w:rPr>
          <w:rFonts w:hint="eastAsia" w:cs="宋体"/>
          <w:sz w:val="24"/>
          <w:szCs w:val="24"/>
        </w:rPr>
        <w:t>说明：1、上述报价不计入投标报价中，仅供招标人评标时参考，后续设备日常运行中招标人可自行决定供方；</w:t>
      </w:r>
    </w:p>
    <w:p>
      <w:pPr>
        <w:spacing w:line="360" w:lineRule="auto"/>
        <w:ind w:firstLine="1200" w:firstLineChars="500"/>
        <w:rPr>
          <w:rFonts w:cs="宋体"/>
          <w:sz w:val="24"/>
          <w:szCs w:val="24"/>
        </w:rPr>
      </w:pPr>
      <w:r>
        <w:rPr>
          <w:rFonts w:hint="eastAsia" w:cs="宋体"/>
          <w:sz w:val="24"/>
          <w:szCs w:val="24"/>
        </w:rPr>
        <w:t>2、中标人在合同签订后三年内不得对上述报价上浮，在价格下调时也应给招标人同等优惠。</w:t>
      </w:r>
    </w:p>
    <w:p>
      <w:pPr>
        <w:pStyle w:val="17"/>
        <w:rPr>
          <w:rFonts w:cs="宋体"/>
          <w:szCs w:val="21"/>
        </w:rPr>
      </w:pPr>
    </w:p>
    <w:p>
      <w:pPr>
        <w:autoSpaceDE w:val="0"/>
        <w:autoSpaceDN w:val="0"/>
        <w:adjustRightInd w:val="0"/>
        <w:jc w:val="left"/>
        <w:rPr>
          <w:rFonts w:hint="eastAsia" w:cs="宋体"/>
          <w:kern w:val="0"/>
          <w:sz w:val="28"/>
          <w:szCs w:val="28"/>
        </w:rPr>
      </w:pPr>
    </w:p>
    <w:p>
      <w:pPr>
        <w:snapToGrid w:val="0"/>
        <w:spacing w:line="480" w:lineRule="auto"/>
        <w:ind w:firstLine="420" w:firstLineChars="200"/>
        <w:jc w:val="right"/>
        <w:rPr>
          <w:rFonts w:hint="eastAsia"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cs="宋体"/>
          <w:b/>
          <w:bCs/>
          <w:sz w:val="28"/>
          <w:szCs w:val="28"/>
          <w:lang w:bidi="zh-CN"/>
        </w:rPr>
      </w:pPr>
      <w:r>
        <w:rPr>
          <w:rFonts w:hint="eastAsia" w:cs="宋体"/>
          <w:b/>
          <w:bCs/>
          <w:sz w:val="28"/>
          <w:szCs w:val="28"/>
          <w:lang w:bidi="zh-CN"/>
        </w:rPr>
        <w:t>五、其他</w:t>
      </w:r>
    </w:p>
    <w:p>
      <w:pPr>
        <w:spacing w:line="360" w:lineRule="auto"/>
        <w:ind w:firstLine="480" w:firstLineChars="200"/>
        <w:rPr>
          <w:rFonts w:hint="eastAsia" w:cs="宋体"/>
          <w:sz w:val="24"/>
        </w:rPr>
      </w:pPr>
    </w:p>
    <w:p>
      <w:pPr>
        <w:spacing w:line="360" w:lineRule="auto"/>
        <w:ind w:firstLine="480" w:firstLineChars="200"/>
        <w:rPr>
          <w:rFonts w:hint="eastAsia" w:cs="宋体"/>
          <w:b/>
          <w:bCs/>
          <w:sz w:val="36"/>
          <w:szCs w:val="36"/>
        </w:rPr>
      </w:pPr>
      <w:r>
        <w:rPr>
          <w:rFonts w:hint="eastAsia" w:cs="宋体"/>
          <w:sz w:val="24"/>
        </w:rPr>
        <w:t>投标人认为应提交的其他材料，可在此附件中提交。</w:t>
      </w:r>
    </w:p>
    <w:p>
      <w:pPr>
        <w:rPr>
          <w:rFonts w:hint="eastAsia" w:cs="宋体"/>
          <w:sz w:val="28"/>
          <w:szCs w:val="28"/>
        </w:rPr>
      </w:pPr>
      <w:r>
        <w:rPr>
          <w:rFonts w:hint="eastAsia" w:cs="宋体"/>
          <w:sz w:val="28"/>
          <w:szCs w:val="28"/>
        </w:rPr>
        <w:t xml:space="preserve"> </w:t>
      </w:r>
    </w:p>
    <w:p>
      <w:pPr>
        <w:autoSpaceDE w:val="0"/>
        <w:autoSpaceDN w:val="0"/>
        <w:adjustRightInd w:val="0"/>
        <w:jc w:val="left"/>
        <w:rPr>
          <w:rFonts w:hint="eastAsia" w:cs="宋体"/>
          <w:kern w:val="0"/>
          <w:sz w:val="28"/>
          <w:szCs w:val="28"/>
        </w:rPr>
      </w:pPr>
    </w:p>
    <w:p>
      <w:pPr>
        <w:autoSpaceDE w:val="0"/>
        <w:autoSpaceDN w:val="0"/>
        <w:adjustRightInd w:val="0"/>
        <w:jc w:val="left"/>
        <w:rPr>
          <w:rFonts w:hint="eastAsia" w:cs="宋体"/>
          <w:kern w:val="0"/>
          <w:sz w:val="28"/>
          <w:szCs w:val="28"/>
        </w:rPr>
      </w:pPr>
    </w:p>
    <w:p>
      <w:pPr>
        <w:snapToGrid w:val="0"/>
        <w:spacing w:line="480" w:lineRule="auto"/>
        <w:ind w:firstLine="420" w:firstLineChars="200"/>
        <w:jc w:val="right"/>
        <w:rPr>
          <w:rFonts w:hint="eastAsia"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autoSpaceDE w:val="0"/>
        <w:autoSpaceDN w:val="0"/>
        <w:adjustRightInd w:val="0"/>
        <w:snapToGrid w:val="0"/>
        <w:spacing w:line="480" w:lineRule="auto"/>
        <w:rPr>
          <w:rFonts w:cs="宋体"/>
          <w:b/>
          <w:bCs/>
          <w:kern w:val="0"/>
          <w:sz w:val="28"/>
          <w:szCs w:val="28"/>
          <w:lang w:bidi="zh-CN"/>
        </w:rPr>
      </w:pPr>
    </w:p>
    <w:p>
      <w:pPr>
        <w:pStyle w:val="38"/>
        <w:jc w:val="left"/>
        <w:rPr>
          <w:rFonts w:hint="eastAsia"/>
        </w:rPr>
        <w:sectPr>
          <w:pgSz w:w="11906" w:h="16838"/>
          <w:pgMar w:top="1440" w:right="1797" w:bottom="1440" w:left="1797" w:header="851" w:footer="992" w:gutter="0"/>
          <w:cols w:space="425" w:num="1"/>
          <w:docGrid w:linePitch="312"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sz w:val="32"/>
          <w:szCs w:val="32"/>
          <w:highlight w:val="none"/>
          <w:lang w:val="en-US" w:eastAsia="zh-CN"/>
        </w:rPr>
      </w:pPr>
      <w:bookmarkStart w:id="904" w:name="_Toc23482"/>
      <w:bookmarkStart w:id="905" w:name="_Toc7552"/>
      <w:bookmarkStart w:id="906" w:name="_Toc25886"/>
      <w:bookmarkStart w:id="907" w:name="_Toc9148"/>
      <w:bookmarkStart w:id="908" w:name="_Toc11685"/>
      <w:bookmarkStart w:id="909" w:name="_Toc12885"/>
      <w:r>
        <w:rPr>
          <w:rFonts w:hint="eastAsia" w:ascii="仿宋" w:hAnsi="仿宋" w:eastAsia="仿宋" w:cs="仿宋"/>
          <w:b/>
          <w:bCs/>
          <w:sz w:val="44"/>
          <w:szCs w:val="44"/>
          <w:highlight w:val="none"/>
          <w:lang w:val="en-US" w:eastAsia="zh-CN"/>
        </w:rPr>
        <w:t>廉洁承诺书</w:t>
      </w:r>
      <w:bookmarkEnd w:id="904"/>
      <w:bookmarkEnd w:id="905"/>
      <w:bookmarkEnd w:id="906"/>
      <w:bookmarkEnd w:id="907"/>
      <w:bookmarkEnd w:id="908"/>
      <w:bookmarkEnd w:id="90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为落实廉洁自律有关规定，打击贿赂、以权谋私等违法犯罪行为，维护员工职业操守，本单位对参加厦工（三明）重型机器有限公司项目中承诺：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严格遵守党中央制定的有关廉政建设的条例、规定和国家制定的有关廉政建设的法律、法规，遵守厦工（三明）重型机器有限公司有关廉政建设的各项规定，坚持诚实信用、公平竞争的原则，为项目提供优质服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对我公司人员进行廉政教育、党纪政纪和法律法规教育，在投标中不以向招标人或者评标小组成员行贿的手段谋取中标。在投标过程中不以任何借口和方式向厦工（三明）重型机器有限公司的招标工作人员及其亲属馈赠礼金、礼品（含有价证券）；不向厦工（三明）重型机器有限公司的工作人员提供任何应由其个人支付报酬的劳务（如：建、修住宅等）、其他服务及其费用；不为厦工（三明）重型机器有限公司的工作人员安排可能影响公正进行投标工作的宴请、旅游或变相旅游等一切活动；不为厦工（三明）重型机器有限公司的工作人员报销任何名义的个人消费凭证；不为厦工（三明）重型机器有限公司的工作人员安排违反社会公德的活动；不为厦工（三明）重型机器有限公司的工作人员提供经商、办企业、消费提供特殊便利或优惠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三、在投标过程中不擅自组织任何可能影响公正进行投标工作的活动，不相互串通投标报价、不排挤其他投标人的公平竞争。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四、自觉接受监督，本单位及员工若有违反本承诺书（包括但不限于本承诺书所列举禁止行为的），一经发现，招标人有权取消我公司投标资格，投标结果无效。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投标人名称（盖章）: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478" w:leftChars="304" w:hanging="3840" w:hangingChars="1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法定代表人（盖章或签字）: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478" w:leftChars="304" w:hanging="3840" w:hangingChars="1200"/>
        <w:jc w:val="both"/>
        <w:textAlignment w:val="baseline"/>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联系电话：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宋体" w:hAnsi="宋体" w:eastAsia="宋体" w:cs="宋体"/>
          <w:sz w:val="32"/>
          <w:szCs w:val="32"/>
          <w:highlight w:val="none"/>
          <w:lang w:val="en-US"/>
        </w:rPr>
      </w:pPr>
      <w:r>
        <w:rPr>
          <w:rFonts w:hint="eastAsia" w:ascii="仿宋" w:hAnsi="仿宋" w:eastAsia="仿宋" w:cs="仿宋"/>
          <w:sz w:val="32"/>
          <w:szCs w:val="32"/>
          <w:highlight w:val="none"/>
          <w:lang w:val="en-US" w:eastAsia="zh-CN"/>
        </w:rPr>
        <w:t xml:space="preserve">日期：              </w:t>
      </w:r>
    </w:p>
    <w:p>
      <w:pPr>
        <w:pStyle w:val="38"/>
        <w:jc w:val="left"/>
        <w:rPr>
          <w:rFonts w:hint="eastAsia"/>
        </w:rPr>
      </w:pPr>
    </w:p>
    <w:sectPr>
      <w:footerReference r:id="rId9" w:type="default"/>
      <w:pgSz w:w="11900" w:h="16838"/>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ins w:id="1" w:author="suiluo" w:date="2025-07-12T13:40:34Z"/>
      </w:rPr>
    </w:pPr>
    <w:ins w:id="2" w:author="suiluo" w:date="2025-07-12T13:40:34Z">
      <w:r>
        <w:rPr>
          <w:rStyle w:val="31"/>
          <w:szCs w:val="18"/>
        </w:rPr>
        <w:fldChar w:fldCharType="begin"/>
      </w:r>
    </w:ins>
    <w:ins w:id="3" w:author="suiluo" w:date="2025-07-12T13:40:34Z">
      <w:r>
        <w:rPr>
          <w:rStyle w:val="31"/>
          <w:szCs w:val="18"/>
        </w:rPr>
        <w:instrText xml:space="preserve"> PAGE </w:instrText>
      </w:r>
    </w:ins>
    <w:ins w:id="4" w:author="suiluo" w:date="2025-07-12T13:40:34Z">
      <w:r>
        <w:rPr>
          <w:rStyle w:val="31"/>
          <w:szCs w:val="18"/>
        </w:rPr>
        <w:fldChar w:fldCharType="separate"/>
      </w:r>
    </w:ins>
    <w:ins w:id="5" w:author="suiluo" w:date="2025-07-12T13:40:34Z">
      <w:r>
        <w:rPr>
          <w:rStyle w:val="31"/>
          <w:szCs w:val="18"/>
        </w:rPr>
        <w:t>6</w:t>
      </w:r>
    </w:ins>
    <w:ins w:id="6" w:author="suiluo" w:date="2025-07-12T13:40:34Z">
      <w:r>
        <w:rPr>
          <w:rStyle w:val="31"/>
          <w:szCs w:val="18"/>
        </w:rPr>
        <w:fldChar w:fldCharType="end"/>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064606"/>
      <w:docPartObj>
        <w:docPartGallery w:val="autotext"/>
      </w:docPartObj>
    </w:sdtPr>
    <w:sdtContent>
      <w:p>
        <w:pPr>
          <w:pStyle w:val="19"/>
          <w:spacing w:after="120"/>
          <w:jc w:val="center"/>
        </w:pPr>
        <w:r>
          <w:fldChar w:fldCharType="begin"/>
        </w:r>
        <w:r>
          <w:instrText xml:space="preserve">PAGE   \* MERGEFORMAT</w:instrText>
        </w:r>
        <w:r>
          <w:fldChar w:fldCharType="separate"/>
        </w:r>
        <w:r>
          <w:rPr>
            <w:lang w:val="zh-CN"/>
          </w:rPr>
          <w:t>6</w:t>
        </w:r>
        <w: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76</w:t>
                    </w:r>
                    <w:r>
                      <w:rPr>
                        <w:rFonts w:hint="eastAsia"/>
                      </w:rPr>
                      <w:fldChar w:fldCharType="end"/>
                    </w:r>
                    <w:r>
                      <w:rPr>
                        <w:rFonts w:hint="eastAsia"/>
                      </w:rPr>
                      <w:t xml:space="preserve"> 页</w:t>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ins w:id="0" w:author="suiluo" w:date="2025-07-12T13:40:34Z"/>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8320C"/>
    <w:multiLevelType w:val="singleLevel"/>
    <w:tmpl w:val="DEF8320C"/>
    <w:lvl w:ilvl="0" w:tentative="0">
      <w:start w:val="1"/>
      <w:numFmt w:val="decimal"/>
      <w:suff w:val="nothing"/>
      <w:lvlText w:val="%1、"/>
      <w:lvlJc w:val="left"/>
    </w:lvl>
  </w:abstractNum>
  <w:abstractNum w:abstractNumId="1">
    <w:nsid w:val="FC60675F"/>
    <w:multiLevelType w:val="singleLevel"/>
    <w:tmpl w:val="FC60675F"/>
    <w:lvl w:ilvl="0" w:tentative="0">
      <w:start w:val="1"/>
      <w:numFmt w:val="decimal"/>
      <w:suff w:val="nothing"/>
      <w:lvlText w:val="（%1）"/>
      <w:lvlJc w:val="left"/>
    </w:lvl>
  </w:abstractNum>
  <w:abstractNum w:abstractNumId="2">
    <w:nsid w:val="07544C16"/>
    <w:multiLevelType w:val="multilevel"/>
    <w:tmpl w:val="07544C16"/>
    <w:lvl w:ilvl="0" w:tentative="0">
      <w:start w:val="1"/>
      <w:numFmt w:val="decimal"/>
      <w:lvlText w:val="%1)"/>
      <w:lvlJc w:val="left"/>
      <w:pPr>
        <w:tabs>
          <w:tab w:val="left" w:pos="900"/>
        </w:tabs>
        <w:ind w:left="900" w:hanging="420"/>
      </w:pPr>
      <w:rPr>
        <w:rFonts w:hint="default" w:ascii="宋体" w:hAnsi="宋体" w:eastAsia="宋体" w:cs="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3">
    <w:nsid w:val="08D2698D"/>
    <w:multiLevelType w:val="singleLevel"/>
    <w:tmpl w:val="08D2698D"/>
    <w:lvl w:ilvl="0" w:tentative="0">
      <w:start w:val="1"/>
      <w:numFmt w:val="chineseCounting"/>
      <w:suff w:val="nothing"/>
      <w:lvlText w:val="%1、"/>
      <w:lvlJc w:val="left"/>
      <w:rPr>
        <w:rFonts w:hint="eastAsia"/>
      </w:rPr>
    </w:lvl>
  </w:abstractNum>
  <w:abstractNum w:abstractNumId="4">
    <w:nsid w:val="0BD50FD9"/>
    <w:multiLevelType w:val="multilevel"/>
    <w:tmpl w:val="0BD50FD9"/>
    <w:lvl w:ilvl="0" w:tentative="0">
      <w:start w:val="5"/>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2B673BA4"/>
    <w:multiLevelType w:val="multilevel"/>
    <w:tmpl w:val="2B673BA4"/>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964"/>
        </w:tabs>
        <w:ind w:left="0" w:firstLine="425"/>
      </w:pPr>
      <w:rPr>
        <w:rFonts w:hint="eastAsia" w:ascii="宋体" w:hAnsi="宋体" w:eastAsia="宋体"/>
      </w:rPr>
    </w:lvl>
    <w:lvl w:ilvl="2" w:tentative="0">
      <w:start w:val="1"/>
      <w:numFmt w:val="decimal"/>
      <w:lvlText w:val="%1.%2.%3"/>
      <w:lvlJc w:val="left"/>
      <w:pPr>
        <w:tabs>
          <w:tab w:val="left" w:pos="964"/>
        </w:tabs>
        <w:ind w:left="0" w:firstLine="425"/>
      </w:pPr>
      <w:rPr>
        <w:rFonts w:hint="default" w:ascii="宋体" w:hAnsi="宋体" w:eastAsia="宋体"/>
        <w:sz w:val="20"/>
        <w:szCs w:val="20"/>
      </w:rPr>
    </w:lvl>
    <w:lvl w:ilvl="3" w:tentative="0">
      <w:start w:val="1"/>
      <w:numFmt w:val="decimal"/>
      <w:lvlText w:val="%1.%2.%3.%4"/>
      <w:lvlJc w:val="left"/>
      <w:pPr>
        <w:tabs>
          <w:tab w:val="left" w:pos="964"/>
        </w:tabs>
        <w:ind w:left="113" w:firstLine="312"/>
      </w:pPr>
      <w:rPr>
        <w:rFonts w:hint="eastAsia" w:ascii="宋体" w:hAnsi="宋体" w:eastAsia="宋体"/>
      </w:rPr>
    </w:lvl>
    <w:lvl w:ilvl="4" w:tentative="0">
      <w:start w:val="1"/>
      <w:numFmt w:val="decimal"/>
      <w:lvlText w:val="%1.%2.%3.%4.%5"/>
      <w:lvlJc w:val="left"/>
      <w:pPr>
        <w:tabs>
          <w:tab w:val="left" w:pos="3141"/>
        </w:tabs>
        <w:ind w:left="2551" w:hanging="850"/>
      </w:pPr>
      <w:rPr>
        <w:rFonts w:hint="eastAsia" w:ascii="宋体" w:hAnsi="宋体" w:eastAsia="宋体"/>
      </w:rPr>
    </w:lvl>
    <w:lvl w:ilvl="5" w:tentative="0">
      <w:start w:val="1"/>
      <w:numFmt w:val="decimal"/>
      <w:lvlText w:val="%1.%2.%3.%4.%5.%6"/>
      <w:lvlJc w:val="left"/>
      <w:pPr>
        <w:tabs>
          <w:tab w:val="left" w:pos="3566"/>
        </w:tabs>
        <w:ind w:left="3260" w:hanging="1134"/>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ascii="宋体" w:hAnsi="宋体" w:eastAsia="宋体"/>
      </w:rPr>
    </w:lvl>
    <w:lvl w:ilvl="7" w:tentative="0">
      <w:start w:val="1"/>
      <w:numFmt w:val="decimal"/>
      <w:lvlText w:val="%1.%2.%3.%4.%5.%6.%7.%8"/>
      <w:lvlJc w:val="left"/>
      <w:pPr>
        <w:tabs>
          <w:tab w:val="left" w:pos="5136"/>
        </w:tabs>
        <w:ind w:left="4394" w:hanging="1418"/>
      </w:pPr>
      <w:rPr>
        <w:rFonts w:hint="eastAsia" w:ascii="宋体" w:hAnsi="宋体" w:eastAsia="宋体"/>
      </w:rPr>
    </w:lvl>
    <w:lvl w:ilvl="8" w:tentative="0">
      <w:start w:val="1"/>
      <w:numFmt w:val="decimal"/>
      <w:lvlText w:val="%1.%2.%3.%4.%5.%6.%7.%8.%9"/>
      <w:lvlJc w:val="left"/>
      <w:pPr>
        <w:tabs>
          <w:tab w:val="left" w:pos="5562"/>
        </w:tabs>
        <w:ind w:left="5102" w:hanging="1700"/>
      </w:pPr>
      <w:rPr>
        <w:rFonts w:hint="eastAsia" w:ascii="宋体" w:hAnsi="宋体" w:eastAsia="宋体"/>
      </w:rPr>
    </w:lvl>
  </w:abstractNum>
  <w:abstractNum w:abstractNumId="6">
    <w:nsid w:val="597B3712"/>
    <w:multiLevelType w:val="singleLevel"/>
    <w:tmpl w:val="597B3712"/>
    <w:lvl w:ilvl="0" w:tentative="0">
      <w:start w:val="1"/>
      <w:numFmt w:val="decimal"/>
      <w:suff w:val="nothing"/>
      <w:lvlText w:val="（%1）"/>
      <w:lvlJc w:val="left"/>
    </w:lvl>
  </w:abstractNum>
  <w:abstractNum w:abstractNumId="7">
    <w:nsid w:val="7F0C3462"/>
    <w:multiLevelType w:val="multilevel"/>
    <w:tmpl w:val="7F0C3462"/>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0"/>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iluo">
    <w15:presenceInfo w15:providerId="None" w15:userId="suil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lNDY1YzUwNDZiMDk3YjE2YmMyZjBjOTA5YjUxNmEifQ=="/>
  </w:docVars>
  <w:rsids>
    <w:rsidRoot w:val="005B291A"/>
    <w:rsid w:val="00001673"/>
    <w:rsid w:val="00003B34"/>
    <w:rsid w:val="00006666"/>
    <w:rsid w:val="00006733"/>
    <w:rsid w:val="00012A1A"/>
    <w:rsid w:val="00017EC3"/>
    <w:rsid w:val="00021761"/>
    <w:rsid w:val="00024909"/>
    <w:rsid w:val="00024C20"/>
    <w:rsid w:val="000267C8"/>
    <w:rsid w:val="00032DA2"/>
    <w:rsid w:val="00034DAF"/>
    <w:rsid w:val="00035996"/>
    <w:rsid w:val="00037102"/>
    <w:rsid w:val="00037F4E"/>
    <w:rsid w:val="0004095F"/>
    <w:rsid w:val="000422F6"/>
    <w:rsid w:val="00042908"/>
    <w:rsid w:val="00053F56"/>
    <w:rsid w:val="000544C5"/>
    <w:rsid w:val="000673B9"/>
    <w:rsid w:val="0006747A"/>
    <w:rsid w:val="00070B67"/>
    <w:rsid w:val="00070DA6"/>
    <w:rsid w:val="00074E09"/>
    <w:rsid w:val="0007730F"/>
    <w:rsid w:val="00080CFD"/>
    <w:rsid w:val="000817E6"/>
    <w:rsid w:val="00084052"/>
    <w:rsid w:val="000864B2"/>
    <w:rsid w:val="00087B35"/>
    <w:rsid w:val="00090127"/>
    <w:rsid w:val="00095829"/>
    <w:rsid w:val="000A68B1"/>
    <w:rsid w:val="000B3A03"/>
    <w:rsid w:val="000D11ED"/>
    <w:rsid w:val="000D76A1"/>
    <w:rsid w:val="000E2BAF"/>
    <w:rsid w:val="000E2C51"/>
    <w:rsid w:val="000E3E4F"/>
    <w:rsid w:val="000E480B"/>
    <w:rsid w:val="000E6C68"/>
    <w:rsid w:val="000E777F"/>
    <w:rsid w:val="000F1201"/>
    <w:rsid w:val="000F5080"/>
    <w:rsid w:val="000F7FBB"/>
    <w:rsid w:val="001029FE"/>
    <w:rsid w:val="00112757"/>
    <w:rsid w:val="001168F5"/>
    <w:rsid w:val="00126812"/>
    <w:rsid w:val="00130580"/>
    <w:rsid w:val="001345AA"/>
    <w:rsid w:val="00134CC3"/>
    <w:rsid w:val="00136961"/>
    <w:rsid w:val="001474CD"/>
    <w:rsid w:val="001567E2"/>
    <w:rsid w:val="00160960"/>
    <w:rsid w:val="00163DDD"/>
    <w:rsid w:val="00166E1F"/>
    <w:rsid w:val="00170B67"/>
    <w:rsid w:val="00171EC9"/>
    <w:rsid w:val="0017240F"/>
    <w:rsid w:val="001768AC"/>
    <w:rsid w:val="001777F1"/>
    <w:rsid w:val="00180D18"/>
    <w:rsid w:val="00180DDC"/>
    <w:rsid w:val="0018280D"/>
    <w:rsid w:val="0018388E"/>
    <w:rsid w:val="0018458F"/>
    <w:rsid w:val="00185F11"/>
    <w:rsid w:val="00197BA2"/>
    <w:rsid w:val="001A0208"/>
    <w:rsid w:val="001A1574"/>
    <w:rsid w:val="001A3D26"/>
    <w:rsid w:val="001B0ACC"/>
    <w:rsid w:val="001B1204"/>
    <w:rsid w:val="001B2032"/>
    <w:rsid w:val="001C21B6"/>
    <w:rsid w:val="001C45F6"/>
    <w:rsid w:val="001D062E"/>
    <w:rsid w:val="001D21B2"/>
    <w:rsid w:val="001D4FD8"/>
    <w:rsid w:val="001D5265"/>
    <w:rsid w:val="001E0538"/>
    <w:rsid w:val="001E0D89"/>
    <w:rsid w:val="001E6A3D"/>
    <w:rsid w:val="001F0221"/>
    <w:rsid w:val="001F128E"/>
    <w:rsid w:val="001F2328"/>
    <w:rsid w:val="001F37B9"/>
    <w:rsid w:val="001F7E1C"/>
    <w:rsid w:val="00200351"/>
    <w:rsid w:val="002044DB"/>
    <w:rsid w:val="00205EBE"/>
    <w:rsid w:val="00232A4D"/>
    <w:rsid w:val="0023469A"/>
    <w:rsid w:val="00234C79"/>
    <w:rsid w:val="00246878"/>
    <w:rsid w:val="002475A8"/>
    <w:rsid w:val="00251D97"/>
    <w:rsid w:val="00252476"/>
    <w:rsid w:val="0025407F"/>
    <w:rsid w:val="002718DF"/>
    <w:rsid w:val="00271F86"/>
    <w:rsid w:val="00277E63"/>
    <w:rsid w:val="002819AA"/>
    <w:rsid w:val="00286B99"/>
    <w:rsid w:val="00290607"/>
    <w:rsid w:val="002924A2"/>
    <w:rsid w:val="00296C12"/>
    <w:rsid w:val="0029717E"/>
    <w:rsid w:val="0029796A"/>
    <w:rsid w:val="002C3785"/>
    <w:rsid w:val="002D691A"/>
    <w:rsid w:val="002E2684"/>
    <w:rsid w:val="002F0547"/>
    <w:rsid w:val="002F51B1"/>
    <w:rsid w:val="002F525A"/>
    <w:rsid w:val="002F7D75"/>
    <w:rsid w:val="003042D0"/>
    <w:rsid w:val="00307B55"/>
    <w:rsid w:val="00307D21"/>
    <w:rsid w:val="003134A5"/>
    <w:rsid w:val="003144D0"/>
    <w:rsid w:val="00314767"/>
    <w:rsid w:val="00315FEA"/>
    <w:rsid w:val="003217DA"/>
    <w:rsid w:val="00321EF2"/>
    <w:rsid w:val="0032568B"/>
    <w:rsid w:val="003274CA"/>
    <w:rsid w:val="0033240D"/>
    <w:rsid w:val="0033542E"/>
    <w:rsid w:val="0033676E"/>
    <w:rsid w:val="00337847"/>
    <w:rsid w:val="003408B9"/>
    <w:rsid w:val="00343E1D"/>
    <w:rsid w:val="0034618F"/>
    <w:rsid w:val="00351597"/>
    <w:rsid w:val="00356D88"/>
    <w:rsid w:val="00365121"/>
    <w:rsid w:val="003722B5"/>
    <w:rsid w:val="003808DF"/>
    <w:rsid w:val="00382EB7"/>
    <w:rsid w:val="00385247"/>
    <w:rsid w:val="00394719"/>
    <w:rsid w:val="00396227"/>
    <w:rsid w:val="003A02FA"/>
    <w:rsid w:val="003A2081"/>
    <w:rsid w:val="003A5BC7"/>
    <w:rsid w:val="003A5DFE"/>
    <w:rsid w:val="003A7AC3"/>
    <w:rsid w:val="003A7FB5"/>
    <w:rsid w:val="003B0484"/>
    <w:rsid w:val="003B1345"/>
    <w:rsid w:val="003B5D19"/>
    <w:rsid w:val="003C2E68"/>
    <w:rsid w:val="003C4E38"/>
    <w:rsid w:val="003C6171"/>
    <w:rsid w:val="003C736A"/>
    <w:rsid w:val="003D178F"/>
    <w:rsid w:val="003E22A5"/>
    <w:rsid w:val="003E2525"/>
    <w:rsid w:val="003E3CDB"/>
    <w:rsid w:val="003E5889"/>
    <w:rsid w:val="003E5DF6"/>
    <w:rsid w:val="003E60E6"/>
    <w:rsid w:val="003E6D3F"/>
    <w:rsid w:val="003E7D77"/>
    <w:rsid w:val="003F0091"/>
    <w:rsid w:val="003F02A0"/>
    <w:rsid w:val="003F2AD3"/>
    <w:rsid w:val="003F3BF0"/>
    <w:rsid w:val="003F642A"/>
    <w:rsid w:val="0040513C"/>
    <w:rsid w:val="0040589E"/>
    <w:rsid w:val="00407F46"/>
    <w:rsid w:val="0041209D"/>
    <w:rsid w:val="004162F7"/>
    <w:rsid w:val="0041759C"/>
    <w:rsid w:val="0042041F"/>
    <w:rsid w:val="00420597"/>
    <w:rsid w:val="00421A8D"/>
    <w:rsid w:val="00425F27"/>
    <w:rsid w:val="004359A0"/>
    <w:rsid w:val="00437C20"/>
    <w:rsid w:val="00441DEA"/>
    <w:rsid w:val="00443852"/>
    <w:rsid w:val="004457E1"/>
    <w:rsid w:val="00460E3A"/>
    <w:rsid w:val="00475BBA"/>
    <w:rsid w:val="004818EC"/>
    <w:rsid w:val="00487067"/>
    <w:rsid w:val="004872B6"/>
    <w:rsid w:val="00494005"/>
    <w:rsid w:val="0049421F"/>
    <w:rsid w:val="00495BE8"/>
    <w:rsid w:val="00496E94"/>
    <w:rsid w:val="0049722D"/>
    <w:rsid w:val="0049761D"/>
    <w:rsid w:val="004A49F9"/>
    <w:rsid w:val="004A4EE5"/>
    <w:rsid w:val="004B672F"/>
    <w:rsid w:val="004D4E88"/>
    <w:rsid w:val="004D7A2D"/>
    <w:rsid w:val="004E4001"/>
    <w:rsid w:val="004E4F62"/>
    <w:rsid w:val="004E67CD"/>
    <w:rsid w:val="004F0C25"/>
    <w:rsid w:val="004F326D"/>
    <w:rsid w:val="004F405A"/>
    <w:rsid w:val="004F6EE9"/>
    <w:rsid w:val="004F7531"/>
    <w:rsid w:val="00500209"/>
    <w:rsid w:val="00503454"/>
    <w:rsid w:val="0050369B"/>
    <w:rsid w:val="005040A1"/>
    <w:rsid w:val="005050C1"/>
    <w:rsid w:val="00506C0F"/>
    <w:rsid w:val="00507726"/>
    <w:rsid w:val="005155C5"/>
    <w:rsid w:val="005169B6"/>
    <w:rsid w:val="00517E96"/>
    <w:rsid w:val="00517F52"/>
    <w:rsid w:val="00524BD8"/>
    <w:rsid w:val="00527C2B"/>
    <w:rsid w:val="00530EA4"/>
    <w:rsid w:val="00531023"/>
    <w:rsid w:val="00537C35"/>
    <w:rsid w:val="005408D0"/>
    <w:rsid w:val="00544DFC"/>
    <w:rsid w:val="00546005"/>
    <w:rsid w:val="0054689D"/>
    <w:rsid w:val="00547307"/>
    <w:rsid w:val="00550CA1"/>
    <w:rsid w:val="0055125A"/>
    <w:rsid w:val="00553481"/>
    <w:rsid w:val="00560475"/>
    <w:rsid w:val="00562A24"/>
    <w:rsid w:val="00572A11"/>
    <w:rsid w:val="00573F7B"/>
    <w:rsid w:val="00574DBF"/>
    <w:rsid w:val="00575D26"/>
    <w:rsid w:val="0057605A"/>
    <w:rsid w:val="0058041C"/>
    <w:rsid w:val="00582E4D"/>
    <w:rsid w:val="00585DF4"/>
    <w:rsid w:val="00592674"/>
    <w:rsid w:val="00597DDF"/>
    <w:rsid w:val="005A03F5"/>
    <w:rsid w:val="005A1DC4"/>
    <w:rsid w:val="005A3775"/>
    <w:rsid w:val="005A38F2"/>
    <w:rsid w:val="005A42F7"/>
    <w:rsid w:val="005A4900"/>
    <w:rsid w:val="005A5DA6"/>
    <w:rsid w:val="005B10D0"/>
    <w:rsid w:val="005B291A"/>
    <w:rsid w:val="005C13A0"/>
    <w:rsid w:val="005C2806"/>
    <w:rsid w:val="005C348D"/>
    <w:rsid w:val="005D33E0"/>
    <w:rsid w:val="005D34D6"/>
    <w:rsid w:val="005D3751"/>
    <w:rsid w:val="005E57ED"/>
    <w:rsid w:val="005F0BAA"/>
    <w:rsid w:val="005F122D"/>
    <w:rsid w:val="005F2CAA"/>
    <w:rsid w:val="006008C2"/>
    <w:rsid w:val="00600992"/>
    <w:rsid w:val="00606D51"/>
    <w:rsid w:val="006114A1"/>
    <w:rsid w:val="0061484F"/>
    <w:rsid w:val="00622E0A"/>
    <w:rsid w:val="00625259"/>
    <w:rsid w:val="00626FC0"/>
    <w:rsid w:val="00627673"/>
    <w:rsid w:val="00637C5F"/>
    <w:rsid w:val="0064084A"/>
    <w:rsid w:val="00643906"/>
    <w:rsid w:val="00654B9E"/>
    <w:rsid w:val="00655254"/>
    <w:rsid w:val="0065794B"/>
    <w:rsid w:val="00664AA2"/>
    <w:rsid w:val="00665C7F"/>
    <w:rsid w:val="00666EBF"/>
    <w:rsid w:val="0066788C"/>
    <w:rsid w:val="006724A4"/>
    <w:rsid w:val="0067303B"/>
    <w:rsid w:val="006776DE"/>
    <w:rsid w:val="00684BC9"/>
    <w:rsid w:val="00694A3C"/>
    <w:rsid w:val="006971F9"/>
    <w:rsid w:val="006A4633"/>
    <w:rsid w:val="006A669D"/>
    <w:rsid w:val="006A6EE6"/>
    <w:rsid w:val="006B05CE"/>
    <w:rsid w:val="006B25CB"/>
    <w:rsid w:val="006B2FAD"/>
    <w:rsid w:val="006B324F"/>
    <w:rsid w:val="006B4DA8"/>
    <w:rsid w:val="006C16AE"/>
    <w:rsid w:val="006C51FF"/>
    <w:rsid w:val="006C5FA3"/>
    <w:rsid w:val="006C7F39"/>
    <w:rsid w:val="006C7F7A"/>
    <w:rsid w:val="006D2112"/>
    <w:rsid w:val="006D4EC3"/>
    <w:rsid w:val="006D6594"/>
    <w:rsid w:val="006D72E0"/>
    <w:rsid w:val="006E204E"/>
    <w:rsid w:val="006E6D80"/>
    <w:rsid w:val="006F1BBE"/>
    <w:rsid w:val="006F2B0E"/>
    <w:rsid w:val="006F2EB3"/>
    <w:rsid w:val="006F326E"/>
    <w:rsid w:val="006F456F"/>
    <w:rsid w:val="006F4579"/>
    <w:rsid w:val="006F5D09"/>
    <w:rsid w:val="006F6001"/>
    <w:rsid w:val="006F733B"/>
    <w:rsid w:val="00700397"/>
    <w:rsid w:val="00700A5A"/>
    <w:rsid w:val="0070390B"/>
    <w:rsid w:val="007054BC"/>
    <w:rsid w:val="00706AF0"/>
    <w:rsid w:val="00713C1B"/>
    <w:rsid w:val="00716295"/>
    <w:rsid w:val="00722C14"/>
    <w:rsid w:val="007269F5"/>
    <w:rsid w:val="0072777B"/>
    <w:rsid w:val="007344D3"/>
    <w:rsid w:val="00735732"/>
    <w:rsid w:val="00736840"/>
    <w:rsid w:val="0073694A"/>
    <w:rsid w:val="007426DA"/>
    <w:rsid w:val="00744CE5"/>
    <w:rsid w:val="00751F54"/>
    <w:rsid w:val="007535E4"/>
    <w:rsid w:val="00760055"/>
    <w:rsid w:val="00762480"/>
    <w:rsid w:val="00766D9F"/>
    <w:rsid w:val="00772FAB"/>
    <w:rsid w:val="0077375D"/>
    <w:rsid w:val="00774CC6"/>
    <w:rsid w:val="00785400"/>
    <w:rsid w:val="00792EC9"/>
    <w:rsid w:val="0079320D"/>
    <w:rsid w:val="00793A6C"/>
    <w:rsid w:val="0079535E"/>
    <w:rsid w:val="007975FA"/>
    <w:rsid w:val="00797D5B"/>
    <w:rsid w:val="007A194C"/>
    <w:rsid w:val="007A1AB4"/>
    <w:rsid w:val="007A2225"/>
    <w:rsid w:val="007A3B62"/>
    <w:rsid w:val="007A5D46"/>
    <w:rsid w:val="007C05F1"/>
    <w:rsid w:val="007C3B5F"/>
    <w:rsid w:val="007C7805"/>
    <w:rsid w:val="007D3514"/>
    <w:rsid w:val="007D3728"/>
    <w:rsid w:val="007D423C"/>
    <w:rsid w:val="007E0A63"/>
    <w:rsid w:val="007E1AC0"/>
    <w:rsid w:val="007E3F6F"/>
    <w:rsid w:val="007E48FE"/>
    <w:rsid w:val="007E5E55"/>
    <w:rsid w:val="007E68EC"/>
    <w:rsid w:val="007E7B40"/>
    <w:rsid w:val="007F536B"/>
    <w:rsid w:val="007F6139"/>
    <w:rsid w:val="00804A16"/>
    <w:rsid w:val="00811907"/>
    <w:rsid w:val="00820D01"/>
    <w:rsid w:val="008311BC"/>
    <w:rsid w:val="008329E2"/>
    <w:rsid w:val="00836733"/>
    <w:rsid w:val="00837FD3"/>
    <w:rsid w:val="00845F60"/>
    <w:rsid w:val="008462B4"/>
    <w:rsid w:val="00846D0F"/>
    <w:rsid w:val="008578FA"/>
    <w:rsid w:val="00860F3A"/>
    <w:rsid w:val="00863641"/>
    <w:rsid w:val="008732F9"/>
    <w:rsid w:val="00876B18"/>
    <w:rsid w:val="008829D2"/>
    <w:rsid w:val="008866DF"/>
    <w:rsid w:val="008927DD"/>
    <w:rsid w:val="0089538A"/>
    <w:rsid w:val="008A033A"/>
    <w:rsid w:val="008A1EE4"/>
    <w:rsid w:val="008A1F84"/>
    <w:rsid w:val="008A30B4"/>
    <w:rsid w:val="008B1319"/>
    <w:rsid w:val="008B1C91"/>
    <w:rsid w:val="008C2BC6"/>
    <w:rsid w:val="008C45B7"/>
    <w:rsid w:val="008C4E05"/>
    <w:rsid w:val="008C68D1"/>
    <w:rsid w:val="008C6DD4"/>
    <w:rsid w:val="008C7636"/>
    <w:rsid w:val="008D1735"/>
    <w:rsid w:val="008D2599"/>
    <w:rsid w:val="008D6D53"/>
    <w:rsid w:val="008E0118"/>
    <w:rsid w:val="008E4B68"/>
    <w:rsid w:val="008E540F"/>
    <w:rsid w:val="008E6541"/>
    <w:rsid w:val="008E718B"/>
    <w:rsid w:val="00900E62"/>
    <w:rsid w:val="00903A5C"/>
    <w:rsid w:val="00906703"/>
    <w:rsid w:val="00906B6C"/>
    <w:rsid w:val="009131D7"/>
    <w:rsid w:val="009172BD"/>
    <w:rsid w:val="00917F6D"/>
    <w:rsid w:val="0092166A"/>
    <w:rsid w:val="00922BAD"/>
    <w:rsid w:val="00940ECF"/>
    <w:rsid w:val="009410E6"/>
    <w:rsid w:val="00943A10"/>
    <w:rsid w:val="00945036"/>
    <w:rsid w:val="00945AA6"/>
    <w:rsid w:val="00951CA0"/>
    <w:rsid w:val="00953214"/>
    <w:rsid w:val="00961E92"/>
    <w:rsid w:val="0096276A"/>
    <w:rsid w:val="00963634"/>
    <w:rsid w:val="009742D3"/>
    <w:rsid w:val="00974F0E"/>
    <w:rsid w:val="00981A15"/>
    <w:rsid w:val="00987328"/>
    <w:rsid w:val="00987859"/>
    <w:rsid w:val="009932AD"/>
    <w:rsid w:val="00993BB0"/>
    <w:rsid w:val="009A1FA7"/>
    <w:rsid w:val="009A2A61"/>
    <w:rsid w:val="009A368A"/>
    <w:rsid w:val="009A3F60"/>
    <w:rsid w:val="009A5B64"/>
    <w:rsid w:val="009B3EC7"/>
    <w:rsid w:val="009B5118"/>
    <w:rsid w:val="009B6A3C"/>
    <w:rsid w:val="009C2FDE"/>
    <w:rsid w:val="009C39FC"/>
    <w:rsid w:val="009C3E97"/>
    <w:rsid w:val="009C4F57"/>
    <w:rsid w:val="009C7A17"/>
    <w:rsid w:val="009D1471"/>
    <w:rsid w:val="009D1500"/>
    <w:rsid w:val="009D2584"/>
    <w:rsid w:val="009D7D7C"/>
    <w:rsid w:val="009E06D5"/>
    <w:rsid w:val="009E1C9C"/>
    <w:rsid w:val="009E33FF"/>
    <w:rsid w:val="009E34C0"/>
    <w:rsid w:val="009E3980"/>
    <w:rsid w:val="009E5BBA"/>
    <w:rsid w:val="009F2046"/>
    <w:rsid w:val="009F23C1"/>
    <w:rsid w:val="00A01369"/>
    <w:rsid w:val="00A04A05"/>
    <w:rsid w:val="00A07D73"/>
    <w:rsid w:val="00A22635"/>
    <w:rsid w:val="00A269AA"/>
    <w:rsid w:val="00A2748F"/>
    <w:rsid w:val="00A276EC"/>
    <w:rsid w:val="00A279AA"/>
    <w:rsid w:val="00A35361"/>
    <w:rsid w:val="00A35D3C"/>
    <w:rsid w:val="00A408D8"/>
    <w:rsid w:val="00A41EB8"/>
    <w:rsid w:val="00A44B6F"/>
    <w:rsid w:val="00A553B8"/>
    <w:rsid w:val="00A55E9D"/>
    <w:rsid w:val="00A74689"/>
    <w:rsid w:val="00A76F5A"/>
    <w:rsid w:val="00A77858"/>
    <w:rsid w:val="00A82A1D"/>
    <w:rsid w:val="00A8390F"/>
    <w:rsid w:val="00A83F50"/>
    <w:rsid w:val="00A8448C"/>
    <w:rsid w:val="00A900C6"/>
    <w:rsid w:val="00A93E01"/>
    <w:rsid w:val="00A9654F"/>
    <w:rsid w:val="00A96754"/>
    <w:rsid w:val="00AA26C5"/>
    <w:rsid w:val="00AA3996"/>
    <w:rsid w:val="00AA41AD"/>
    <w:rsid w:val="00AA50D8"/>
    <w:rsid w:val="00AB0773"/>
    <w:rsid w:val="00AB38DB"/>
    <w:rsid w:val="00AB45FB"/>
    <w:rsid w:val="00AB5344"/>
    <w:rsid w:val="00AB7DAC"/>
    <w:rsid w:val="00AC0568"/>
    <w:rsid w:val="00AC0CC1"/>
    <w:rsid w:val="00AD00F9"/>
    <w:rsid w:val="00AD6BF0"/>
    <w:rsid w:val="00AE0705"/>
    <w:rsid w:val="00AE2115"/>
    <w:rsid w:val="00AE4DD7"/>
    <w:rsid w:val="00AF31AE"/>
    <w:rsid w:val="00AF398E"/>
    <w:rsid w:val="00AF5883"/>
    <w:rsid w:val="00B013D5"/>
    <w:rsid w:val="00B0488A"/>
    <w:rsid w:val="00B06701"/>
    <w:rsid w:val="00B121FA"/>
    <w:rsid w:val="00B139A7"/>
    <w:rsid w:val="00B175C7"/>
    <w:rsid w:val="00B23228"/>
    <w:rsid w:val="00B25D32"/>
    <w:rsid w:val="00B30435"/>
    <w:rsid w:val="00B307CD"/>
    <w:rsid w:val="00B33753"/>
    <w:rsid w:val="00B41E60"/>
    <w:rsid w:val="00B433E9"/>
    <w:rsid w:val="00B5458B"/>
    <w:rsid w:val="00B57068"/>
    <w:rsid w:val="00B61BEB"/>
    <w:rsid w:val="00B61EB5"/>
    <w:rsid w:val="00B7271C"/>
    <w:rsid w:val="00B75147"/>
    <w:rsid w:val="00B77326"/>
    <w:rsid w:val="00B902ED"/>
    <w:rsid w:val="00B94398"/>
    <w:rsid w:val="00B947E5"/>
    <w:rsid w:val="00B95520"/>
    <w:rsid w:val="00B958D3"/>
    <w:rsid w:val="00B968D6"/>
    <w:rsid w:val="00B97783"/>
    <w:rsid w:val="00BA6FA1"/>
    <w:rsid w:val="00BB038A"/>
    <w:rsid w:val="00BB0726"/>
    <w:rsid w:val="00BB0BE7"/>
    <w:rsid w:val="00BB3C3D"/>
    <w:rsid w:val="00BB5D98"/>
    <w:rsid w:val="00BC42B1"/>
    <w:rsid w:val="00BC7092"/>
    <w:rsid w:val="00BD4E7E"/>
    <w:rsid w:val="00BD52C1"/>
    <w:rsid w:val="00BD704D"/>
    <w:rsid w:val="00BE58FD"/>
    <w:rsid w:val="00BE6D93"/>
    <w:rsid w:val="00BF7167"/>
    <w:rsid w:val="00C00FD4"/>
    <w:rsid w:val="00C0289D"/>
    <w:rsid w:val="00C03632"/>
    <w:rsid w:val="00C04F18"/>
    <w:rsid w:val="00C17525"/>
    <w:rsid w:val="00C24476"/>
    <w:rsid w:val="00C25513"/>
    <w:rsid w:val="00C25E65"/>
    <w:rsid w:val="00C368A5"/>
    <w:rsid w:val="00C36A45"/>
    <w:rsid w:val="00C36F43"/>
    <w:rsid w:val="00C45720"/>
    <w:rsid w:val="00C4583A"/>
    <w:rsid w:val="00C46C1E"/>
    <w:rsid w:val="00C51E9C"/>
    <w:rsid w:val="00C61163"/>
    <w:rsid w:val="00C61CA6"/>
    <w:rsid w:val="00C64025"/>
    <w:rsid w:val="00C706E8"/>
    <w:rsid w:val="00C72465"/>
    <w:rsid w:val="00C75F8E"/>
    <w:rsid w:val="00C768FF"/>
    <w:rsid w:val="00C77B36"/>
    <w:rsid w:val="00C869C1"/>
    <w:rsid w:val="00C92A1F"/>
    <w:rsid w:val="00C93DDA"/>
    <w:rsid w:val="00C96CB6"/>
    <w:rsid w:val="00CA48F4"/>
    <w:rsid w:val="00CA5075"/>
    <w:rsid w:val="00CA7828"/>
    <w:rsid w:val="00CB1CC6"/>
    <w:rsid w:val="00CC06D1"/>
    <w:rsid w:val="00CC1BF5"/>
    <w:rsid w:val="00CC3ADC"/>
    <w:rsid w:val="00CC6FDF"/>
    <w:rsid w:val="00CC701E"/>
    <w:rsid w:val="00CD29AD"/>
    <w:rsid w:val="00CD3498"/>
    <w:rsid w:val="00CD39D1"/>
    <w:rsid w:val="00CE3103"/>
    <w:rsid w:val="00CE3C79"/>
    <w:rsid w:val="00CF208B"/>
    <w:rsid w:val="00CF3B58"/>
    <w:rsid w:val="00D034A9"/>
    <w:rsid w:val="00D03571"/>
    <w:rsid w:val="00D04AFA"/>
    <w:rsid w:val="00D05416"/>
    <w:rsid w:val="00D0646A"/>
    <w:rsid w:val="00D103B0"/>
    <w:rsid w:val="00D164F5"/>
    <w:rsid w:val="00D2052F"/>
    <w:rsid w:val="00D25EC8"/>
    <w:rsid w:val="00D45428"/>
    <w:rsid w:val="00D61112"/>
    <w:rsid w:val="00D64785"/>
    <w:rsid w:val="00D653CD"/>
    <w:rsid w:val="00D70B19"/>
    <w:rsid w:val="00D75FB5"/>
    <w:rsid w:val="00D862C9"/>
    <w:rsid w:val="00D86F7F"/>
    <w:rsid w:val="00D87EE1"/>
    <w:rsid w:val="00D92D37"/>
    <w:rsid w:val="00D95AF0"/>
    <w:rsid w:val="00DA1B16"/>
    <w:rsid w:val="00DB2688"/>
    <w:rsid w:val="00DB5071"/>
    <w:rsid w:val="00DB7BF9"/>
    <w:rsid w:val="00DC0656"/>
    <w:rsid w:val="00DC2862"/>
    <w:rsid w:val="00DD1698"/>
    <w:rsid w:val="00DD6BA0"/>
    <w:rsid w:val="00DE1141"/>
    <w:rsid w:val="00DE48B4"/>
    <w:rsid w:val="00DE76D1"/>
    <w:rsid w:val="00DE7BE5"/>
    <w:rsid w:val="00DF4264"/>
    <w:rsid w:val="00DF5113"/>
    <w:rsid w:val="00E0020F"/>
    <w:rsid w:val="00E042B1"/>
    <w:rsid w:val="00E04B4F"/>
    <w:rsid w:val="00E110D1"/>
    <w:rsid w:val="00E1580C"/>
    <w:rsid w:val="00E2060F"/>
    <w:rsid w:val="00E2282F"/>
    <w:rsid w:val="00E23563"/>
    <w:rsid w:val="00E2794A"/>
    <w:rsid w:val="00E3010C"/>
    <w:rsid w:val="00E328CA"/>
    <w:rsid w:val="00E334C8"/>
    <w:rsid w:val="00E3369A"/>
    <w:rsid w:val="00E34C6E"/>
    <w:rsid w:val="00E34D58"/>
    <w:rsid w:val="00E37542"/>
    <w:rsid w:val="00E4353D"/>
    <w:rsid w:val="00E4548F"/>
    <w:rsid w:val="00E477AE"/>
    <w:rsid w:val="00E51C5F"/>
    <w:rsid w:val="00E5372F"/>
    <w:rsid w:val="00E60C87"/>
    <w:rsid w:val="00E621BD"/>
    <w:rsid w:val="00E64DF5"/>
    <w:rsid w:val="00E6583C"/>
    <w:rsid w:val="00E6668E"/>
    <w:rsid w:val="00E71AFB"/>
    <w:rsid w:val="00E7206C"/>
    <w:rsid w:val="00E745D3"/>
    <w:rsid w:val="00E77BD1"/>
    <w:rsid w:val="00E83710"/>
    <w:rsid w:val="00E85D2F"/>
    <w:rsid w:val="00E85D56"/>
    <w:rsid w:val="00E9142D"/>
    <w:rsid w:val="00E944D3"/>
    <w:rsid w:val="00E946F1"/>
    <w:rsid w:val="00E95D42"/>
    <w:rsid w:val="00E95F61"/>
    <w:rsid w:val="00EA11C0"/>
    <w:rsid w:val="00EA43F2"/>
    <w:rsid w:val="00EA47EA"/>
    <w:rsid w:val="00EA7B5D"/>
    <w:rsid w:val="00EA7F01"/>
    <w:rsid w:val="00EB1110"/>
    <w:rsid w:val="00EB383B"/>
    <w:rsid w:val="00EB3BF7"/>
    <w:rsid w:val="00EB79FE"/>
    <w:rsid w:val="00EC38A8"/>
    <w:rsid w:val="00EC5F75"/>
    <w:rsid w:val="00EC668B"/>
    <w:rsid w:val="00EC72EE"/>
    <w:rsid w:val="00ED05CF"/>
    <w:rsid w:val="00ED72BC"/>
    <w:rsid w:val="00EE0BAA"/>
    <w:rsid w:val="00EE1217"/>
    <w:rsid w:val="00EE5CB6"/>
    <w:rsid w:val="00EE751D"/>
    <w:rsid w:val="00EF1AE4"/>
    <w:rsid w:val="00EF7661"/>
    <w:rsid w:val="00F00ADC"/>
    <w:rsid w:val="00F01AC5"/>
    <w:rsid w:val="00F04870"/>
    <w:rsid w:val="00F10B86"/>
    <w:rsid w:val="00F120E9"/>
    <w:rsid w:val="00F15C05"/>
    <w:rsid w:val="00F20066"/>
    <w:rsid w:val="00F2294F"/>
    <w:rsid w:val="00F25986"/>
    <w:rsid w:val="00F25FE3"/>
    <w:rsid w:val="00F3160B"/>
    <w:rsid w:val="00F31C7C"/>
    <w:rsid w:val="00F32CD7"/>
    <w:rsid w:val="00F32D4C"/>
    <w:rsid w:val="00F35B01"/>
    <w:rsid w:val="00F378C0"/>
    <w:rsid w:val="00F46040"/>
    <w:rsid w:val="00F473E1"/>
    <w:rsid w:val="00F50057"/>
    <w:rsid w:val="00F54F82"/>
    <w:rsid w:val="00F6145A"/>
    <w:rsid w:val="00F6270D"/>
    <w:rsid w:val="00F649AD"/>
    <w:rsid w:val="00F70488"/>
    <w:rsid w:val="00F71103"/>
    <w:rsid w:val="00F71871"/>
    <w:rsid w:val="00F7527E"/>
    <w:rsid w:val="00F8148B"/>
    <w:rsid w:val="00F827D4"/>
    <w:rsid w:val="00F845F2"/>
    <w:rsid w:val="00F91D67"/>
    <w:rsid w:val="00F9288A"/>
    <w:rsid w:val="00F96F69"/>
    <w:rsid w:val="00F97318"/>
    <w:rsid w:val="00FA053C"/>
    <w:rsid w:val="00FA1FD7"/>
    <w:rsid w:val="00FA2694"/>
    <w:rsid w:val="00FA5F78"/>
    <w:rsid w:val="00FA63E1"/>
    <w:rsid w:val="00FA6F02"/>
    <w:rsid w:val="00FB394A"/>
    <w:rsid w:val="00FC09D0"/>
    <w:rsid w:val="00FC2BE6"/>
    <w:rsid w:val="00FC44BF"/>
    <w:rsid w:val="00FD0AFB"/>
    <w:rsid w:val="00FD3984"/>
    <w:rsid w:val="00FE2FB3"/>
    <w:rsid w:val="00FE30B3"/>
    <w:rsid w:val="00FF0FBA"/>
    <w:rsid w:val="00FF7D58"/>
    <w:rsid w:val="0459169F"/>
    <w:rsid w:val="049A4077"/>
    <w:rsid w:val="04F52AF1"/>
    <w:rsid w:val="05222391"/>
    <w:rsid w:val="06425055"/>
    <w:rsid w:val="09801CE3"/>
    <w:rsid w:val="09D04B47"/>
    <w:rsid w:val="0BFD30ED"/>
    <w:rsid w:val="0DF341CF"/>
    <w:rsid w:val="0E8F637E"/>
    <w:rsid w:val="0EAB6A89"/>
    <w:rsid w:val="0FA06621"/>
    <w:rsid w:val="11394ECD"/>
    <w:rsid w:val="116704C3"/>
    <w:rsid w:val="11C90689"/>
    <w:rsid w:val="121B29F9"/>
    <w:rsid w:val="12EF1866"/>
    <w:rsid w:val="1398797E"/>
    <w:rsid w:val="1519209B"/>
    <w:rsid w:val="159774D9"/>
    <w:rsid w:val="16367CF2"/>
    <w:rsid w:val="167917B3"/>
    <w:rsid w:val="16B34B25"/>
    <w:rsid w:val="17460098"/>
    <w:rsid w:val="187A1BA2"/>
    <w:rsid w:val="18BA40C4"/>
    <w:rsid w:val="19042BD4"/>
    <w:rsid w:val="19B77EB6"/>
    <w:rsid w:val="1A254E74"/>
    <w:rsid w:val="1A433C48"/>
    <w:rsid w:val="1A9D4700"/>
    <w:rsid w:val="1ACE16AA"/>
    <w:rsid w:val="1C072BC1"/>
    <w:rsid w:val="1CBD7607"/>
    <w:rsid w:val="1E7670D3"/>
    <w:rsid w:val="1EAA6455"/>
    <w:rsid w:val="1F9038EF"/>
    <w:rsid w:val="1FE2027C"/>
    <w:rsid w:val="20643745"/>
    <w:rsid w:val="20D87472"/>
    <w:rsid w:val="214766FC"/>
    <w:rsid w:val="21F12A4C"/>
    <w:rsid w:val="2323430D"/>
    <w:rsid w:val="26261D9B"/>
    <w:rsid w:val="26A74146"/>
    <w:rsid w:val="26B2258E"/>
    <w:rsid w:val="26CB1D6F"/>
    <w:rsid w:val="273137D1"/>
    <w:rsid w:val="27AE6A3A"/>
    <w:rsid w:val="288B6689"/>
    <w:rsid w:val="2959062C"/>
    <w:rsid w:val="2A574499"/>
    <w:rsid w:val="2A7C3768"/>
    <w:rsid w:val="2C0A469E"/>
    <w:rsid w:val="2CB00AAD"/>
    <w:rsid w:val="2CBA06D5"/>
    <w:rsid w:val="2D4069E7"/>
    <w:rsid w:val="2F513AD9"/>
    <w:rsid w:val="2F823A02"/>
    <w:rsid w:val="3020498C"/>
    <w:rsid w:val="32DE3B39"/>
    <w:rsid w:val="32F3632F"/>
    <w:rsid w:val="33D07D2A"/>
    <w:rsid w:val="355C0AD5"/>
    <w:rsid w:val="35B467F1"/>
    <w:rsid w:val="37B4488E"/>
    <w:rsid w:val="37B81E60"/>
    <w:rsid w:val="38F11583"/>
    <w:rsid w:val="391B59BA"/>
    <w:rsid w:val="3A8801E4"/>
    <w:rsid w:val="3A9E530C"/>
    <w:rsid w:val="3E1916D5"/>
    <w:rsid w:val="3F037764"/>
    <w:rsid w:val="413771BF"/>
    <w:rsid w:val="41662D45"/>
    <w:rsid w:val="42DD2F74"/>
    <w:rsid w:val="45344D69"/>
    <w:rsid w:val="46CE43B3"/>
    <w:rsid w:val="471F21B9"/>
    <w:rsid w:val="48805E70"/>
    <w:rsid w:val="49484C1A"/>
    <w:rsid w:val="496500B9"/>
    <w:rsid w:val="496A7695"/>
    <w:rsid w:val="49A40179"/>
    <w:rsid w:val="4BE369BB"/>
    <w:rsid w:val="4C2B7EB6"/>
    <w:rsid w:val="4CC50AAB"/>
    <w:rsid w:val="4DAF66E5"/>
    <w:rsid w:val="4EE945C5"/>
    <w:rsid w:val="4FEC4E95"/>
    <w:rsid w:val="50F91D44"/>
    <w:rsid w:val="51CC5170"/>
    <w:rsid w:val="51EB5087"/>
    <w:rsid w:val="528075D0"/>
    <w:rsid w:val="52836EF8"/>
    <w:rsid w:val="53174D8A"/>
    <w:rsid w:val="53876141"/>
    <w:rsid w:val="5452164E"/>
    <w:rsid w:val="550B5AC9"/>
    <w:rsid w:val="55B70031"/>
    <w:rsid w:val="5611664B"/>
    <w:rsid w:val="576A01A0"/>
    <w:rsid w:val="57D5690F"/>
    <w:rsid w:val="588A274D"/>
    <w:rsid w:val="58EC6975"/>
    <w:rsid w:val="59976AFA"/>
    <w:rsid w:val="5A3E4927"/>
    <w:rsid w:val="5A7A285A"/>
    <w:rsid w:val="5B522080"/>
    <w:rsid w:val="5B687515"/>
    <w:rsid w:val="5D7A7960"/>
    <w:rsid w:val="5E367A09"/>
    <w:rsid w:val="5FA432D5"/>
    <w:rsid w:val="5FCE68A8"/>
    <w:rsid w:val="603A6137"/>
    <w:rsid w:val="60873494"/>
    <w:rsid w:val="61396ECC"/>
    <w:rsid w:val="61FE7804"/>
    <w:rsid w:val="639D4312"/>
    <w:rsid w:val="656055FA"/>
    <w:rsid w:val="65FC1B98"/>
    <w:rsid w:val="66AA78D1"/>
    <w:rsid w:val="66B30AD9"/>
    <w:rsid w:val="66D72231"/>
    <w:rsid w:val="66E83C0D"/>
    <w:rsid w:val="67557EAB"/>
    <w:rsid w:val="6823708F"/>
    <w:rsid w:val="690177C4"/>
    <w:rsid w:val="6A223D69"/>
    <w:rsid w:val="6A2A361C"/>
    <w:rsid w:val="6A354D46"/>
    <w:rsid w:val="6C6D2CBF"/>
    <w:rsid w:val="6CA22EF8"/>
    <w:rsid w:val="6CF94FF3"/>
    <w:rsid w:val="6EED49C0"/>
    <w:rsid w:val="70C2021B"/>
    <w:rsid w:val="71461D70"/>
    <w:rsid w:val="722A46F4"/>
    <w:rsid w:val="72470A13"/>
    <w:rsid w:val="72494D61"/>
    <w:rsid w:val="72A92280"/>
    <w:rsid w:val="7365502F"/>
    <w:rsid w:val="7415638E"/>
    <w:rsid w:val="74C56B4A"/>
    <w:rsid w:val="74D518DA"/>
    <w:rsid w:val="75E93AC3"/>
    <w:rsid w:val="762531FE"/>
    <w:rsid w:val="76970600"/>
    <w:rsid w:val="77006CD5"/>
    <w:rsid w:val="776F3FF8"/>
    <w:rsid w:val="78314C4E"/>
    <w:rsid w:val="786A17DA"/>
    <w:rsid w:val="78791D99"/>
    <w:rsid w:val="78BE5413"/>
    <w:rsid w:val="79A55865"/>
    <w:rsid w:val="7AC2515E"/>
    <w:rsid w:val="7BDD1868"/>
    <w:rsid w:val="7C6441AC"/>
    <w:rsid w:val="7CC0123F"/>
    <w:rsid w:val="7DFC2369"/>
    <w:rsid w:val="7EA906C4"/>
    <w:rsid w:val="7FA90D9D"/>
    <w:rsid w:val="7FE22D75"/>
    <w:rsid w:val="7FF23EAA"/>
    <w:rsid w:val="7FF6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rPr>
  </w:style>
  <w:style w:type="paragraph" w:styleId="6">
    <w:name w:val="heading 5"/>
    <w:basedOn w:val="1"/>
    <w:next w:val="1"/>
    <w:link w:val="5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0"/>
    <w:unhideWhenUsed/>
    <w:qFormat/>
    <w:uiPriority w:val="9"/>
    <w:pPr>
      <w:keepNext/>
      <w:keepLines/>
      <w:spacing w:before="240" w:after="64" w:line="320" w:lineRule="auto"/>
      <w:outlineLvl w:val="6"/>
    </w:pPr>
    <w:rPr>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qFormat/>
    <w:uiPriority w:val="99"/>
    <w:pPr>
      <w:ind w:firstLine="420"/>
    </w:pPr>
  </w:style>
  <w:style w:type="paragraph" w:styleId="10">
    <w:name w:val="annotation text"/>
    <w:basedOn w:val="1"/>
    <w:link w:val="62"/>
    <w:qFormat/>
    <w:uiPriority w:val="0"/>
    <w:pPr>
      <w:jc w:val="left"/>
    </w:pPr>
    <w:rPr>
      <w:kern w:val="0"/>
      <w:sz w:val="20"/>
    </w:rPr>
  </w:style>
  <w:style w:type="paragraph" w:styleId="11">
    <w:name w:val="Body Text 3"/>
    <w:link w:val="63"/>
    <w:unhideWhenUsed/>
    <w:qFormat/>
    <w:uiPriority w:val="0"/>
    <w:pPr>
      <w:widowControl w:val="0"/>
      <w:spacing w:after="120"/>
      <w:jc w:val="both"/>
    </w:pPr>
    <w:rPr>
      <w:rFonts w:ascii="Calibri" w:hAnsi="Calibri" w:eastAsia="宋体" w:cs="Times New Roman"/>
      <w:kern w:val="2"/>
      <w:sz w:val="16"/>
      <w:szCs w:val="16"/>
      <w:lang w:val="en-US" w:eastAsia="zh-CN" w:bidi="ar-SA"/>
    </w:rPr>
  </w:style>
  <w:style w:type="paragraph" w:styleId="12">
    <w:name w:val="Body Text"/>
    <w:basedOn w:val="1"/>
    <w:link w:val="61"/>
    <w:semiHidden/>
    <w:unhideWhenUsed/>
    <w:qFormat/>
    <w:uiPriority w:val="99"/>
    <w:pPr>
      <w:spacing w:after="120"/>
    </w:pPr>
  </w:style>
  <w:style w:type="paragraph" w:styleId="13">
    <w:name w:val="Body Text Indent"/>
    <w:basedOn w:val="1"/>
    <w:qFormat/>
    <w:uiPriority w:val="0"/>
    <w:pPr>
      <w:spacing w:after="120"/>
      <w:ind w:left="420" w:leftChars="200"/>
    </w:pPr>
    <w:rPr>
      <w:lang w:val="zh-CN"/>
    </w:rPr>
  </w:style>
  <w:style w:type="paragraph" w:styleId="14">
    <w:name w:val="toc 3"/>
    <w:basedOn w:val="1"/>
    <w:next w:val="1"/>
    <w:unhideWhenUsed/>
    <w:qFormat/>
    <w:uiPriority w:val="39"/>
    <w:pPr>
      <w:ind w:left="840" w:leftChars="400"/>
    </w:pPr>
  </w:style>
  <w:style w:type="paragraph" w:styleId="15">
    <w:name w:val="Plain Text"/>
    <w:basedOn w:val="1"/>
    <w:link w:val="44"/>
    <w:unhideWhenUsed/>
    <w:qFormat/>
    <w:uiPriority w:val="99"/>
    <w:pPr>
      <w:spacing w:line="400" w:lineRule="atLeast"/>
    </w:pPr>
    <w:rPr>
      <w:rFonts w:ascii="宋体" w:hAnsi="Courier New" w:eastAsiaTheme="minorEastAsia" w:cstheme="minorBidi"/>
      <w:szCs w:val="28"/>
    </w:rPr>
  </w:style>
  <w:style w:type="paragraph" w:styleId="16">
    <w:name w:val="Date"/>
    <w:basedOn w:val="1"/>
    <w:next w:val="1"/>
    <w:link w:val="41"/>
    <w:unhideWhenUsed/>
    <w:qFormat/>
    <w:uiPriority w:val="0"/>
    <w:pPr>
      <w:spacing w:line="400" w:lineRule="atLeast"/>
    </w:pPr>
    <w:rPr>
      <w:rFonts w:asciiTheme="minorEastAsia" w:hAnsiTheme="minorHAnsi" w:eastAsiaTheme="minorEastAsia" w:cstheme="minorBidi"/>
      <w:sz w:val="24"/>
      <w:szCs w:val="28"/>
    </w:rPr>
  </w:style>
  <w:style w:type="paragraph" w:styleId="17">
    <w:name w:val="Body Text Indent 2"/>
    <w:basedOn w:val="1"/>
    <w:next w:val="1"/>
    <w:link w:val="48"/>
    <w:qFormat/>
    <w:uiPriority w:val="0"/>
    <w:pPr>
      <w:ind w:firstLine="480" w:firstLineChars="200"/>
    </w:pPr>
    <w:rPr>
      <w:rFonts w:ascii="仿宋_GB2312" w:hAnsi="华文中宋" w:eastAsia="仿宋_GB2312"/>
      <w:b/>
      <w:bCs/>
      <w:sz w:val="24"/>
    </w:rPr>
  </w:style>
  <w:style w:type="paragraph" w:styleId="18">
    <w:name w:val="Balloon Text"/>
    <w:basedOn w:val="1"/>
    <w:link w:val="49"/>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Subtitle"/>
    <w:basedOn w:val="1"/>
    <w:next w:val="1"/>
    <w:link w:val="58"/>
    <w:qFormat/>
    <w:uiPriority w:val="11"/>
    <w:pPr>
      <w:spacing w:before="240" w:after="60" w:line="312" w:lineRule="auto"/>
      <w:jc w:val="left"/>
      <w:outlineLvl w:val="1"/>
    </w:pPr>
    <w:rPr>
      <w:rFonts w:asciiTheme="minorHAnsi" w:hAnsiTheme="minorHAnsi" w:cstheme="minorBidi"/>
      <w:b/>
      <w:bCs/>
      <w:kern w:val="28"/>
      <w:sz w:val="28"/>
      <w:szCs w:val="32"/>
    </w:rPr>
  </w:style>
  <w:style w:type="paragraph" w:styleId="23">
    <w:name w:val="toc 2"/>
    <w:basedOn w:val="1"/>
    <w:next w:val="1"/>
    <w:unhideWhenUsed/>
    <w:qFormat/>
    <w:uiPriority w:val="39"/>
    <w:pPr>
      <w:ind w:left="420" w:leftChars="200"/>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55"/>
    <w:qFormat/>
    <w:uiPriority w:val="10"/>
    <w:pPr>
      <w:spacing w:before="240" w:after="60"/>
      <w:jc w:val="center"/>
      <w:outlineLvl w:val="0"/>
    </w:pPr>
    <w:rPr>
      <w:rFonts w:asciiTheme="majorHAnsi" w:hAnsiTheme="majorHAnsi" w:cstheme="majorBidi"/>
      <w:b/>
      <w:bCs/>
      <w:sz w:val="36"/>
      <w:szCs w:val="32"/>
    </w:rPr>
  </w:style>
  <w:style w:type="paragraph" w:styleId="26">
    <w:name w:val="Body Text First Indent"/>
    <w:basedOn w:val="12"/>
    <w:link w:val="67"/>
    <w:semiHidden/>
    <w:unhideWhenUsed/>
    <w:qFormat/>
    <w:uiPriority w:val="99"/>
    <w:pPr>
      <w:ind w:firstLine="420" w:firstLineChars="100"/>
    </w:pPr>
  </w:style>
  <w:style w:type="paragraph" w:styleId="27">
    <w:name w:val="Body Text First Indent 2"/>
    <w:basedOn w:val="13"/>
    <w:next w:val="17"/>
    <w:unhideWhenUsed/>
    <w:qFormat/>
    <w:uiPriority w:val="99"/>
    <w:pPr>
      <w:ind w:firstLine="420" w:firstLineChars="200"/>
    </w:pPr>
    <w:rPr>
      <w:rFonts w:ascii="Calibri" w:hAnsi="Calibri"/>
    </w:rPr>
  </w:style>
  <w:style w:type="table" w:styleId="29">
    <w:name w:val="Table Grid"/>
    <w:basedOn w:val="28"/>
    <w:qFormat/>
    <w:uiPriority w:val="39"/>
    <w:pPr>
      <w:widowControl w:val="0"/>
      <w:jc w:val="both"/>
    </w:pPr>
    <w:rPr>
      <w:rFonts w:asci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page number"/>
    <w:basedOn w:val="30"/>
    <w:qFormat/>
    <w:uiPriority w:val="0"/>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qFormat/>
    <w:uiPriority w:val="0"/>
    <w:rPr>
      <w:sz w:val="21"/>
      <w:szCs w:val="21"/>
    </w:rPr>
  </w:style>
  <w:style w:type="character" w:customStyle="1" w:styleId="34">
    <w:name w:val="标题 1 字符"/>
    <w:basedOn w:val="30"/>
    <w:link w:val="2"/>
    <w:qFormat/>
    <w:uiPriority w:val="0"/>
    <w:rPr>
      <w:b/>
      <w:bCs/>
      <w:kern w:val="44"/>
      <w:sz w:val="44"/>
      <w:szCs w:val="44"/>
    </w:rPr>
  </w:style>
  <w:style w:type="character" w:customStyle="1" w:styleId="35">
    <w:name w:val="标题 2 字符"/>
    <w:basedOn w:val="30"/>
    <w:link w:val="3"/>
    <w:qFormat/>
    <w:uiPriority w:val="9"/>
    <w:rPr>
      <w:rFonts w:asciiTheme="majorHAnsi" w:hAnsiTheme="majorHAnsi" w:eastAsiaTheme="majorEastAsia" w:cstheme="majorBidi"/>
      <w:b/>
      <w:bCs/>
      <w:sz w:val="32"/>
      <w:szCs w:val="32"/>
    </w:rPr>
  </w:style>
  <w:style w:type="character" w:customStyle="1" w:styleId="36">
    <w:name w:val="标题 3 字符"/>
    <w:basedOn w:val="30"/>
    <w:link w:val="4"/>
    <w:qFormat/>
    <w:uiPriority w:val="9"/>
    <w:rPr>
      <w:b/>
      <w:bCs/>
      <w:sz w:val="32"/>
      <w:szCs w:val="32"/>
    </w:rPr>
  </w:style>
  <w:style w:type="character" w:customStyle="1" w:styleId="37">
    <w:name w:val="标题 4 字符"/>
    <w:basedOn w:val="30"/>
    <w:link w:val="5"/>
    <w:qFormat/>
    <w:uiPriority w:val="9"/>
    <w:rPr>
      <w:rFonts w:asciiTheme="majorHAnsi" w:hAnsiTheme="majorHAnsi" w:eastAsiaTheme="majorEastAsia" w:cstheme="majorBidi"/>
      <w:b/>
      <w:bCs/>
      <w:sz w:val="28"/>
      <w:szCs w:val="28"/>
    </w:rPr>
  </w:style>
  <w:style w:type="paragraph" w:styleId="38">
    <w:name w:val="No Spacing"/>
    <w:qFormat/>
    <w:uiPriority w:val="1"/>
    <w:pPr>
      <w:widowControl w:val="0"/>
      <w:jc w:val="both"/>
    </w:pPr>
    <w:rPr>
      <w:rFonts w:asciiTheme="minorEastAsia" w:hAnsiTheme="minorHAnsi" w:eastAsiaTheme="minorEastAsia" w:cstheme="minorBidi"/>
      <w:sz w:val="28"/>
      <w:szCs w:val="28"/>
      <w:lang w:val="en-US" w:eastAsia="zh-CN" w:bidi="ar-SA"/>
    </w:rPr>
  </w:style>
  <w:style w:type="character" w:customStyle="1" w:styleId="39">
    <w:name w:val="页眉 字符"/>
    <w:basedOn w:val="30"/>
    <w:link w:val="20"/>
    <w:qFormat/>
    <w:uiPriority w:val="99"/>
    <w:rPr>
      <w:sz w:val="18"/>
      <w:szCs w:val="18"/>
    </w:rPr>
  </w:style>
  <w:style w:type="character" w:customStyle="1" w:styleId="40">
    <w:name w:val="页脚 字符"/>
    <w:basedOn w:val="30"/>
    <w:link w:val="19"/>
    <w:qFormat/>
    <w:uiPriority w:val="99"/>
    <w:rPr>
      <w:sz w:val="18"/>
      <w:szCs w:val="18"/>
    </w:rPr>
  </w:style>
  <w:style w:type="character" w:customStyle="1" w:styleId="41">
    <w:name w:val="日期 字符"/>
    <w:link w:val="16"/>
    <w:qFormat/>
    <w:uiPriority w:val="0"/>
    <w:rPr>
      <w:kern w:val="2"/>
      <w:sz w:val="24"/>
    </w:rPr>
  </w:style>
  <w:style w:type="character" w:customStyle="1" w:styleId="42">
    <w:name w:val="Style0 Char"/>
    <w:link w:val="43"/>
    <w:qFormat/>
    <w:uiPriority w:val="0"/>
    <w:rPr>
      <w:rFonts w:ascii="五" w:eastAsia="五"/>
      <w:sz w:val="24"/>
    </w:rPr>
  </w:style>
  <w:style w:type="paragraph" w:customStyle="1" w:styleId="43">
    <w:name w:val="Style0"/>
    <w:link w:val="42"/>
    <w:qFormat/>
    <w:uiPriority w:val="0"/>
    <w:pPr>
      <w:widowControl w:val="0"/>
      <w:autoSpaceDE w:val="0"/>
      <w:autoSpaceDN w:val="0"/>
      <w:adjustRightInd w:val="0"/>
      <w:spacing w:line="400" w:lineRule="atLeast"/>
      <w:jc w:val="center"/>
    </w:pPr>
    <w:rPr>
      <w:rFonts w:ascii="五" w:eastAsia="五" w:hAnsiTheme="minorHAnsi" w:cstheme="minorBidi"/>
      <w:sz w:val="24"/>
      <w:szCs w:val="28"/>
      <w:lang w:val="en-US" w:eastAsia="zh-CN" w:bidi="ar-SA"/>
    </w:rPr>
  </w:style>
  <w:style w:type="character" w:customStyle="1" w:styleId="44">
    <w:name w:val="纯文本 字符"/>
    <w:link w:val="15"/>
    <w:qFormat/>
    <w:locked/>
    <w:uiPriority w:val="0"/>
    <w:rPr>
      <w:rFonts w:ascii="宋体" w:hAnsi="Courier New"/>
      <w:kern w:val="2"/>
      <w:sz w:val="21"/>
    </w:rPr>
  </w:style>
  <w:style w:type="character" w:customStyle="1" w:styleId="45">
    <w:name w:val="日期 Char1"/>
    <w:basedOn w:val="30"/>
    <w:semiHidden/>
    <w:qFormat/>
    <w:uiPriority w:val="99"/>
    <w:rPr>
      <w:rFonts w:ascii="Times New Roman" w:hAnsi="Times New Roman" w:eastAsia="宋体" w:cs="Times New Roman"/>
      <w:kern w:val="2"/>
      <w:sz w:val="21"/>
      <w:szCs w:val="20"/>
    </w:rPr>
  </w:style>
  <w:style w:type="character" w:customStyle="1" w:styleId="46">
    <w:name w:val="纯文本 Char1"/>
    <w:basedOn w:val="30"/>
    <w:semiHidden/>
    <w:qFormat/>
    <w:uiPriority w:val="99"/>
    <w:rPr>
      <w:rFonts w:ascii="宋体" w:hAnsi="Courier New" w:eastAsia="宋体" w:cs="Courier New"/>
      <w:kern w:val="2"/>
      <w:sz w:val="21"/>
      <w:szCs w:val="21"/>
    </w:rPr>
  </w:style>
  <w:style w:type="character" w:customStyle="1" w:styleId="47">
    <w:name w:val="font11"/>
    <w:basedOn w:val="30"/>
    <w:qFormat/>
    <w:uiPriority w:val="0"/>
    <w:rPr>
      <w:rFonts w:hint="eastAsia" w:ascii="宋体" w:hAnsi="宋体" w:eastAsia="宋体" w:cs="宋体"/>
      <w:color w:val="000000"/>
      <w:sz w:val="20"/>
      <w:szCs w:val="20"/>
      <w:u w:val="none"/>
    </w:rPr>
  </w:style>
  <w:style w:type="character" w:customStyle="1" w:styleId="48">
    <w:name w:val="正文文本缩进 2 字符"/>
    <w:basedOn w:val="30"/>
    <w:link w:val="17"/>
    <w:qFormat/>
    <w:uiPriority w:val="0"/>
    <w:rPr>
      <w:rFonts w:ascii="仿宋_GB2312" w:hAnsi="华文中宋" w:eastAsia="仿宋_GB2312" w:cs="Times New Roman"/>
      <w:b/>
      <w:bCs/>
      <w:kern w:val="2"/>
      <w:sz w:val="24"/>
      <w:szCs w:val="20"/>
    </w:rPr>
  </w:style>
  <w:style w:type="character" w:customStyle="1" w:styleId="49">
    <w:name w:val="批注框文本 字符"/>
    <w:basedOn w:val="30"/>
    <w:link w:val="18"/>
    <w:semiHidden/>
    <w:qFormat/>
    <w:uiPriority w:val="99"/>
    <w:rPr>
      <w:rFonts w:ascii="Times New Roman" w:hAnsi="Times New Roman" w:eastAsia="宋体" w:cs="Times New Roman"/>
      <w:kern w:val="2"/>
      <w:sz w:val="18"/>
      <w:szCs w:val="18"/>
    </w:rPr>
  </w:style>
  <w:style w:type="paragraph" w:styleId="50">
    <w:name w:val="List Paragraph"/>
    <w:basedOn w:val="1"/>
    <w:unhideWhenUsed/>
    <w:qFormat/>
    <w:uiPriority w:val="34"/>
    <w:pPr>
      <w:ind w:firstLine="420" w:firstLineChars="200"/>
    </w:pPr>
    <w:rPr>
      <w:rFonts w:asciiTheme="minorHAnsi" w:hAnsiTheme="minorHAnsi" w:eastAsiaTheme="minorEastAsia" w:cstheme="minorBidi"/>
      <w:szCs w:val="24"/>
    </w:rPr>
  </w:style>
  <w:style w:type="paragraph" w:customStyle="1" w:styleId="51">
    <w:name w:val="1"/>
    <w:basedOn w:val="1"/>
    <w:qFormat/>
    <w:uiPriority w:val="0"/>
    <w:pPr>
      <w:spacing w:afterLines="50" w:line="360" w:lineRule="auto"/>
      <w:jc w:val="center"/>
    </w:pPr>
    <w:rPr>
      <w:rFonts w:ascii="宋体" w:hAnsi="宋体"/>
      <w:b/>
      <w:sz w:val="32"/>
      <w:szCs w:val="32"/>
    </w:rPr>
  </w:style>
  <w:style w:type="paragraph" w:customStyle="1" w:styleId="52">
    <w:name w:val="Table Paragraph"/>
    <w:basedOn w:val="1"/>
    <w:qFormat/>
    <w:uiPriority w:val="1"/>
    <w:pPr>
      <w:autoSpaceDE w:val="0"/>
      <w:autoSpaceDN w:val="0"/>
      <w:spacing w:before="81"/>
      <w:jc w:val="left"/>
    </w:pPr>
    <w:rPr>
      <w:rFonts w:ascii="宋体" w:hAnsi="宋体" w:cs="宋体"/>
      <w:kern w:val="0"/>
      <w:sz w:val="22"/>
      <w:szCs w:val="22"/>
    </w:rPr>
  </w:style>
  <w:style w:type="paragraph" w:customStyle="1" w:styleId="53">
    <w:name w:val="列出段落1"/>
    <w:basedOn w:val="1"/>
    <w:qFormat/>
    <w:uiPriority w:val="34"/>
    <w:pPr>
      <w:ind w:firstLine="420" w:firstLineChars="200"/>
    </w:pPr>
    <w:rPr>
      <w:rFonts w:ascii="Calibri" w:hAnsi="Calibri"/>
    </w:rPr>
  </w:style>
  <w:style w:type="paragraph" w:customStyle="1" w:styleId="5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5">
    <w:name w:val="标题 字符"/>
    <w:basedOn w:val="30"/>
    <w:link w:val="25"/>
    <w:qFormat/>
    <w:uiPriority w:val="10"/>
    <w:rPr>
      <w:rFonts w:eastAsia="宋体" w:asciiTheme="majorHAnsi" w:hAnsiTheme="majorHAnsi" w:cstheme="majorBidi"/>
      <w:b/>
      <w:bCs/>
      <w:kern w:val="2"/>
      <w:sz w:val="36"/>
      <w:szCs w:val="32"/>
    </w:rPr>
  </w:style>
  <w:style w:type="character" w:customStyle="1" w:styleId="56">
    <w:name w:val="标题 5 字符"/>
    <w:basedOn w:val="30"/>
    <w:link w:val="6"/>
    <w:qFormat/>
    <w:uiPriority w:val="9"/>
    <w:rPr>
      <w:rFonts w:ascii="Times New Roman" w:hAnsi="Times New Roman" w:eastAsia="宋体" w:cs="Times New Roman"/>
      <w:b/>
      <w:bCs/>
      <w:kern w:val="2"/>
      <w:sz w:val="28"/>
      <w:szCs w:val="28"/>
    </w:rPr>
  </w:style>
  <w:style w:type="character" w:customStyle="1" w:styleId="57">
    <w:name w:val="标题 6 字符"/>
    <w:basedOn w:val="30"/>
    <w:link w:val="7"/>
    <w:qFormat/>
    <w:uiPriority w:val="9"/>
    <w:rPr>
      <w:rFonts w:asciiTheme="majorHAnsi" w:hAnsiTheme="majorHAnsi" w:eastAsiaTheme="majorEastAsia" w:cstheme="majorBidi"/>
      <w:b/>
      <w:bCs/>
      <w:kern w:val="2"/>
      <w:sz w:val="24"/>
      <w:szCs w:val="24"/>
    </w:rPr>
  </w:style>
  <w:style w:type="character" w:customStyle="1" w:styleId="58">
    <w:name w:val="副标题 字符"/>
    <w:basedOn w:val="30"/>
    <w:link w:val="22"/>
    <w:qFormat/>
    <w:uiPriority w:val="11"/>
    <w:rPr>
      <w:rFonts w:eastAsia="宋体" w:asciiTheme="minorHAnsi"/>
      <w:b/>
      <w:bCs/>
      <w:kern w:val="28"/>
      <w:sz w:val="28"/>
      <w:szCs w:val="32"/>
    </w:rPr>
  </w:style>
  <w:style w:type="character" w:customStyle="1" w:styleId="59">
    <w:name w:val="Book Title"/>
    <w:basedOn w:val="30"/>
    <w:qFormat/>
    <w:uiPriority w:val="33"/>
    <w:rPr>
      <w:b/>
      <w:bCs/>
      <w:i/>
      <w:iCs/>
      <w:spacing w:val="5"/>
    </w:rPr>
  </w:style>
  <w:style w:type="character" w:customStyle="1" w:styleId="60">
    <w:name w:val="标题 7 字符"/>
    <w:basedOn w:val="30"/>
    <w:link w:val="8"/>
    <w:qFormat/>
    <w:uiPriority w:val="9"/>
    <w:rPr>
      <w:rFonts w:ascii="Times New Roman" w:hAnsi="Times New Roman" w:eastAsia="宋体" w:cs="Times New Roman"/>
      <w:b/>
      <w:bCs/>
      <w:kern w:val="2"/>
      <w:sz w:val="24"/>
      <w:szCs w:val="24"/>
    </w:rPr>
  </w:style>
  <w:style w:type="character" w:customStyle="1" w:styleId="61">
    <w:name w:val="正文文本 字符"/>
    <w:basedOn w:val="30"/>
    <w:link w:val="12"/>
    <w:semiHidden/>
    <w:qFormat/>
    <w:uiPriority w:val="99"/>
    <w:rPr>
      <w:rFonts w:ascii="Times New Roman" w:hAnsi="Times New Roman" w:eastAsia="宋体" w:cs="Times New Roman"/>
      <w:kern w:val="2"/>
      <w:sz w:val="21"/>
    </w:rPr>
  </w:style>
  <w:style w:type="character" w:customStyle="1" w:styleId="62">
    <w:name w:val="批注文字 字符"/>
    <w:basedOn w:val="30"/>
    <w:link w:val="10"/>
    <w:qFormat/>
    <w:uiPriority w:val="0"/>
    <w:rPr>
      <w:rFonts w:ascii="Times New Roman" w:hAnsi="Times New Roman" w:eastAsia="宋体" w:cs="Times New Roman"/>
    </w:rPr>
  </w:style>
  <w:style w:type="character" w:customStyle="1" w:styleId="63">
    <w:name w:val="正文文本 3 字符"/>
    <w:basedOn w:val="30"/>
    <w:link w:val="11"/>
    <w:qFormat/>
    <w:uiPriority w:val="0"/>
    <w:rPr>
      <w:rFonts w:ascii="Calibri" w:hAnsi="Calibri" w:eastAsia="宋体" w:cs="Times New Roman"/>
      <w:kern w:val="2"/>
      <w:sz w:val="16"/>
      <w:szCs w:val="16"/>
    </w:rPr>
  </w:style>
  <w:style w:type="paragraph" w:customStyle="1" w:styleId="64">
    <w:name w:val="Fließtext"/>
    <w:basedOn w:val="1"/>
    <w:qFormat/>
    <w:uiPriority w:val="0"/>
    <w:pPr>
      <w:overflowPunct w:val="0"/>
      <w:autoSpaceDE w:val="0"/>
      <w:autoSpaceDN w:val="0"/>
      <w:adjustRightInd w:val="0"/>
      <w:textAlignment w:val="baseline"/>
    </w:pPr>
    <w:rPr>
      <w:rFonts w:ascii="宋体" w:hAnsi="宋体"/>
      <w:kern w:val="28"/>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表格文字"/>
    <w:basedOn w:val="26"/>
    <w:next w:val="12"/>
    <w:qFormat/>
    <w:uiPriority w:val="0"/>
    <w:pPr>
      <w:widowControl/>
      <w:spacing w:before="25" w:after="25"/>
      <w:jc w:val="left"/>
    </w:pPr>
    <w:rPr>
      <w:rFonts w:ascii="Times" w:hAnsi="Times" w:eastAsia="幼圆" w:cs="宋体"/>
      <w:b/>
      <w:bCs/>
      <w:spacing w:val="10"/>
      <w:kern w:val="0"/>
      <w:sz w:val="24"/>
      <w:szCs w:val="24"/>
    </w:rPr>
  </w:style>
  <w:style w:type="character" w:customStyle="1" w:styleId="67">
    <w:name w:val="正文文本首行缩进 字符"/>
    <w:basedOn w:val="61"/>
    <w:link w:val="2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3104D-7FEB-4BC7-B942-770983F116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16643</Words>
  <Characters>17419</Characters>
  <Lines>209</Lines>
  <Paragraphs>58</Paragraphs>
  <TotalTime>0</TotalTime>
  <ScaleCrop>false</ScaleCrop>
  <LinksUpToDate>false</LinksUpToDate>
  <CharactersWithSpaces>17853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2024-09-06T02:40:00Z</dcterms:created>
  <dc:creator>AutoBVT</dc:creator>
  <cp:lastModifiedBy>Administrator</cp:lastModifiedBy>
  <dcterms:modified xsi:type="dcterms:W3CDTF">2025-07-24T18:39:36Z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0A192491C3114CADB0B03D3E7D87C080_13</vt:lpwstr>
  </property>
  <property fmtid="{D5CDD505-2E9C-101B-9397-08002B2CF9AE}" pid="4" name="KSOTemplateDocerSaveRecord">
    <vt:lpwstr>eyJoZGlkIjoiZTdiMjIwYzcyZDIxNzBlZmUyY2Y0YWU5MjA0NzkxZDEifQ==</vt:lpwstr>
  </property>
</Properties>
</file>