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b/>
          <w:sz w:val="48"/>
          <w:szCs w:val="48"/>
        </w:rPr>
      </w:pPr>
      <w:bookmarkStart w:id="0" w:name="_Toc176516242"/>
      <w:bookmarkStart w:id="1" w:name="_Toc176509506"/>
      <w:bookmarkStart w:id="988" w:name="_GoBack"/>
      <w:r>
        <w:rPr>
          <w:rFonts w:hint="eastAsia" w:ascii="宋体" w:hAnsi="宋体"/>
          <w:b/>
          <w:sz w:val="48"/>
          <w:szCs w:val="48"/>
        </w:rPr>
        <w:t>厦工（三明）重型机器有限公司</w:t>
      </w:r>
    </w:p>
    <w:p>
      <w:pPr>
        <w:spacing w:line="360" w:lineRule="auto"/>
        <w:jc w:val="center"/>
        <w:rPr>
          <w:rFonts w:ascii="黑体" w:eastAsia="黑体"/>
          <w:bCs/>
          <w:w w:val="90"/>
          <w:sz w:val="84"/>
          <w:szCs w:val="84"/>
        </w:rPr>
      </w:pPr>
      <w:r>
        <w:rPr>
          <w:rFonts w:hint="eastAsia" w:ascii="宋体" w:hAnsi="宋体"/>
          <w:b/>
          <w:bCs/>
          <w:sz w:val="48"/>
          <w:szCs w:val="48"/>
        </w:rPr>
        <w:t>技 改 设 备 采 购</w:t>
      </w:r>
    </w:p>
    <w:p>
      <w:pPr>
        <w:spacing w:line="360" w:lineRule="auto"/>
        <w:jc w:val="center"/>
        <w:rPr>
          <w:rFonts w:ascii="黑体" w:eastAsia="黑体"/>
          <w:bCs/>
          <w:w w:val="90"/>
          <w:sz w:val="84"/>
          <w:szCs w:val="84"/>
        </w:rPr>
      </w:pPr>
      <w:r>
        <w:rPr>
          <w:rFonts w:hint="eastAsia" w:ascii="黑体" w:eastAsia="黑体"/>
          <w:bCs/>
          <w:w w:val="90"/>
          <w:sz w:val="84"/>
          <w:szCs w:val="84"/>
        </w:rPr>
        <w:t>招</w:t>
      </w:r>
    </w:p>
    <w:p>
      <w:pPr>
        <w:spacing w:line="360" w:lineRule="auto"/>
        <w:jc w:val="center"/>
        <w:rPr>
          <w:rFonts w:ascii="黑体" w:eastAsia="黑体"/>
          <w:bCs/>
          <w:w w:val="90"/>
          <w:sz w:val="84"/>
          <w:szCs w:val="84"/>
        </w:rPr>
      </w:pPr>
      <w:r>
        <w:rPr>
          <w:rFonts w:hint="eastAsia" w:ascii="黑体" w:eastAsia="黑体"/>
          <w:bCs/>
          <w:w w:val="90"/>
          <w:sz w:val="84"/>
          <w:szCs w:val="84"/>
        </w:rPr>
        <w:t>标</w:t>
      </w:r>
    </w:p>
    <w:p>
      <w:pPr>
        <w:spacing w:line="360" w:lineRule="auto"/>
        <w:jc w:val="center"/>
        <w:rPr>
          <w:rFonts w:ascii="黑体" w:eastAsia="黑体"/>
          <w:bCs/>
          <w:w w:val="90"/>
          <w:sz w:val="84"/>
          <w:szCs w:val="84"/>
        </w:rPr>
      </w:pPr>
      <w:r>
        <w:rPr>
          <w:rFonts w:hint="eastAsia" w:ascii="黑体" w:eastAsia="黑体"/>
          <w:bCs/>
          <w:w w:val="90"/>
          <w:sz w:val="84"/>
          <w:szCs w:val="84"/>
        </w:rPr>
        <w:t>文</w:t>
      </w:r>
    </w:p>
    <w:p>
      <w:pPr>
        <w:spacing w:line="360" w:lineRule="auto"/>
        <w:jc w:val="center"/>
        <w:rPr>
          <w:rFonts w:ascii="黑体" w:eastAsia="黑体"/>
          <w:bCs/>
          <w:w w:val="90"/>
          <w:sz w:val="84"/>
          <w:szCs w:val="84"/>
        </w:rPr>
      </w:pPr>
      <w:r>
        <w:rPr>
          <w:rFonts w:hint="eastAsia" w:ascii="黑体" w:eastAsia="黑体"/>
          <w:bCs/>
          <w:w w:val="90"/>
          <w:sz w:val="84"/>
          <w:szCs w:val="84"/>
        </w:rPr>
        <w:t>件</w:t>
      </w:r>
    </w:p>
    <w:p>
      <w:pPr>
        <w:spacing w:line="360" w:lineRule="auto"/>
        <w:jc w:val="center"/>
        <w:rPr>
          <w:rFonts w:ascii="黑体" w:eastAsia="黑体"/>
          <w:bCs/>
          <w:w w:val="90"/>
          <w:sz w:val="32"/>
          <w:szCs w:val="32"/>
        </w:rPr>
      </w:pPr>
    </w:p>
    <w:p>
      <w:pPr>
        <w:spacing w:before="100" w:beforeAutospacing="1" w:after="100" w:afterAutospacing="1"/>
        <w:ind w:firstLine="1084" w:firstLineChars="300"/>
        <w:rPr>
          <w:rFonts w:hint="eastAsia" w:ascii="宋体" w:hAnsi="宋体"/>
          <w:b/>
          <w:bCs/>
          <w:sz w:val="36"/>
          <w:szCs w:val="36"/>
        </w:rPr>
      </w:pPr>
      <w:bookmarkStart w:id="2" w:name="_Toc30469"/>
      <w:r>
        <w:rPr>
          <w:rFonts w:hint="eastAsia" w:ascii="宋体" w:hAnsi="宋体"/>
          <w:b/>
          <w:bCs/>
          <w:sz w:val="36"/>
          <w:szCs w:val="36"/>
        </w:rPr>
        <w:t>项目编号：XGSZ-JG-</w:t>
      </w:r>
      <w:bookmarkEnd w:id="2"/>
      <w:r>
        <w:rPr>
          <w:rFonts w:hint="eastAsia" w:ascii="宋体" w:hAnsi="宋体"/>
          <w:b/>
          <w:bCs/>
          <w:sz w:val="36"/>
          <w:szCs w:val="36"/>
        </w:rPr>
        <w:t>20251023-01</w:t>
      </w:r>
    </w:p>
    <w:p>
      <w:pPr>
        <w:spacing w:before="100" w:beforeAutospacing="1" w:after="100" w:afterAutospacing="1"/>
        <w:ind w:left="0" w:firstLine="1084" w:firstLineChars="300"/>
        <w:rPr>
          <w:rFonts w:ascii="宋体" w:hAnsi="宋体"/>
          <w:b/>
          <w:bCs/>
          <w:sz w:val="36"/>
          <w:szCs w:val="36"/>
        </w:rPr>
      </w:pPr>
      <w:bookmarkStart w:id="3" w:name="_Toc8481"/>
      <w:r>
        <w:rPr>
          <w:rFonts w:hint="eastAsia" w:ascii="宋体" w:hAnsi="宋体"/>
          <w:b/>
          <w:bCs/>
          <w:sz w:val="36"/>
          <w:szCs w:val="36"/>
        </w:rPr>
        <w:t>项目名称：</w:t>
      </w:r>
      <w:bookmarkEnd w:id="3"/>
      <w:r>
        <w:rPr>
          <w:rFonts w:hint="eastAsia" w:ascii="宋体" w:hAnsi="宋体"/>
          <w:b/>
          <w:bCs/>
          <w:sz w:val="36"/>
          <w:szCs w:val="36"/>
        </w:rPr>
        <w:t>道斯WHN130 MC双</w:t>
      </w:r>
      <w:r>
        <w:rPr>
          <w:rFonts w:hint="eastAsia" w:ascii="宋体" w:hAnsi="宋体" w:cs="Times New Roman"/>
          <w:b/>
          <w:bCs/>
          <w:spacing w:val="0"/>
          <w:kern w:val="2"/>
          <w:sz w:val="36"/>
          <w:szCs w:val="36"/>
        </w:rPr>
        <w:t>工位卧式铣镗加</w:t>
      </w:r>
      <w:r>
        <w:rPr>
          <w:rFonts w:hint="eastAsia" w:ascii="宋体" w:hAnsi="宋体" w:cs="Times New Roman"/>
          <w:b/>
          <w:bCs/>
          <w:spacing w:val="0"/>
          <w:kern w:val="2"/>
          <w:sz w:val="36"/>
          <w:szCs w:val="36"/>
          <w:lang w:val="en-US" w:eastAsia="zh-CN"/>
        </w:rPr>
        <w:tab/>
      </w:r>
      <w:r>
        <w:rPr>
          <w:rFonts w:hint="eastAsia" w:ascii="宋体" w:hAnsi="宋体" w:cs="Times New Roman"/>
          <w:b/>
          <w:bCs/>
          <w:spacing w:val="0"/>
          <w:kern w:val="2"/>
          <w:sz w:val="36"/>
          <w:szCs w:val="36"/>
          <w:lang w:val="en-US" w:eastAsia="zh-CN"/>
        </w:rPr>
        <w:tab/>
      </w:r>
      <w:r>
        <w:rPr>
          <w:rFonts w:hint="eastAsia" w:ascii="宋体" w:hAnsi="宋体" w:cs="Times New Roman"/>
          <w:b/>
          <w:bCs/>
          <w:spacing w:val="0"/>
          <w:kern w:val="2"/>
          <w:sz w:val="36"/>
          <w:szCs w:val="36"/>
          <w:lang w:val="en-US" w:eastAsia="zh-CN"/>
        </w:rPr>
        <w:tab/>
      </w:r>
      <w:r>
        <w:rPr>
          <w:rFonts w:hint="eastAsia" w:ascii="宋体" w:hAnsi="宋体" w:cs="Times New Roman"/>
          <w:b/>
          <w:bCs/>
          <w:spacing w:val="0"/>
          <w:kern w:val="2"/>
          <w:sz w:val="36"/>
          <w:szCs w:val="36"/>
          <w:lang w:val="en-US" w:eastAsia="zh-CN"/>
        </w:rPr>
        <w:tab/>
      </w:r>
      <w:r>
        <w:rPr>
          <w:rFonts w:hint="eastAsia" w:ascii="宋体" w:hAnsi="宋体" w:cs="Times New Roman"/>
          <w:b/>
          <w:bCs/>
          <w:spacing w:val="0"/>
          <w:kern w:val="2"/>
          <w:sz w:val="36"/>
          <w:szCs w:val="36"/>
          <w:lang w:val="en-US" w:eastAsia="zh-CN"/>
        </w:rPr>
        <w:tab/>
      </w:r>
      <w:r>
        <w:rPr>
          <w:rFonts w:hint="eastAsia" w:ascii="宋体" w:hAnsi="宋体" w:cs="Times New Roman"/>
          <w:b/>
          <w:bCs/>
          <w:spacing w:val="0"/>
          <w:kern w:val="2"/>
          <w:sz w:val="36"/>
          <w:szCs w:val="36"/>
          <w:lang w:val="en-US" w:eastAsia="zh-CN"/>
        </w:rPr>
        <w:tab/>
      </w:r>
      <w:r>
        <w:rPr>
          <w:rFonts w:hint="eastAsia" w:ascii="宋体" w:hAnsi="宋体" w:cs="Times New Roman"/>
          <w:b/>
          <w:bCs/>
          <w:spacing w:val="0"/>
          <w:kern w:val="2"/>
          <w:sz w:val="36"/>
          <w:szCs w:val="36"/>
          <w:lang w:val="en-US" w:eastAsia="zh-CN"/>
        </w:rPr>
        <w:tab/>
      </w:r>
      <w:r>
        <w:rPr>
          <w:rFonts w:hint="eastAsia" w:ascii="宋体" w:hAnsi="宋体" w:cs="Times New Roman"/>
          <w:b/>
          <w:bCs/>
          <w:spacing w:val="0"/>
          <w:kern w:val="2"/>
          <w:sz w:val="36"/>
          <w:szCs w:val="36"/>
        </w:rPr>
        <w:t>工中心</w:t>
      </w:r>
      <w:r>
        <w:rPr>
          <w:rFonts w:hint="eastAsia" w:ascii="宋体" w:hAnsi="宋体"/>
          <w:b/>
          <w:bCs/>
          <w:sz w:val="36"/>
          <w:szCs w:val="36"/>
        </w:rPr>
        <w:t>维修</w:t>
      </w:r>
    </w:p>
    <w:p>
      <w:pPr>
        <w:spacing w:before="100" w:beforeAutospacing="1" w:after="100" w:afterAutospacing="1"/>
        <w:jc w:val="center"/>
        <w:rPr>
          <w:rFonts w:ascii="宋体" w:hAnsi="宋体"/>
          <w:b/>
          <w:bCs/>
          <w:sz w:val="36"/>
          <w:szCs w:val="36"/>
        </w:rPr>
      </w:pPr>
      <w:bookmarkStart w:id="4" w:name="_Toc25448"/>
      <w:r>
        <w:rPr>
          <w:rFonts w:hint="eastAsia" w:ascii="宋体" w:hAnsi="宋体"/>
          <w:b/>
          <w:bCs/>
          <w:sz w:val="36"/>
          <w:szCs w:val="36"/>
          <w:lang w:val="en-US" w:eastAsia="zh-CN"/>
        </w:rPr>
        <w:t>2025</w:t>
      </w:r>
      <w:r>
        <w:rPr>
          <w:rFonts w:hint="eastAsia" w:ascii="宋体" w:hAnsi="宋体"/>
          <w:b/>
          <w:bCs/>
          <w:sz w:val="36"/>
          <w:szCs w:val="36"/>
        </w:rPr>
        <w:t xml:space="preserve">年 </w:t>
      </w:r>
      <w:r>
        <w:rPr>
          <w:rFonts w:hint="eastAsia" w:ascii="宋体" w:hAnsi="宋体"/>
          <w:b/>
          <w:bCs/>
          <w:sz w:val="36"/>
          <w:szCs w:val="36"/>
          <w:lang w:val="en-US" w:eastAsia="zh-CN"/>
        </w:rPr>
        <w:t>11</w:t>
      </w:r>
      <w:r>
        <w:rPr>
          <w:rFonts w:hint="eastAsia" w:ascii="宋体" w:hAnsi="宋体"/>
          <w:b/>
          <w:bCs/>
          <w:sz w:val="36"/>
          <w:szCs w:val="36"/>
        </w:rPr>
        <w:t>月</w:t>
      </w:r>
      <w:bookmarkEnd w:id="4"/>
    </w:p>
    <w:bookmarkEnd w:id="0"/>
    <w:bookmarkEnd w:id="1"/>
    <w:p>
      <w:pPr>
        <w:pStyle w:val="25"/>
        <w:jc w:val="both"/>
        <w:outlineLvl w:val="9"/>
        <w:rPr>
          <w:rFonts w:ascii="黑体" w:hAnsi="黑体" w:eastAsia="黑体"/>
          <w:sz w:val="52"/>
          <w:szCs w:val="52"/>
        </w:rPr>
      </w:pPr>
    </w:p>
    <w:sdt>
      <w:sdtPr>
        <w:rPr>
          <w:lang w:val="zh-CN"/>
        </w:rPr>
        <w:id w:val="-1809468319"/>
        <w:docPartObj>
          <w:docPartGallery w:val="Table of Contents"/>
          <w:docPartUnique/>
        </w:docPartObj>
      </w:sdtPr>
      <w:sdtEndPr>
        <w:rPr>
          <w:b/>
          <w:bCs/>
          <w:lang w:val="zh-CN"/>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21"/>
            <w:tabs>
              <w:tab w:val="right" w:leader="dot" w:pos="8312"/>
            </w:tabs>
          </w:pPr>
          <w:r>
            <w:fldChar w:fldCharType="begin"/>
          </w:r>
          <w:r>
            <w:instrText xml:space="preserve"> TOC \o "1-3" \h \z \u </w:instrText>
          </w:r>
          <w:r>
            <w:fldChar w:fldCharType="separate"/>
          </w:r>
          <w:r>
            <w:rPr>
              <w:bCs/>
              <w:lang w:val="zh-CN"/>
            </w:rPr>
            <w:fldChar w:fldCharType="begin"/>
          </w:r>
          <w:r>
            <w:rPr>
              <w:bCs/>
              <w:lang w:val="zh-CN"/>
            </w:rPr>
            <w:instrText xml:space="preserve"> HYPERLINK \l _Toc10230 </w:instrText>
          </w:r>
          <w:r>
            <w:rPr>
              <w:bCs/>
              <w:lang w:val="zh-CN"/>
            </w:rPr>
            <w:fldChar w:fldCharType="separate"/>
          </w:r>
          <w:r>
            <w:rPr>
              <w:rFonts w:hint="eastAsia" w:hAnsi="宋体" w:eastAsia="宋体" w:cs="宋体"/>
              <w:bCs/>
              <w:szCs w:val="36"/>
            </w:rPr>
            <w:t>第一章  投标邀请</w:t>
          </w:r>
          <w:r>
            <w:tab/>
          </w:r>
          <w:r>
            <w:fldChar w:fldCharType="begin"/>
          </w:r>
          <w:r>
            <w:instrText xml:space="preserve"> PAGEREF _Toc10230 </w:instrText>
          </w:r>
          <w:r>
            <w:fldChar w:fldCharType="separate"/>
          </w:r>
          <w:r>
            <w:t>5</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_Toc31482 </w:instrText>
          </w:r>
          <w:r>
            <w:rPr>
              <w:bCs/>
              <w:lang w:val="zh-CN"/>
            </w:rPr>
            <w:fldChar w:fldCharType="separate"/>
          </w:r>
          <w:r>
            <w:rPr>
              <w:rFonts w:hint="eastAsia" w:ascii="宋体" w:hAnsi="宋体"/>
              <w:szCs w:val="28"/>
            </w:rPr>
            <w:t>附：招标项目一览表</w:t>
          </w:r>
          <w:r>
            <w:tab/>
          </w:r>
          <w:r>
            <w:fldChar w:fldCharType="begin"/>
          </w:r>
          <w:r>
            <w:instrText xml:space="preserve"> PAGEREF _Toc31482 </w:instrText>
          </w:r>
          <w:r>
            <w:fldChar w:fldCharType="separate"/>
          </w:r>
          <w:r>
            <w:t>7</w:t>
          </w:r>
          <w:r>
            <w:fldChar w:fldCharType="end"/>
          </w:r>
          <w:r>
            <w:rPr>
              <w:bCs/>
              <w:lang w:val="zh-CN"/>
            </w:rPr>
            <w:fldChar w:fldCharType="end"/>
          </w:r>
        </w:p>
        <w:p>
          <w:pPr>
            <w:pStyle w:val="21"/>
            <w:tabs>
              <w:tab w:val="right" w:leader="dot" w:pos="8312"/>
            </w:tabs>
          </w:pPr>
          <w:r>
            <w:rPr>
              <w:bCs/>
              <w:lang w:val="zh-CN"/>
            </w:rPr>
            <w:fldChar w:fldCharType="begin"/>
          </w:r>
          <w:r>
            <w:rPr>
              <w:bCs/>
              <w:lang w:val="zh-CN"/>
            </w:rPr>
            <w:instrText xml:space="preserve"> HYPERLINK \l _Toc9027 </w:instrText>
          </w:r>
          <w:r>
            <w:rPr>
              <w:bCs/>
              <w:lang w:val="zh-CN"/>
            </w:rPr>
            <w:fldChar w:fldCharType="separate"/>
          </w:r>
          <w:r>
            <w:rPr>
              <w:rFonts w:hint="eastAsia" w:hAnsi="宋体"/>
              <w:bCs/>
              <w:szCs w:val="36"/>
            </w:rPr>
            <w:t>第二章  投标人须知</w:t>
          </w:r>
          <w:r>
            <w:tab/>
          </w:r>
          <w:r>
            <w:fldChar w:fldCharType="begin"/>
          </w:r>
          <w:r>
            <w:instrText xml:space="preserve"> PAGEREF _Toc9027 </w:instrText>
          </w:r>
          <w:r>
            <w:fldChar w:fldCharType="separate"/>
          </w:r>
          <w:r>
            <w:t>8</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_Toc31134 </w:instrText>
          </w:r>
          <w:r>
            <w:rPr>
              <w:bCs/>
              <w:lang w:val="zh-CN"/>
            </w:rPr>
            <w:fldChar w:fldCharType="separate"/>
          </w:r>
          <w:r>
            <w:rPr>
              <w:rFonts w:hint="eastAsia" w:ascii="宋体" w:hAnsi="宋体"/>
              <w:szCs w:val="28"/>
            </w:rPr>
            <w:t>投标人须知前附表</w:t>
          </w:r>
          <w:r>
            <w:tab/>
          </w:r>
          <w:r>
            <w:fldChar w:fldCharType="begin"/>
          </w:r>
          <w:r>
            <w:instrText xml:space="preserve"> PAGEREF _Toc31134 </w:instrText>
          </w:r>
          <w:r>
            <w:fldChar w:fldCharType="separate"/>
          </w:r>
          <w:r>
            <w:t>8</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_Toc12120 </w:instrText>
          </w:r>
          <w:r>
            <w:rPr>
              <w:bCs/>
              <w:lang w:val="zh-CN"/>
            </w:rPr>
            <w:fldChar w:fldCharType="separate"/>
          </w:r>
          <w:r>
            <w:rPr>
              <w:rFonts w:hint="eastAsia" w:ascii="宋体" w:hAnsi="宋体"/>
              <w:szCs w:val="28"/>
            </w:rPr>
            <w:t>第一节  说  明</w:t>
          </w:r>
          <w:r>
            <w:tab/>
          </w:r>
          <w:r>
            <w:fldChar w:fldCharType="begin"/>
          </w:r>
          <w:r>
            <w:instrText xml:space="preserve"> PAGEREF _Toc12120 </w:instrText>
          </w:r>
          <w:r>
            <w:fldChar w:fldCharType="separate"/>
          </w:r>
          <w:r>
            <w:t>12</w:t>
          </w:r>
          <w:r>
            <w:fldChar w:fldCharType="end"/>
          </w:r>
          <w:r>
            <w:rPr>
              <w:bCs/>
              <w:lang w:val="zh-CN"/>
            </w:rPr>
            <w:fldChar w:fldCharType="end"/>
          </w:r>
        </w:p>
        <w:p>
          <w:pPr>
            <w:pStyle w:val="14"/>
            <w:tabs>
              <w:tab w:val="right" w:leader="dot" w:pos="8312"/>
            </w:tabs>
          </w:pPr>
          <w:r>
            <w:rPr>
              <w:bCs/>
              <w:lang w:val="zh-CN"/>
            </w:rPr>
            <w:fldChar w:fldCharType="begin"/>
          </w:r>
          <w:r>
            <w:rPr>
              <w:bCs/>
              <w:lang w:val="zh-CN"/>
            </w:rPr>
            <w:instrText xml:space="preserve"> HYPERLINK \l _Toc12407 </w:instrText>
          </w:r>
          <w:r>
            <w:rPr>
              <w:bCs/>
              <w:lang w:val="zh-CN"/>
            </w:rPr>
            <w:fldChar w:fldCharType="separate"/>
          </w:r>
          <w:r>
            <w:rPr>
              <w:rFonts w:hint="eastAsia" w:ascii="宋体" w:hAnsi="宋体" w:eastAsia="宋体" w:cs="宋体"/>
              <w:szCs w:val="24"/>
            </w:rPr>
            <w:t xml:space="preserve">1、 </w:t>
          </w:r>
          <w:r>
            <w:rPr>
              <w:rFonts w:hint="eastAsia" w:ascii="宋体" w:hAnsi="宋体" w:cs="宋体"/>
              <w:szCs w:val="24"/>
            </w:rPr>
            <w:t>适用范围</w:t>
          </w:r>
          <w:r>
            <w:tab/>
          </w:r>
          <w:r>
            <w:fldChar w:fldCharType="begin"/>
          </w:r>
          <w:r>
            <w:instrText xml:space="preserve"> PAGEREF _Toc12407 </w:instrText>
          </w:r>
          <w:r>
            <w:fldChar w:fldCharType="separate"/>
          </w:r>
          <w:r>
            <w:t>12</w:t>
          </w:r>
          <w:r>
            <w:fldChar w:fldCharType="end"/>
          </w:r>
          <w:r>
            <w:rPr>
              <w:bCs/>
              <w:lang w:val="zh-CN"/>
            </w:rPr>
            <w:fldChar w:fldCharType="end"/>
          </w:r>
        </w:p>
        <w:p>
          <w:pPr>
            <w:pStyle w:val="14"/>
            <w:tabs>
              <w:tab w:val="right" w:leader="dot" w:pos="8312"/>
            </w:tabs>
          </w:pPr>
          <w:r>
            <w:rPr>
              <w:bCs/>
              <w:lang w:val="zh-CN"/>
            </w:rPr>
            <w:fldChar w:fldCharType="begin"/>
          </w:r>
          <w:r>
            <w:rPr>
              <w:bCs/>
              <w:lang w:val="zh-CN"/>
            </w:rPr>
            <w:instrText xml:space="preserve"> HYPERLINK \l _Toc8226 </w:instrText>
          </w:r>
          <w:r>
            <w:rPr>
              <w:bCs/>
              <w:lang w:val="zh-CN"/>
            </w:rPr>
            <w:fldChar w:fldCharType="separate"/>
          </w:r>
          <w:r>
            <w:rPr>
              <w:rFonts w:hint="eastAsia" w:ascii="宋体" w:hAnsi="宋体" w:eastAsia="宋体" w:cs="宋体"/>
              <w:szCs w:val="24"/>
            </w:rPr>
            <w:t xml:space="preserve">2、 </w:t>
          </w:r>
          <w:r>
            <w:rPr>
              <w:rFonts w:hint="eastAsia" w:ascii="宋体" w:hAnsi="宋体" w:cs="宋体"/>
              <w:szCs w:val="24"/>
            </w:rPr>
            <w:t>定义</w:t>
          </w:r>
          <w:r>
            <w:tab/>
          </w:r>
          <w:r>
            <w:fldChar w:fldCharType="begin"/>
          </w:r>
          <w:r>
            <w:instrText xml:space="preserve"> PAGEREF _Toc8226 </w:instrText>
          </w:r>
          <w:r>
            <w:fldChar w:fldCharType="separate"/>
          </w:r>
          <w:r>
            <w:t>12</w:t>
          </w:r>
          <w:r>
            <w:fldChar w:fldCharType="end"/>
          </w:r>
          <w:r>
            <w:rPr>
              <w:bCs/>
              <w:lang w:val="zh-CN"/>
            </w:rPr>
            <w:fldChar w:fldCharType="end"/>
          </w:r>
        </w:p>
        <w:p>
          <w:pPr>
            <w:pStyle w:val="14"/>
            <w:tabs>
              <w:tab w:val="right" w:leader="dot" w:pos="8312"/>
            </w:tabs>
          </w:pPr>
          <w:r>
            <w:rPr>
              <w:bCs/>
              <w:lang w:val="zh-CN"/>
            </w:rPr>
            <w:fldChar w:fldCharType="begin"/>
          </w:r>
          <w:r>
            <w:rPr>
              <w:bCs/>
              <w:lang w:val="zh-CN"/>
            </w:rPr>
            <w:instrText xml:space="preserve"> HYPERLINK \l _Toc10813 </w:instrText>
          </w:r>
          <w:r>
            <w:rPr>
              <w:bCs/>
              <w:lang w:val="zh-CN"/>
            </w:rPr>
            <w:fldChar w:fldCharType="separate"/>
          </w:r>
          <w:r>
            <w:rPr>
              <w:rFonts w:hint="eastAsia" w:ascii="宋体" w:hAnsi="宋体" w:eastAsia="宋体" w:cs="宋体"/>
              <w:szCs w:val="24"/>
            </w:rPr>
            <w:t xml:space="preserve">3、 </w:t>
          </w:r>
          <w:r>
            <w:rPr>
              <w:rFonts w:hint="eastAsia" w:ascii="宋体" w:hAnsi="宋体" w:cs="宋体"/>
              <w:szCs w:val="24"/>
            </w:rPr>
            <w:t>合格的投标人</w:t>
          </w:r>
          <w:r>
            <w:tab/>
          </w:r>
          <w:r>
            <w:fldChar w:fldCharType="begin"/>
          </w:r>
          <w:r>
            <w:instrText xml:space="preserve"> PAGEREF _Toc10813 </w:instrText>
          </w:r>
          <w:r>
            <w:fldChar w:fldCharType="separate"/>
          </w:r>
          <w:r>
            <w:t>12</w:t>
          </w:r>
          <w:r>
            <w:fldChar w:fldCharType="end"/>
          </w:r>
          <w:r>
            <w:rPr>
              <w:bCs/>
              <w:lang w:val="zh-CN"/>
            </w:rPr>
            <w:fldChar w:fldCharType="end"/>
          </w:r>
        </w:p>
        <w:p>
          <w:pPr>
            <w:pStyle w:val="14"/>
            <w:tabs>
              <w:tab w:val="right" w:leader="dot" w:pos="8312"/>
            </w:tabs>
          </w:pPr>
          <w:r>
            <w:rPr>
              <w:bCs/>
              <w:lang w:val="zh-CN"/>
            </w:rPr>
            <w:fldChar w:fldCharType="begin"/>
          </w:r>
          <w:r>
            <w:rPr>
              <w:bCs/>
              <w:lang w:val="zh-CN"/>
            </w:rPr>
            <w:instrText xml:space="preserve"> HYPERLINK \l _Toc10762 </w:instrText>
          </w:r>
          <w:r>
            <w:rPr>
              <w:bCs/>
              <w:lang w:val="zh-CN"/>
            </w:rPr>
            <w:fldChar w:fldCharType="separate"/>
          </w:r>
          <w:r>
            <w:rPr>
              <w:rFonts w:hint="eastAsia" w:ascii="宋体" w:hAnsi="宋体" w:eastAsia="宋体" w:cs="宋体"/>
              <w:szCs w:val="24"/>
            </w:rPr>
            <w:t xml:space="preserve">4、 </w:t>
          </w:r>
          <w:r>
            <w:rPr>
              <w:rFonts w:hint="eastAsia" w:ascii="宋体" w:hAnsi="宋体" w:cs="宋体"/>
              <w:szCs w:val="24"/>
            </w:rPr>
            <w:t>投标费用</w:t>
          </w:r>
          <w:r>
            <w:tab/>
          </w:r>
          <w:r>
            <w:fldChar w:fldCharType="begin"/>
          </w:r>
          <w:r>
            <w:instrText xml:space="preserve"> PAGEREF _Toc10762 </w:instrText>
          </w:r>
          <w:r>
            <w:fldChar w:fldCharType="separate"/>
          </w:r>
          <w:r>
            <w:t>15</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_Toc5115 </w:instrText>
          </w:r>
          <w:r>
            <w:rPr>
              <w:bCs/>
              <w:lang w:val="zh-CN"/>
            </w:rPr>
            <w:fldChar w:fldCharType="separate"/>
          </w:r>
          <w:r>
            <w:rPr>
              <w:rFonts w:hint="eastAsia" w:ascii="宋体" w:hAnsi="宋体"/>
              <w:szCs w:val="28"/>
            </w:rPr>
            <w:t>第二节  招标文件</w:t>
          </w:r>
          <w:r>
            <w:tab/>
          </w:r>
          <w:r>
            <w:fldChar w:fldCharType="begin"/>
          </w:r>
          <w:r>
            <w:instrText xml:space="preserve"> PAGEREF _Toc5115 </w:instrText>
          </w:r>
          <w:r>
            <w:fldChar w:fldCharType="separate"/>
          </w:r>
          <w:r>
            <w:t>15</w:t>
          </w:r>
          <w:r>
            <w:fldChar w:fldCharType="end"/>
          </w:r>
          <w:r>
            <w:rPr>
              <w:bCs/>
              <w:lang w:val="zh-CN"/>
            </w:rPr>
            <w:fldChar w:fldCharType="end"/>
          </w:r>
        </w:p>
        <w:p>
          <w:pPr>
            <w:pStyle w:val="14"/>
            <w:tabs>
              <w:tab w:val="right" w:leader="dot" w:pos="8312"/>
            </w:tabs>
          </w:pPr>
          <w:r>
            <w:rPr>
              <w:bCs/>
              <w:lang w:val="zh-CN"/>
            </w:rPr>
            <w:fldChar w:fldCharType="begin"/>
          </w:r>
          <w:r>
            <w:rPr>
              <w:bCs/>
              <w:lang w:val="zh-CN"/>
            </w:rPr>
            <w:instrText xml:space="preserve"> HYPERLINK \l _Toc21584 </w:instrText>
          </w:r>
          <w:r>
            <w:rPr>
              <w:bCs/>
              <w:lang w:val="zh-CN"/>
            </w:rPr>
            <w:fldChar w:fldCharType="separate"/>
          </w:r>
          <w:r>
            <w:rPr>
              <w:rFonts w:hint="eastAsia" w:ascii="宋体" w:hAnsi="宋体" w:eastAsia="宋体" w:cs="宋体"/>
              <w:szCs w:val="24"/>
            </w:rPr>
            <w:t xml:space="preserve">5、 </w:t>
          </w:r>
          <w:r>
            <w:rPr>
              <w:rFonts w:hint="eastAsia" w:ascii="宋体" w:hAnsi="宋体" w:cs="宋体"/>
              <w:szCs w:val="24"/>
            </w:rPr>
            <w:t>招标文件的组成</w:t>
          </w:r>
          <w:r>
            <w:tab/>
          </w:r>
          <w:r>
            <w:fldChar w:fldCharType="begin"/>
          </w:r>
          <w:r>
            <w:instrText xml:space="preserve"> PAGEREF _Toc21584 </w:instrText>
          </w:r>
          <w:r>
            <w:fldChar w:fldCharType="separate"/>
          </w:r>
          <w:r>
            <w:t>15</w:t>
          </w:r>
          <w:r>
            <w:fldChar w:fldCharType="end"/>
          </w:r>
          <w:r>
            <w:rPr>
              <w:bCs/>
              <w:lang w:val="zh-CN"/>
            </w:rPr>
            <w:fldChar w:fldCharType="end"/>
          </w:r>
        </w:p>
        <w:p>
          <w:pPr>
            <w:pStyle w:val="14"/>
            <w:tabs>
              <w:tab w:val="right" w:leader="dot" w:pos="8312"/>
            </w:tabs>
          </w:pPr>
          <w:r>
            <w:rPr>
              <w:bCs/>
              <w:lang w:val="zh-CN"/>
            </w:rPr>
            <w:fldChar w:fldCharType="begin"/>
          </w:r>
          <w:r>
            <w:rPr>
              <w:bCs/>
              <w:lang w:val="zh-CN"/>
            </w:rPr>
            <w:instrText xml:space="preserve"> HYPERLINK \l _Toc32133 </w:instrText>
          </w:r>
          <w:r>
            <w:rPr>
              <w:bCs/>
              <w:lang w:val="zh-CN"/>
            </w:rPr>
            <w:fldChar w:fldCharType="separate"/>
          </w:r>
          <w:r>
            <w:rPr>
              <w:rFonts w:hint="eastAsia" w:ascii="宋体" w:hAnsi="宋体" w:eastAsia="宋体" w:cs="宋体"/>
              <w:szCs w:val="24"/>
            </w:rPr>
            <w:t xml:space="preserve">6、 </w:t>
          </w:r>
          <w:r>
            <w:rPr>
              <w:rFonts w:hint="eastAsia" w:ascii="宋体" w:hAnsi="宋体" w:cs="宋体"/>
              <w:szCs w:val="24"/>
            </w:rPr>
            <w:t>招标文件的澄清</w:t>
          </w:r>
          <w:r>
            <w:tab/>
          </w:r>
          <w:r>
            <w:fldChar w:fldCharType="begin"/>
          </w:r>
          <w:r>
            <w:instrText xml:space="preserve"> PAGEREF _Toc32133 </w:instrText>
          </w:r>
          <w:r>
            <w:fldChar w:fldCharType="separate"/>
          </w:r>
          <w:r>
            <w:t>15</w:t>
          </w:r>
          <w:r>
            <w:fldChar w:fldCharType="end"/>
          </w:r>
          <w:r>
            <w:rPr>
              <w:bCs/>
              <w:lang w:val="zh-CN"/>
            </w:rPr>
            <w:fldChar w:fldCharType="end"/>
          </w:r>
        </w:p>
        <w:p>
          <w:pPr>
            <w:pStyle w:val="14"/>
            <w:tabs>
              <w:tab w:val="right" w:leader="dot" w:pos="8312"/>
            </w:tabs>
          </w:pPr>
          <w:r>
            <w:rPr>
              <w:bCs/>
              <w:lang w:val="zh-CN"/>
            </w:rPr>
            <w:fldChar w:fldCharType="begin"/>
          </w:r>
          <w:r>
            <w:rPr>
              <w:bCs/>
              <w:lang w:val="zh-CN"/>
            </w:rPr>
            <w:instrText xml:space="preserve"> HYPERLINK \l _Toc424 </w:instrText>
          </w:r>
          <w:r>
            <w:rPr>
              <w:bCs/>
              <w:lang w:val="zh-CN"/>
            </w:rPr>
            <w:fldChar w:fldCharType="separate"/>
          </w:r>
          <w:r>
            <w:rPr>
              <w:rFonts w:hint="eastAsia" w:ascii="宋体" w:hAnsi="宋体" w:eastAsia="宋体" w:cs="宋体"/>
              <w:szCs w:val="24"/>
            </w:rPr>
            <w:t xml:space="preserve">7、 </w:t>
          </w:r>
          <w:r>
            <w:rPr>
              <w:rFonts w:hint="eastAsia" w:ascii="宋体" w:hAnsi="宋体" w:cs="宋体"/>
              <w:szCs w:val="24"/>
            </w:rPr>
            <w:t>招标文件的修改</w:t>
          </w:r>
          <w:r>
            <w:tab/>
          </w:r>
          <w:r>
            <w:fldChar w:fldCharType="begin"/>
          </w:r>
          <w:r>
            <w:instrText xml:space="preserve"> PAGEREF _Toc424 </w:instrText>
          </w:r>
          <w:r>
            <w:fldChar w:fldCharType="separate"/>
          </w:r>
          <w:r>
            <w:t>16</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_Toc30193 </w:instrText>
          </w:r>
          <w:r>
            <w:rPr>
              <w:bCs/>
              <w:lang w:val="zh-CN"/>
            </w:rPr>
            <w:fldChar w:fldCharType="separate"/>
          </w:r>
          <w:r>
            <w:rPr>
              <w:rFonts w:hint="eastAsia" w:ascii="宋体" w:hAnsi="宋体"/>
              <w:szCs w:val="28"/>
            </w:rPr>
            <w:t>第三节  投标文件的编写</w:t>
          </w:r>
          <w:r>
            <w:tab/>
          </w:r>
          <w:r>
            <w:fldChar w:fldCharType="begin"/>
          </w:r>
          <w:r>
            <w:instrText xml:space="preserve"> PAGEREF _Toc30193 </w:instrText>
          </w:r>
          <w:r>
            <w:fldChar w:fldCharType="separate"/>
          </w:r>
          <w:r>
            <w:t>16</w:t>
          </w:r>
          <w:r>
            <w:fldChar w:fldCharType="end"/>
          </w:r>
          <w:r>
            <w:rPr>
              <w:bCs/>
              <w:lang w:val="zh-CN"/>
            </w:rPr>
            <w:fldChar w:fldCharType="end"/>
          </w:r>
        </w:p>
        <w:p>
          <w:pPr>
            <w:pStyle w:val="14"/>
            <w:tabs>
              <w:tab w:val="right" w:leader="dot" w:pos="8312"/>
            </w:tabs>
          </w:pPr>
          <w:r>
            <w:rPr>
              <w:bCs/>
              <w:lang w:val="zh-CN"/>
            </w:rPr>
            <w:fldChar w:fldCharType="begin"/>
          </w:r>
          <w:r>
            <w:rPr>
              <w:bCs/>
              <w:lang w:val="zh-CN"/>
            </w:rPr>
            <w:instrText xml:space="preserve"> HYPERLINK \l _Toc22319 </w:instrText>
          </w:r>
          <w:r>
            <w:rPr>
              <w:bCs/>
              <w:lang w:val="zh-CN"/>
            </w:rPr>
            <w:fldChar w:fldCharType="separate"/>
          </w:r>
          <w:r>
            <w:rPr>
              <w:rFonts w:hint="eastAsia" w:ascii="宋体" w:hAnsi="宋体" w:eastAsia="宋体" w:cs="宋体"/>
              <w:szCs w:val="24"/>
            </w:rPr>
            <w:t xml:space="preserve">8、 </w:t>
          </w:r>
          <w:r>
            <w:rPr>
              <w:rFonts w:hint="eastAsia" w:ascii="宋体" w:hAnsi="宋体" w:cs="宋体"/>
              <w:szCs w:val="24"/>
            </w:rPr>
            <w:t>投标要求</w:t>
          </w:r>
          <w:r>
            <w:tab/>
          </w:r>
          <w:r>
            <w:fldChar w:fldCharType="begin"/>
          </w:r>
          <w:r>
            <w:instrText xml:space="preserve"> PAGEREF _Toc22319 </w:instrText>
          </w:r>
          <w:r>
            <w:fldChar w:fldCharType="separate"/>
          </w:r>
          <w:r>
            <w:t>16</w:t>
          </w:r>
          <w:r>
            <w:fldChar w:fldCharType="end"/>
          </w:r>
          <w:r>
            <w:rPr>
              <w:bCs/>
              <w:lang w:val="zh-CN"/>
            </w:rPr>
            <w:fldChar w:fldCharType="end"/>
          </w:r>
        </w:p>
        <w:p>
          <w:pPr>
            <w:pStyle w:val="14"/>
            <w:tabs>
              <w:tab w:val="right" w:leader="dot" w:pos="8312"/>
            </w:tabs>
          </w:pPr>
          <w:r>
            <w:rPr>
              <w:bCs/>
              <w:lang w:val="zh-CN"/>
            </w:rPr>
            <w:fldChar w:fldCharType="begin"/>
          </w:r>
          <w:r>
            <w:rPr>
              <w:bCs/>
              <w:lang w:val="zh-CN"/>
            </w:rPr>
            <w:instrText xml:space="preserve"> HYPERLINK \l _Toc30874 </w:instrText>
          </w:r>
          <w:r>
            <w:rPr>
              <w:bCs/>
              <w:lang w:val="zh-CN"/>
            </w:rPr>
            <w:fldChar w:fldCharType="separate"/>
          </w:r>
          <w:r>
            <w:rPr>
              <w:rFonts w:hint="eastAsia" w:ascii="宋体" w:hAnsi="宋体" w:eastAsia="宋体" w:cs="宋体"/>
              <w:szCs w:val="24"/>
            </w:rPr>
            <w:t xml:space="preserve">9、 </w:t>
          </w:r>
          <w:r>
            <w:rPr>
              <w:rFonts w:hint="eastAsia" w:ascii="宋体" w:hAnsi="宋体" w:cs="宋体"/>
              <w:szCs w:val="24"/>
            </w:rPr>
            <w:t>投标文件语言</w:t>
          </w:r>
          <w:r>
            <w:tab/>
          </w:r>
          <w:r>
            <w:fldChar w:fldCharType="begin"/>
          </w:r>
          <w:r>
            <w:instrText xml:space="preserve"> PAGEREF _Toc30874 </w:instrText>
          </w:r>
          <w:r>
            <w:fldChar w:fldCharType="separate"/>
          </w:r>
          <w:r>
            <w:t>17</w:t>
          </w:r>
          <w:r>
            <w:fldChar w:fldCharType="end"/>
          </w:r>
          <w:r>
            <w:rPr>
              <w:bCs/>
              <w:lang w:val="zh-CN"/>
            </w:rPr>
            <w:fldChar w:fldCharType="end"/>
          </w:r>
        </w:p>
        <w:p>
          <w:pPr>
            <w:pStyle w:val="14"/>
            <w:tabs>
              <w:tab w:val="right" w:leader="dot" w:pos="8312"/>
            </w:tabs>
          </w:pPr>
          <w:r>
            <w:rPr>
              <w:bCs/>
              <w:lang w:val="zh-CN"/>
            </w:rPr>
            <w:fldChar w:fldCharType="begin"/>
          </w:r>
          <w:r>
            <w:rPr>
              <w:bCs/>
              <w:lang w:val="zh-CN"/>
            </w:rPr>
            <w:instrText xml:space="preserve"> HYPERLINK \l _Toc1690 </w:instrText>
          </w:r>
          <w:r>
            <w:rPr>
              <w:bCs/>
              <w:lang w:val="zh-CN"/>
            </w:rPr>
            <w:fldChar w:fldCharType="separate"/>
          </w:r>
          <w:r>
            <w:rPr>
              <w:rFonts w:hint="eastAsia" w:ascii="宋体" w:hAnsi="宋体" w:eastAsia="宋体" w:cs="宋体"/>
              <w:szCs w:val="24"/>
            </w:rPr>
            <w:t xml:space="preserve">10、 </w:t>
          </w:r>
          <w:r>
            <w:rPr>
              <w:rFonts w:hint="eastAsia" w:ascii="宋体" w:hAnsi="宋体" w:cs="宋体"/>
              <w:szCs w:val="24"/>
            </w:rPr>
            <w:t>投标文件的组成</w:t>
          </w:r>
          <w:r>
            <w:tab/>
          </w:r>
          <w:r>
            <w:fldChar w:fldCharType="begin"/>
          </w:r>
          <w:r>
            <w:instrText xml:space="preserve"> PAGEREF _Toc1690 </w:instrText>
          </w:r>
          <w:r>
            <w:fldChar w:fldCharType="separate"/>
          </w:r>
          <w:r>
            <w:t>17</w:t>
          </w:r>
          <w:r>
            <w:fldChar w:fldCharType="end"/>
          </w:r>
          <w:r>
            <w:rPr>
              <w:bCs/>
              <w:lang w:val="zh-CN"/>
            </w:rPr>
            <w:fldChar w:fldCharType="end"/>
          </w:r>
        </w:p>
        <w:p>
          <w:pPr>
            <w:pStyle w:val="14"/>
            <w:tabs>
              <w:tab w:val="right" w:leader="dot" w:pos="8312"/>
            </w:tabs>
          </w:pPr>
          <w:r>
            <w:rPr>
              <w:bCs/>
              <w:lang w:val="zh-CN"/>
            </w:rPr>
            <w:fldChar w:fldCharType="begin"/>
          </w:r>
          <w:r>
            <w:rPr>
              <w:bCs/>
              <w:lang w:val="zh-CN"/>
            </w:rPr>
            <w:instrText xml:space="preserve"> HYPERLINK \l _Toc196 </w:instrText>
          </w:r>
          <w:r>
            <w:rPr>
              <w:bCs/>
              <w:lang w:val="zh-CN"/>
            </w:rPr>
            <w:fldChar w:fldCharType="separate"/>
          </w:r>
          <w:r>
            <w:rPr>
              <w:rFonts w:hint="eastAsia" w:ascii="宋体" w:hAnsi="宋体" w:eastAsia="宋体" w:cs="宋体"/>
              <w:szCs w:val="24"/>
            </w:rPr>
            <w:t xml:space="preserve">11、 </w:t>
          </w:r>
          <w:r>
            <w:rPr>
              <w:rFonts w:hint="eastAsia" w:ascii="宋体" w:hAnsi="宋体" w:cs="宋体"/>
              <w:szCs w:val="24"/>
            </w:rPr>
            <w:t>投标有效期</w:t>
          </w:r>
          <w:r>
            <w:tab/>
          </w:r>
          <w:r>
            <w:fldChar w:fldCharType="begin"/>
          </w:r>
          <w:r>
            <w:instrText xml:space="preserve"> PAGEREF _Toc196 </w:instrText>
          </w:r>
          <w:r>
            <w:fldChar w:fldCharType="separate"/>
          </w:r>
          <w:r>
            <w:t>17</w:t>
          </w:r>
          <w:r>
            <w:fldChar w:fldCharType="end"/>
          </w:r>
          <w:r>
            <w:rPr>
              <w:bCs/>
              <w:lang w:val="zh-CN"/>
            </w:rPr>
            <w:fldChar w:fldCharType="end"/>
          </w:r>
        </w:p>
        <w:p>
          <w:pPr>
            <w:pStyle w:val="14"/>
            <w:tabs>
              <w:tab w:val="right" w:leader="dot" w:pos="8312"/>
            </w:tabs>
          </w:pPr>
          <w:r>
            <w:rPr>
              <w:bCs/>
              <w:lang w:val="zh-CN"/>
            </w:rPr>
            <w:fldChar w:fldCharType="begin"/>
          </w:r>
          <w:r>
            <w:rPr>
              <w:bCs/>
              <w:lang w:val="zh-CN"/>
            </w:rPr>
            <w:instrText xml:space="preserve"> HYPERLINK \l _Toc17078 </w:instrText>
          </w:r>
          <w:r>
            <w:rPr>
              <w:bCs/>
              <w:lang w:val="zh-CN"/>
            </w:rPr>
            <w:fldChar w:fldCharType="separate"/>
          </w:r>
          <w:r>
            <w:rPr>
              <w:rFonts w:hint="eastAsia" w:ascii="宋体" w:hAnsi="宋体" w:eastAsia="宋体" w:cs="宋体"/>
              <w:szCs w:val="24"/>
            </w:rPr>
            <w:t xml:space="preserve">12、 </w:t>
          </w:r>
          <w:r>
            <w:rPr>
              <w:rFonts w:hint="eastAsia" w:ascii="宋体" w:hAnsi="宋体" w:cs="宋体"/>
              <w:szCs w:val="24"/>
            </w:rPr>
            <w:t>投标保证金</w:t>
          </w:r>
          <w:r>
            <w:tab/>
          </w:r>
          <w:r>
            <w:fldChar w:fldCharType="begin"/>
          </w:r>
          <w:r>
            <w:instrText xml:space="preserve"> PAGEREF _Toc17078 </w:instrText>
          </w:r>
          <w:r>
            <w:fldChar w:fldCharType="separate"/>
          </w:r>
          <w:r>
            <w:t>18</w:t>
          </w:r>
          <w:r>
            <w:fldChar w:fldCharType="end"/>
          </w:r>
          <w:r>
            <w:rPr>
              <w:bCs/>
              <w:lang w:val="zh-CN"/>
            </w:rPr>
            <w:fldChar w:fldCharType="end"/>
          </w:r>
        </w:p>
        <w:p>
          <w:pPr>
            <w:pStyle w:val="14"/>
            <w:tabs>
              <w:tab w:val="right" w:leader="dot" w:pos="8312"/>
            </w:tabs>
          </w:pPr>
          <w:r>
            <w:rPr>
              <w:bCs/>
              <w:lang w:val="zh-CN"/>
            </w:rPr>
            <w:fldChar w:fldCharType="begin"/>
          </w:r>
          <w:r>
            <w:rPr>
              <w:bCs/>
              <w:lang w:val="zh-CN"/>
            </w:rPr>
            <w:instrText xml:space="preserve"> HYPERLINK \l _Toc8988 </w:instrText>
          </w:r>
          <w:r>
            <w:rPr>
              <w:bCs/>
              <w:lang w:val="zh-CN"/>
            </w:rPr>
            <w:fldChar w:fldCharType="separate"/>
          </w:r>
          <w:r>
            <w:rPr>
              <w:rFonts w:hint="eastAsia" w:ascii="宋体" w:hAnsi="宋体" w:eastAsia="宋体" w:cs="宋体"/>
              <w:szCs w:val="24"/>
            </w:rPr>
            <w:t xml:space="preserve">13、 </w:t>
          </w:r>
          <w:r>
            <w:rPr>
              <w:rFonts w:hint="eastAsia" w:ascii="宋体" w:hAnsi="宋体" w:cs="宋体"/>
              <w:szCs w:val="24"/>
            </w:rPr>
            <w:t>投标文件的格式</w:t>
          </w:r>
          <w:r>
            <w:tab/>
          </w:r>
          <w:r>
            <w:fldChar w:fldCharType="begin"/>
          </w:r>
          <w:r>
            <w:instrText xml:space="preserve"> PAGEREF _Toc8988 </w:instrText>
          </w:r>
          <w:r>
            <w:fldChar w:fldCharType="separate"/>
          </w:r>
          <w:r>
            <w:t>19</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_Toc2807 </w:instrText>
          </w:r>
          <w:r>
            <w:rPr>
              <w:bCs/>
              <w:lang w:val="zh-CN"/>
            </w:rPr>
            <w:fldChar w:fldCharType="separate"/>
          </w:r>
          <w:r>
            <w:rPr>
              <w:rFonts w:hint="eastAsia" w:ascii="宋体" w:hAnsi="宋体"/>
              <w:szCs w:val="28"/>
            </w:rPr>
            <w:t>第四节  投标文件的提交</w:t>
          </w:r>
          <w:r>
            <w:tab/>
          </w:r>
          <w:r>
            <w:fldChar w:fldCharType="begin"/>
          </w:r>
          <w:r>
            <w:instrText xml:space="preserve"> PAGEREF _Toc2807 </w:instrText>
          </w:r>
          <w:r>
            <w:fldChar w:fldCharType="separate"/>
          </w:r>
          <w:r>
            <w:t>19</w:t>
          </w:r>
          <w:r>
            <w:fldChar w:fldCharType="end"/>
          </w:r>
          <w:r>
            <w:rPr>
              <w:bCs/>
              <w:lang w:val="zh-CN"/>
            </w:rPr>
            <w:fldChar w:fldCharType="end"/>
          </w:r>
        </w:p>
        <w:p>
          <w:pPr>
            <w:pStyle w:val="14"/>
            <w:tabs>
              <w:tab w:val="right" w:leader="dot" w:pos="8312"/>
            </w:tabs>
          </w:pPr>
          <w:r>
            <w:rPr>
              <w:bCs/>
              <w:lang w:val="zh-CN"/>
            </w:rPr>
            <w:fldChar w:fldCharType="begin"/>
          </w:r>
          <w:r>
            <w:rPr>
              <w:bCs/>
              <w:lang w:val="zh-CN"/>
            </w:rPr>
            <w:instrText xml:space="preserve"> HYPERLINK \l _Toc18030 </w:instrText>
          </w:r>
          <w:r>
            <w:rPr>
              <w:bCs/>
              <w:lang w:val="zh-CN"/>
            </w:rPr>
            <w:fldChar w:fldCharType="separate"/>
          </w:r>
          <w:r>
            <w:rPr>
              <w:rFonts w:hint="eastAsia" w:ascii="宋体" w:hAnsi="宋体" w:eastAsia="宋体" w:cs="宋体"/>
              <w:szCs w:val="24"/>
            </w:rPr>
            <w:t xml:space="preserve">14、 </w:t>
          </w:r>
          <w:r>
            <w:rPr>
              <w:rFonts w:hint="eastAsia" w:ascii="宋体" w:hAnsi="宋体" w:cs="宋体"/>
              <w:szCs w:val="24"/>
            </w:rPr>
            <w:t>投标文件的密封、标记和递交</w:t>
          </w:r>
          <w:r>
            <w:tab/>
          </w:r>
          <w:r>
            <w:fldChar w:fldCharType="begin"/>
          </w:r>
          <w:r>
            <w:instrText xml:space="preserve"> PAGEREF _Toc18030 </w:instrText>
          </w:r>
          <w:r>
            <w:fldChar w:fldCharType="separate"/>
          </w:r>
          <w:r>
            <w:t>19</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_Toc20581 </w:instrText>
          </w:r>
          <w:r>
            <w:rPr>
              <w:bCs/>
              <w:lang w:val="zh-CN"/>
            </w:rPr>
            <w:fldChar w:fldCharType="separate"/>
          </w:r>
          <w:r>
            <w:rPr>
              <w:rFonts w:hint="eastAsia" w:ascii="宋体" w:hAnsi="宋体"/>
              <w:szCs w:val="28"/>
            </w:rPr>
            <w:t>第五节  开标和评标</w:t>
          </w:r>
          <w:r>
            <w:tab/>
          </w:r>
          <w:r>
            <w:fldChar w:fldCharType="begin"/>
          </w:r>
          <w:r>
            <w:instrText xml:space="preserve"> PAGEREF _Toc20581 </w:instrText>
          </w:r>
          <w:r>
            <w:fldChar w:fldCharType="separate"/>
          </w:r>
          <w:r>
            <w:t>20</w:t>
          </w:r>
          <w:r>
            <w:fldChar w:fldCharType="end"/>
          </w:r>
          <w:r>
            <w:rPr>
              <w:bCs/>
              <w:lang w:val="zh-CN"/>
            </w:rPr>
            <w:fldChar w:fldCharType="end"/>
          </w:r>
        </w:p>
        <w:p>
          <w:pPr>
            <w:pStyle w:val="14"/>
            <w:tabs>
              <w:tab w:val="right" w:leader="dot" w:pos="8312"/>
            </w:tabs>
          </w:pPr>
          <w:r>
            <w:rPr>
              <w:bCs/>
              <w:lang w:val="zh-CN"/>
            </w:rPr>
            <w:fldChar w:fldCharType="begin"/>
          </w:r>
          <w:r>
            <w:rPr>
              <w:bCs/>
              <w:lang w:val="zh-CN"/>
            </w:rPr>
            <w:instrText xml:space="preserve"> HYPERLINK \l _Toc32028 </w:instrText>
          </w:r>
          <w:r>
            <w:rPr>
              <w:bCs/>
              <w:lang w:val="zh-CN"/>
            </w:rPr>
            <w:fldChar w:fldCharType="separate"/>
          </w:r>
          <w:r>
            <w:rPr>
              <w:rFonts w:hint="eastAsia" w:ascii="宋体" w:hAnsi="宋体" w:eastAsia="宋体" w:cs="宋体"/>
              <w:szCs w:val="24"/>
            </w:rPr>
            <w:t xml:space="preserve">15、 </w:t>
          </w:r>
          <w:r>
            <w:rPr>
              <w:rFonts w:hint="eastAsia" w:ascii="宋体" w:hAnsi="宋体" w:cs="宋体"/>
              <w:szCs w:val="24"/>
            </w:rPr>
            <w:t>开标、评标时间</w:t>
          </w:r>
          <w:r>
            <w:tab/>
          </w:r>
          <w:r>
            <w:fldChar w:fldCharType="begin"/>
          </w:r>
          <w:r>
            <w:instrText xml:space="preserve"> PAGEREF _Toc32028 </w:instrText>
          </w:r>
          <w:r>
            <w:fldChar w:fldCharType="separate"/>
          </w:r>
          <w:r>
            <w:t>20</w:t>
          </w:r>
          <w:r>
            <w:fldChar w:fldCharType="end"/>
          </w:r>
          <w:r>
            <w:rPr>
              <w:bCs/>
              <w:lang w:val="zh-CN"/>
            </w:rPr>
            <w:fldChar w:fldCharType="end"/>
          </w:r>
        </w:p>
        <w:p>
          <w:pPr>
            <w:pStyle w:val="14"/>
            <w:tabs>
              <w:tab w:val="right" w:leader="dot" w:pos="8312"/>
            </w:tabs>
          </w:pPr>
          <w:r>
            <w:rPr>
              <w:bCs/>
              <w:lang w:val="zh-CN"/>
            </w:rPr>
            <w:fldChar w:fldCharType="begin"/>
          </w:r>
          <w:r>
            <w:rPr>
              <w:bCs/>
              <w:lang w:val="zh-CN"/>
            </w:rPr>
            <w:instrText xml:space="preserve"> HYPERLINK \l _Toc22547 </w:instrText>
          </w:r>
          <w:r>
            <w:rPr>
              <w:bCs/>
              <w:lang w:val="zh-CN"/>
            </w:rPr>
            <w:fldChar w:fldCharType="separate"/>
          </w:r>
          <w:r>
            <w:rPr>
              <w:rFonts w:hint="eastAsia" w:ascii="宋体" w:hAnsi="宋体" w:eastAsia="宋体" w:cs="宋体"/>
              <w:szCs w:val="24"/>
            </w:rPr>
            <w:t xml:space="preserve">16、 </w:t>
          </w:r>
          <w:r>
            <w:rPr>
              <w:rFonts w:hint="eastAsia" w:ascii="宋体" w:hAnsi="宋体" w:cs="宋体"/>
              <w:szCs w:val="24"/>
            </w:rPr>
            <w:t>评标</w:t>
          </w:r>
          <w:r>
            <w:tab/>
          </w:r>
          <w:r>
            <w:fldChar w:fldCharType="begin"/>
          </w:r>
          <w:r>
            <w:instrText xml:space="preserve"> PAGEREF _Toc22547 </w:instrText>
          </w:r>
          <w:r>
            <w:fldChar w:fldCharType="separate"/>
          </w:r>
          <w:r>
            <w:t>20</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_Toc8455 </w:instrText>
          </w:r>
          <w:r>
            <w:rPr>
              <w:bCs/>
              <w:lang w:val="zh-CN"/>
            </w:rPr>
            <w:fldChar w:fldCharType="separate"/>
          </w:r>
          <w:r>
            <w:rPr>
              <w:rFonts w:hint="eastAsia" w:ascii="宋体" w:hAnsi="宋体"/>
              <w:szCs w:val="28"/>
            </w:rPr>
            <w:t>第六节  定标与签订合同</w:t>
          </w:r>
          <w:r>
            <w:tab/>
          </w:r>
          <w:r>
            <w:fldChar w:fldCharType="begin"/>
          </w:r>
          <w:r>
            <w:instrText xml:space="preserve"> PAGEREF _Toc8455 </w:instrText>
          </w:r>
          <w:r>
            <w:fldChar w:fldCharType="separate"/>
          </w:r>
          <w:r>
            <w:t>20</w:t>
          </w:r>
          <w:r>
            <w:fldChar w:fldCharType="end"/>
          </w:r>
          <w:r>
            <w:rPr>
              <w:bCs/>
              <w:lang w:val="zh-CN"/>
            </w:rPr>
            <w:fldChar w:fldCharType="end"/>
          </w:r>
        </w:p>
        <w:p>
          <w:pPr>
            <w:pStyle w:val="14"/>
            <w:tabs>
              <w:tab w:val="right" w:leader="dot" w:pos="8312"/>
            </w:tabs>
          </w:pPr>
          <w:r>
            <w:rPr>
              <w:bCs/>
              <w:lang w:val="zh-CN"/>
            </w:rPr>
            <w:fldChar w:fldCharType="begin"/>
          </w:r>
          <w:r>
            <w:rPr>
              <w:bCs/>
              <w:lang w:val="zh-CN"/>
            </w:rPr>
            <w:instrText xml:space="preserve"> HYPERLINK \l _Toc277 </w:instrText>
          </w:r>
          <w:r>
            <w:rPr>
              <w:bCs/>
              <w:lang w:val="zh-CN"/>
            </w:rPr>
            <w:fldChar w:fldCharType="separate"/>
          </w:r>
          <w:r>
            <w:rPr>
              <w:rFonts w:hint="eastAsia" w:ascii="宋体" w:hAnsi="宋体" w:eastAsia="宋体" w:cs="宋体"/>
              <w:szCs w:val="24"/>
            </w:rPr>
            <w:t xml:space="preserve">17、 </w:t>
          </w:r>
          <w:r>
            <w:rPr>
              <w:rFonts w:hint="eastAsia" w:ascii="宋体" w:hAnsi="宋体" w:cs="宋体"/>
              <w:szCs w:val="24"/>
            </w:rPr>
            <w:t>定标准则</w:t>
          </w:r>
          <w:r>
            <w:tab/>
          </w:r>
          <w:r>
            <w:fldChar w:fldCharType="begin"/>
          </w:r>
          <w:r>
            <w:instrText xml:space="preserve"> PAGEREF _Toc277 </w:instrText>
          </w:r>
          <w:r>
            <w:fldChar w:fldCharType="separate"/>
          </w:r>
          <w:r>
            <w:t>20</w:t>
          </w:r>
          <w:r>
            <w:fldChar w:fldCharType="end"/>
          </w:r>
          <w:r>
            <w:rPr>
              <w:bCs/>
              <w:lang w:val="zh-CN"/>
            </w:rPr>
            <w:fldChar w:fldCharType="end"/>
          </w:r>
        </w:p>
        <w:p>
          <w:pPr>
            <w:pStyle w:val="14"/>
            <w:tabs>
              <w:tab w:val="right" w:leader="dot" w:pos="8312"/>
            </w:tabs>
          </w:pPr>
          <w:r>
            <w:rPr>
              <w:bCs/>
              <w:lang w:val="zh-CN"/>
            </w:rPr>
            <w:fldChar w:fldCharType="begin"/>
          </w:r>
          <w:r>
            <w:rPr>
              <w:bCs/>
              <w:lang w:val="zh-CN"/>
            </w:rPr>
            <w:instrText xml:space="preserve"> HYPERLINK \l _Toc5853 </w:instrText>
          </w:r>
          <w:r>
            <w:rPr>
              <w:bCs/>
              <w:lang w:val="zh-CN"/>
            </w:rPr>
            <w:fldChar w:fldCharType="separate"/>
          </w:r>
          <w:r>
            <w:rPr>
              <w:rFonts w:hint="eastAsia" w:ascii="宋体" w:hAnsi="宋体" w:eastAsia="宋体" w:cs="宋体"/>
              <w:szCs w:val="24"/>
            </w:rPr>
            <w:t xml:space="preserve">18、 </w:t>
          </w:r>
          <w:r>
            <w:rPr>
              <w:rFonts w:hint="eastAsia" w:ascii="宋体" w:hAnsi="宋体" w:cs="宋体"/>
              <w:szCs w:val="24"/>
            </w:rPr>
            <w:t>接受和拒绝任何或所有投标的权利</w:t>
          </w:r>
          <w:r>
            <w:tab/>
          </w:r>
          <w:r>
            <w:fldChar w:fldCharType="begin"/>
          </w:r>
          <w:r>
            <w:instrText xml:space="preserve"> PAGEREF _Toc5853 </w:instrText>
          </w:r>
          <w:r>
            <w:fldChar w:fldCharType="separate"/>
          </w:r>
          <w:r>
            <w:t>21</w:t>
          </w:r>
          <w:r>
            <w:fldChar w:fldCharType="end"/>
          </w:r>
          <w:r>
            <w:rPr>
              <w:bCs/>
              <w:lang w:val="zh-CN"/>
            </w:rPr>
            <w:fldChar w:fldCharType="end"/>
          </w:r>
        </w:p>
        <w:p>
          <w:pPr>
            <w:pStyle w:val="14"/>
            <w:tabs>
              <w:tab w:val="right" w:leader="dot" w:pos="8312"/>
            </w:tabs>
          </w:pPr>
          <w:r>
            <w:rPr>
              <w:bCs/>
              <w:lang w:val="zh-CN"/>
            </w:rPr>
            <w:fldChar w:fldCharType="begin"/>
          </w:r>
          <w:r>
            <w:rPr>
              <w:bCs/>
              <w:lang w:val="zh-CN"/>
            </w:rPr>
            <w:instrText xml:space="preserve"> HYPERLINK \l _Toc16286 </w:instrText>
          </w:r>
          <w:r>
            <w:rPr>
              <w:bCs/>
              <w:lang w:val="zh-CN"/>
            </w:rPr>
            <w:fldChar w:fldCharType="separate"/>
          </w:r>
          <w:r>
            <w:rPr>
              <w:rFonts w:hint="eastAsia" w:ascii="宋体" w:hAnsi="宋体" w:eastAsia="宋体" w:cs="宋体"/>
              <w:szCs w:val="24"/>
            </w:rPr>
            <w:t xml:space="preserve">19、 </w:t>
          </w:r>
          <w:r>
            <w:rPr>
              <w:rFonts w:hint="eastAsia" w:ascii="宋体" w:hAnsi="宋体" w:cs="宋体"/>
              <w:szCs w:val="24"/>
            </w:rPr>
            <w:t>中标通知</w:t>
          </w:r>
          <w:r>
            <w:tab/>
          </w:r>
          <w:r>
            <w:fldChar w:fldCharType="begin"/>
          </w:r>
          <w:r>
            <w:instrText xml:space="preserve"> PAGEREF _Toc16286 </w:instrText>
          </w:r>
          <w:r>
            <w:fldChar w:fldCharType="separate"/>
          </w:r>
          <w:r>
            <w:t>21</w:t>
          </w:r>
          <w:r>
            <w:fldChar w:fldCharType="end"/>
          </w:r>
          <w:r>
            <w:rPr>
              <w:bCs/>
              <w:lang w:val="zh-CN"/>
            </w:rPr>
            <w:fldChar w:fldCharType="end"/>
          </w:r>
        </w:p>
        <w:p>
          <w:pPr>
            <w:pStyle w:val="14"/>
            <w:tabs>
              <w:tab w:val="right" w:leader="dot" w:pos="8312"/>
            </w:tabs>
          </w:pPr>
          <w:r>
            <w:rPr>
              <w:bCs/>
              <w:lang w:val="zh-CN"/>
            </w:rPr>
            <w:fldChar w:fldCharType="begin"/>
          </w:r>
          <w:r>
            <w:rPr>
              <w:bCs/>
              <w:lang w:val="zh-CN"/>
            </w:rPr>
            <w:instrText xml:space="preserve"> HYPERLINK \l _Toc9024 </w:instrText>
          </w:r>
          <w:r>
            <w:rPr>
              <w:bCs/>
              <w:lang w:val="zh-CN"/>
            </w:rPr>
            <w:fldChar w:fldCharType="separate"/>
          </w:r>
          <w:r>
            <w:rPr>
              <w:rFonts w:hint="eastAsia" w:ascii="宋体" w:hAnsi="宋体" w:eastAsia="宋体" w:cs="宋体"/>
              <w:szCs w:val="24"/>
            </w:rPr>
            <w:t xml:space="preserve">20、 </w:t>
          </w:r>
          <w:r>
            <w:rPr>
              <w:rFonts w:hint="eastAsia" w:ascii="宋体" w:hAnsi="宋体" w:cs="宋体"/>
              <w:szCs w:val="24"/>
            </w:rPr>
            <w:t>签订合同</w:t>
          </w:r>
          <w:r>
            <w:tab/>
          </w:r>
          <w:r>
            <w:fldChar w:fldCharType="begin"/>
          </w:r>
          <w:r>
            <w:instrText xml:space="preserve"> PAGEREF _Toc9024 </w:instrText>
          </w:r>
          <w:r>
            <w:fldChar w:fldCharType="separate"/>
          </w:r>
          <w:r>
            <w:t>21</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_Toc18973 </w:instrText>
          </w:r>
          <w:r>
            <w:rPr>
              <w:bCs/>
              <w:lang w:val="zh-CN"/>
            </w:rPr>
            <w:fldChar w:fldCharType="separate"/>
          </w:r>
          <w:r>
            <w:rPr>
              <w:rFonts w:hint="eastAsia" w:ascii="宋体" w:hAnsi="宋体"/>
              <w:szCs w:val="28"/>
            </w:rPr>
            <w:t>第七节  询问与异议</w:t>
          </w:r>
          <w:r>
            <w:tab/>
          </w:r>
          <w:r>
            <w:fldChar w:fldCharType="begin"/>
          </w:r>
          <w:r>
            <w:instrText xml:space="preserve"> PAGEREF _Toc18973 </w:instrText>
          </w:r>
          <w:r>
            <w:fldChar w:fldCharType="separate"/>
          </w:r>
          <w:r>
            <w:t>22</w:t>
          </w:r>
          <w:r>
            <w:fldChar w:fldCharType="end"/>
          </w:r>
          <w:r>
            <w:rPr>
              <w:bCs/>
              <w:lang w:val="zh-CN"/>
            </w:rPr>
            <w:fldChar w:fldCharType="end"/>
          </w:r>
        </w:p>
        <w:p>
          <w:pPr>
            <w:pStyle w:val="14"/>
            <w:tabs>
              <w:tab w:val="right" w:leader="dot" w:pos="8312"/>
            </w:tabs>
          </w:pPr>
          <w:r>
            <w:rPr>
              <w:bCs/>
              <w:lang w:val="zh-CN"/>
            </w:rPr>
            <w:fldChar w:fldCharType="begin"/>
          </w:r>
          <w:r>
            <w:rPr>
              <w:bCs/>
              <w:lang w:val="zh-CN"/>
            </w:rPr>
            <w:instrText xml:space="preserve"> HYPERLINK \l _Toc24044 </w:instrText>
          </w:r>
          <w:r>
            <w:rPr>
              <w:bCs/>
              <w:lang w:val="zh-CN"/>
            </w:rPr>
            <w:fldChar w:fldCharType="separate"/>
          </w:r>
          <w:r>
            <w:rPr>
              <w:rFonts w:hint="eastAsia" w:ascii="宋体" w:hAnsi="宋体" w:eastAsia="宋体" w:cs="宋体"/>
              <w:szCs w:val="24"/>
            </w:rPr>
            <w:t xml:space="preserve">21、 </w:t>
          </w:r>
          <w:r>
            <w:rPr>
              <w:rFonts w:hint="eastAsia" w:ascii="宋体" w:hAnsi="宋体" w:cs="宋体"/>
              <w:szCs w:val="24"/>
            </w:rPr>
            <w:t>询问</w:t>
          </w:r>
          <w:r>
            <w:tab/>
          </w:r>
          <w:r>
            <w:fldChar w:fldCharType="begin"/>
          </w:r>
          <w:r>
            <w:instrText xml:space="preserve"> PAGEREF _Toc24044 </w:instrText>
          </w:r>
          <w:r>
            <w:fldChar w:fldCharType="separate"/>
          </w:r>
          <w:r>
            <w:t>22</w:t>
          </w:r>
          <w:r>
            <w:fldChar w:fldCharType="end"/>
          </w:r>
          <w:r>
            <w:rPr>
              <w:bCs/>
              <w:lang w:val="zh-CN"/>
            </w:rPr>
            <w:fldChar w:fldCharType="end"/>
          </w:r>
        </w:p>
        <w:p>
          <w:pPr>
            <w:pStyle w:val="14"/>
            <w:tabs>
              <w:tab w:val="right" w:leader="dot" w:pos="8312"/>
            </w:tabs>
          </w:pPr>
          <w:r>
            <w:rPr>
              <w:bCs/>
              <w:lang w:val="zh-CN"/>
            </w:rPr>
            <w:fldChar w:fldCharType="begin"/>
          </w:r>
          <w:r>
            <w:rPr>
              <w:bCs/>
              <w:lang w:val="zh-CN"/>
            </w:rPr>
            <w:instrText xml:space="preserve"> HYPERLINK \l _Toc20543 </w:instrText>
          </w:r>
          <w:r>
            <w:rPr>
              <w:bCs/>
              <w:lang w:val="zh-CN"/>
            </w:rPr>
            <w:fldChar w:fldCharType="separate"/>
          </w:r>
          <w:r>
            <w:rPr>
              <w:rFonts w:hint="eastAsia" w:ascii="宋体" w:hAnsi="宋体" w:eastAsia="宋体" w:cs="宋体"/>
              <w:szCs w:val="24"/>
            </w:rPr>
            <w:t xml:space="preserve">22、 </w:t>
          </w:r>
          <w:r>
            <w:rPr>
              <w:rFonts w:hint="eastAsia" w:ascii="宋体" w:hAnsi="宋体" w:cs="宋体"/>
              <w:szCs w:val="24"/>
            </w:rPr>
            <w:t>异议</w:t>
          </w:r>
          <w:r>
            <w:tab/>
          </w:r>
          <w:r>
            <w:fldChar w:fldCharType="begin"/>
          </w:r>
          <w:r>
            <w:instrText xml:space="preserve"> PAGEREF _Toc20543 </w:instrText>
          </w:r>
          <w:r>
            <w:fldChar w:fldCharType="separate"/>
          </w:r>
          <w:r>
            <w:t>22</w:t>
          </w:r>
          <w:r>
            <w:fldChar w:fldCharType="end"/>
          </w:r>
          <w:r>
            <w:rPr>
              <w:bCs/>
              <w:lang w:val="zh-CN"/>
            </w:rPr>
            <w:fldChar w:fldCharType="end"/>
          </w:r>
        </w:p>
        <w:p>
          <w:pPr>
            <w:pStyle w:val="21"/>
            <w:tabs>
              <w:tab w:val="right" w:leader="dot" w:pos="8312"/>
            </w:tabs>
          </w:pPr>
          <w:r>
            <w:rPr>
              <w:bCs/>
              <w:lang w:val="zh-CN"/>
            </w:rPr>
            <w:fldChar w:fldCharType="begin"/>
          </w:r>
          <w:r>
            <w:rPr>
              <w:bCs/>
              <w:lang w:val="zh-CN"/>
            </w:rPr>
            <w:instrText xml:space="preserve"> HYPERLINK \l _Toc23348 </w:instrText>
          </w:r>
          <w:r>
            <w:rPr>
              <w:bCs/>
              <w:lang w:val="zh-CN"/>
            </w:rPr>
            <w:fldChar w:fldCharType="separate"/>
          </w:r>
          <w:r>
            <w:rPr>
              <w:rFonts w:hint="eastAsia" w:hAnsi="宋体"/>
              <w:bCs/>
              <w:szCs w:val="36"/>
            </w:rPr>
            <w:t>第三章  评标办法</w:t>
          </w:r>
          <w:r>
            <w:tab/>
          </w:r>
          <w:r>
            <w:fldChar w:fldCharType="begin"/>
          </w:r>
          <w:r>
            <w:instrText xml:space="preserve"> PAGEREF _Toc23348 </w:instrText>
          </w:r>
          <w:r>
            <w:fldChar w:fldCharType="separate"/>
          </w:r>
          <w:r>
            <w:t>24</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_Toc4861 </w:instrText>
          </w:r>
          <w:r>
            <w:rPr>
              <w:bCs/>
              <w:lang w:val="zh-CN"/>
            </w:rPr>
            <w:fldChar w:fldCharType="separate"/>
          </w:r>
          <w:r>
            <w:rPr>
              <w:rFonts w:hint="eastAsia" w:ascii="宋体" w:hAnsi="宋体"/>
              <w:szCs w:val="24"/>
            </w:rPr>
            <w:t>1、总则</w:t>
          </w:r>
          <w:r>
            <w:tab/>
          </w:r>
          <w:r>
            <w:fldChar w:fldCharType="begin"/>
          </w:r>
          <w:r>
            <w:instrText xml:space="preserve"> PAGEREF _Toc4861 </w:instrText>
          </w:r>
          <w:r>
            <w:fldChar w:fldCharType="separate"/>
          </w:r>
          <w:r>
            <w:t>24</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_Toc9813 </w:instrText>
          </w:r>
          <w:r>
            <w:rPr>
              <w:bCs/>
              <w:lang w:val="zh-CN"/>
            </w:rPr>
            <w:fldChar w:fldCharType="separate"/>
          </w:r>
          <w:r>
            <w:rPr>
              <w:rFonts w:hint="eastAsia" w:ascii="宋体" w:hAnsi="宋体"/>
              <w:szCs w:val="24"/>
            </w:rPr>
            <w:t>2、评标委员会的组建</w:t>
          </w:r>
          <w:r>
            <w:tab/>
          </w:r>
          <w:r>
            <w:fldChar w:fldCharType="begin"/>
          </w:r>
          <w:r>
            <w:instrText xml:space="preserve"> PAGEREF _Toc9813 </w:instrText>
          </w:r>
          <w:r>
            <w:fldChar w:fldCharType="separate"/>
          </w:r>
          <w:r>
            <w:t>24</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_Toc11810 </w:instrText>
          </w:r>
          <w:r>
            <w:rPr>
              <w:bCs/>
              <w:lang w:val="zh-CN"/>
            </w:rPr>
            <w:fldChar w:fldCharType="separate"/>
          </w:r>
          <w:r>
            <w:rPr>
              <w:rFonts w:hint="eastAsia" w:ascii="宋体" w:hAnsi="宋体"/>
              <w:szCs w:val="24"/>
            </w:rPr>
            <w:t>3、评标原则和评标纪律</w:t>
          </w:r>
          <w:r>
            <w:tab/>
          </w:r>
          <w:r>
            <w:fldChar w:fldCharType="begin"/>
          </w:r>
          <w:r>
            <w:instrText xml:space="preserve"> PAGEREF _Toc11810 </w:instrText>
          </w:r>
          <w:r>
            <w:fldChar w:fldCharType="separate"/>
          </w:r>
          <w:r>
            <w:t>24</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_Toc15213 </w:instrText>
          </w:r>
          <w:r>
            <w:rPr>
              <w:bCs/>
              <w:lang w:val="zh-CN"/>
            </w:rPr>
            <w:fldChar w:fldCharType="separate"/>
          </w:r>
          <w:r>
            <w:rPr>
              <w:rFonts w:hint="eastAsia" w:ascii="宋体" w:hAnsi="宋体"/>
              <w:szCs w:val="24"/>
            </w:rPr>
            <w:t>4、评标程序、评标办法和标准</w:t>
          </w:r>
          <w:r>
            <w:tab/>
          </w:r>
          <w:r>
            <w:fldChar w:fldCharType="begin"/>
          </w:r>
          <w:r>
            <w:instrText xml:space="preserve"> PAGEREF _Toc15213 </w:instrText>
          </w:r>
          <w:r>
            <w:fldChar w:fldCharType="separate"/>
          </w:r>
          <w:r>
            <w:t>25</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_Toc9959 </w:instrText>
          </w:r>
          <w:r>
            <w:rPr>
              <w:bCs/>
              <w:lang w:val="zh-CN"/>
            </w:rPr>
            <w:fldChar w:fldCharType="separate"/>
          </w:r>
          <w:r>
            <w:rPr>
              <w:rFonts w:hint="eastAsia" w:ascii="宋体" w:hAnsi="宋体"/>
              <w:szCs w:val="24"/>
            </w:rPr>
            <w:t>5、评标方法</w:t>
          </w:r>
          <w:r>
            <w:tab/>
          </w:r>
          <w:r>
            <w:fldChar w:fldCharType="begin"/>
          </w:r>
          <w:r>
            <w:instrText xml:space="preserve"> PAGEREF _Toc9959 </w:instrText>
          </w:r>
          <w:r>
            <w:fldChar w:fldCharType="separate"/>
          </w:r>
          <w:r>
            <w:t>27</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_Toc26134 </w:instrText>
          </w:r>
          <w:r>
            <w:rPr>
              <w:bCs/>
              <w:lang w:val="zh-CN"/>
            </w:rPr>
            <w:fldChar w:fldCharType="separate"/>
          </w:r>
          <w:r>
            <w:rPr>
              <w:rFonts w:hint="eastAsia" w:ascii="宋体" w:hAnsi="宋体"/>
              <w:szCs w:val="24"/>
            </w:rPr>
            <w:t>6、推荐中标候选人名单。</w:t>
          </w:r>
          <w:r>
            <w:tab/>
          </w:r>
          <w:r>
            <w:fldChar w:fldCharType="begin"/>
          </w:r>
          <w:r>
            <w:instrText xml:space="preserve"> PAGEREF _Toc26134 </w:instrText>
          </w:r>
          <w:r>
            <w:fldChar w:fldCharType="separate"/>
          </w:r>
          <w:r>
            <w:t>28</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_Toc12446 </w:instrText>
          </w:r>
          <w:r>
            <w:rPr>
              <w:bCs/>
              <w:lang w:val="zh-CN"/>
            </w:rPr>
            <w:fldChar w:fldCharType="separate"/>
          </w:r>
          <w:r>
            <w:rPr>
              <w:rFonts w:hint="eastAsia" w:ascii="宋体" w:hAnsi="宋体"/>
              <w:szCs w:val="24"/>
            </w:rPr>
            <w:t>7、定标原则</w:t>
          </w:r>
          <w:r>
            <w:tab/>
          </w:r>
          <w:r>
            <w:fldChar w:fldCharType="begin"/>
          </w:r>
          <w:r>
            <w:instrText xml:space="preserve"> PAGEREF _Toc12446 </w:instrText>
          </w:r>
          <w:r>
            <w:fldChar w:fldCharType="separate"/>
          </w:r>
          <w:r>
            <w:t>28</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_Toc20986 </w:instrText>
          </w:r>
          <w:r>
            <w:rPr>
              <w:bCs/>
              <w:lang w:val="zh-CN"/>
            </w:rPr>
            <w:fldChar w:fldCharType="separate"/>
          </w:r>
          <w:r>
            <w:rPr>
              <w:rFonts w:hint="eastAsia" w:cs="宋体"/>
              <w:bCs/>
              <w:szCs w:val="28"/>
            </w:rPr>
            <w:t>附表1：资格审查表</w:t>
          </w:r>
          <w:r>
            <w:tab/>
          </w:r>
          <w:r>
            <w:fldChar w:fldCharType="begin"/>
          </w:r>
          <w:r>
            <w:instrText xml:space="preserve"> PAGEREF _Toc20986 </w:instrText>
          </w:r>
          <w:r>
            <w:fldChar w:fldCharType="separate"/>
          </w:r>
          <w:r>
            <w:t>30</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_Toc24447 </w:instrText>
          </w:r>
          <w:r>
            <w:rPr>
              <w:bCs/>
              <w:lang w:val="zh-CN"/>
            </w:rPr>
            <w:fldChar w:fldCharType="separate"/>
          </w:r>
          <w:r>
            <w:rPr>
              <w:rFonts w:hint="eastAsia" w:cs="宋体"/>
              <w:bCs/>
              <w:szCs w:val="28"/>
            </w:rPr>
            <w:t>附表2：符合性条款审查表</w:t>
          </w:r>
          <w:r>
            <w:tab/>
          </w:r>
          <w:r>
            <w:fldChar w:fldCharType="begin"/>
          </w:r>
          <w:r>
            <w:instrText xml:space="preserve"> PAGEREF _Toc24447 </w:instrText>
          </w:r>
          <w:r>
            <w:fldChar w:fldCharType="separate"/>
          </w:r>
          <w:r>
            <w:t>31</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_Toc17620 </w:instrText>
          </w:r>
          <w:r>
            <w:rPr>
              <w:bCs/>
              <w:lang w:val="zh-CN"/>
            </w:rPr>
            <w:fldChar w:fldCharType="separate"/>
          </w:r>
          <w:r>
            <w:rPr>
              <w:rFonts w:hint="eastAsia" w:cs="宋体"/>
              <w:bCs/>
              <w:szCs w:val="28"/>
            </w:rPr>
            <w:t>附表3：技术商务因素及价格因素评分表</w:t>
          </w:r>
          <w:r>
            <w:tab/>
          </w:r>
          <w:r>
            <w:fldChar w:fldCharType="begin"/>
          </w:r>
          <w:r>
            <w:instrText xml:space="preserve"> PAGEREF _Toc17620 </w:instrText>
          </w:r>
          <w:r>
            <w:fldChar w:fldCharType="separate"/>
          </w:r>
          <w:r>
            <w:t>32</w:t>
          </w:r>
          <w:r>
            <w:fldChar w:fldCharType="end"/>
          </w:r>
          <w:r>
            <w:rPr>
              <w:bCs/>
              <w:lang w:val="zh-CN"/>
            </w:rPr>
            <w:fldChar w:fldCharType="end"/>
          </w:r>
        </w:p>
        <w:p>
          <w:pPr>
            <w:pStyle w:val="21"/>
            <w:tabs>
              <w:tab w:val="right" w:leader="dot" w:pos="8312"/>
            </w:tabs>
          </w:pPr>
          <w:r>
            <w:rPr>
              <w:bCs/>
              <w:lang w:val="zh-CN"/>
            </w:rPr>
            <w:fldChar w:fldCharType="begin"/>
          </w:r>
          <w:r>
            <w:rPr>
              <w:bCs/>
              <w:lang w:val="zh-CN"/>
            </w:rPr>
            <w:instrText xml:space="preserve"> HYPERLINK \l _Toc789 </w:instrText>
          </w:r>
          <w:r>
            <w:rPr>
              <w:bCs/>
              <w:lang w:val="zh-CN"/>
            </w:rPr>
            <w:fldChar w:fldCharType="separate"/>
          </w:r>
          <w:r>
            <w:rPr>
              <w:rFonts w:hint="eastAsia"/>
              <w:bCs/>
              <w:szCs w:val="36"/>
            </w:rPr>
            <w:t>第四章  招标内容及要求</w:t>
          </w:r>
          <w:r>
            <w:tab/>
          </w:r>
          <w:r>
            <w:fldChar w:fldCharType="begin"/>
          </w:r>
          <w:r>
            <w:instrText xml:space="preserve"> PAGEREF _Toc789 </w:instrText>
          </w:r>
          <w:r>
            <w:fldChar w:fldCharType="separate"/>
          </w:r>
          <w:r>
            <w:t>34</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_Toc30145 </w:instrText>
          </w:r>
          <w:r>
            <w:rPr>
              <w:bCs/>
              <w:lang w:val="zh-CN"/>
            </w:rPr>
            <w:fldChar w:fldCharType="separate"/>
          </w:r>
          <w:r>
            <w:rPr>
              <w:rFonts w:hint="eastAsia"/>
              <w:bCs/>
              <w:szCs w:val="28"/>
            </w:rPr>
            <w:t>概述</w:t>
          </w:r>
          <w:r>
            <w:tab/>
          </w:r>
          <w:r>
            <w:fldChar w:fldCharType="begin"/>
          </w:r>
          <w:r>
            <w:instrText xml:space="preserve"> PAGEREF _Toc30145 </w:instrText>
          </w:r>
          <w:r>
            <w:fldChar w:fldCharType="separate"/>
          </w:r>
          <w:r>
            <w:t>34</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_Toc27872 </w:instrText>
          </w:r>
          <w:r>
            <w:rPr>
              <w:bCs/>
              <w:lang w:val="zh-CN"/>
            </w:rPr>
            <w:fldChar w:fldCharType="separate"/>
          </w:r>
          <w:r>
            <w:rPr>
              <w:rFonts w:hint="eastAsia" w:cs="宋体"/>
              <w:bCs/>
              <w:szCs w:val="24"/>
            </w:rPr>
            <w:t>一、 维修技术方案概述</w:t>
          </w:r>
          <w:r>
            <w:tab/>
          </w:r>
          <w:r>
            <w:fldChar w:fldCharType="begin"/>
          </w:r>
          <w:r>
            <w:instrText xml:space="preserve"> PAGEREF _Toc27872 </w:instrText>
          </w:r>
          <w:r>
            <w:fldChar w:fldCharType="separate"/>
          </w:r>
          <w:r>
            <w:t>35</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_Toc21453 </w:instrText>
          </w:r>
          <w:r>
            <w:rPr>
              <w:bCs/>
              <w:lang w:val="zh-CN"/>
            </w:rPr>
            <w:fldChar w:fldCharType="separate"/>
          </w:r>
          <w:r>
            <w:rPr>
              <w:rFonts w:hint="eastAsia" w:cs="宋体"/>
              <w:bCs/>
              <w:szCs w:val="24"/>
            </w:rPr>
            <w:t>二、 设备验收标准及方式</w:t>
          </w:r>
          <w:r>
            <w:tab/>
          </w:r>
          <w:r>
            <w:fldChar w:fldCharType="begin"/>
          </w:r>
          <w:r>
            <w:instrText xml:space="preserve"> PAGEREF _Toc21453 </w:instrText>
          </w:r>
          <w:r>
            <w:fldChar w:fldCharType="separate"/>
          </w:r>
          <w:r>
            <w:t>45</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_Toc19740 </w:instrText>
          </w:r>
          <w:r>
            <w:rPr>
              <w:bCs/>
              <w:lang w:val="zh-CN"/>
            </w:rPr>
            <w:fldChar w:fldCharType="separate"/>
          </w:r>
          <w:r>
            <w:tab/>
          </w:r>
          <w:r>
            <w:fldChar w:fldCharType="begin"/>
          </w:r>
          <w:r>
            <w:instrText xml:space="preserve"> PAGEREF _Toc19740 </w:instrText>
          </w:r>
          <w:r>
            <w:fldChar w:fldCharType="separate"/>
          </w:r>
          <w:r>
            <w:t>46</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_Toc24087 </w:instrText>
          </w:r>
          <w:r>
            <w:rPr>
              <w:bCs/>
              <w:lang w:val="zh-CN"/>
            </w:rPr>
            <w:fldChar w:fldCharType="separate"/>
          </w:r>
          <w:r>
            <w:rPr>
              <w:rFonts w:hint="eastAsia" w:cs="宋体"/>
              <w:bCs/>
              <w:szCs w:val="24"/>
            </w:rPr>
            <w:t>三、 技术培训</w:t>
          </w:r>
          <w:r>
            <w:tab/>
          </w:r>
          <w:r>
            <w:fldChar w:fldCharType="begin"/>
          </w:r>
          <w:r>
            <w:instrText xml:space="preserve"> PAGEREF _Toc24087 </w:instrText>
          </w:r>
          <w:r>
            <w:fldChar w:fldCharType="separate"/>
          </w:r>
          <w:r>
            <w:t>60</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_Toc24287 </w:instrText>
          </w:r>
          <w:r>
            <w:rPr>
              <w:bCs/>
              <w:lang w:val="zh-CN"/>
            </w:rPr>
            <w:fldChar w:fldCharType="separate"/>
          </w:r>
          <w:r>
            <w:rPr>
              <w:rFonts w:hint="eastAsia" w:cs="宋体"/>
              <w:bCs/>
              <w:szCs w:val="24"/>
            </w:rPr>
            <w:t>四、交货及售后服务</w:t>
          </w:r>
          <w:r>
            <w:tab/>
          </w:r>
          <w:r>
            <w:fldChar w:fldCharType="begin"/>
          </w:r>
          <w:r>
            <w:instrText xml:space="preserve"> PAGEREF _Toc24287 </w:instrText>
          </w:r>
          <w:r>
            <w:fldChar w:fldCharType="separate"/>
          </w:r>
          <w:r>
            <w:t>61</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_Toc526 </w:instrText>
          </w:r>
          <w:r>
            <w:rPr>
              <w:bCs/>
              <w:lang w:val="zh-CN"/>
            </w:rPr>
            <w:fldChar w:fldCharType="separate"/>
          </w:r>
          <w:r>
            <w:rPr>
              <w:rFonts w:hint="eastAsia" w:cs="宋体"/>
              <w:bCs/>
              <w:szCs w:val="24"/>
            </w:rPr>
            <w:t>五、★付款方式</w:t>
          </w:r>
          <w:r>
            <w:tab/>
          </w:r>
          <w:r>
            <w:fldChar w:fldCharType="begin"/>
          </w:r>
          <w:r>
            <w:instrText xml:space="preserve"> PAGEREF _Toc526 </w:instrText>
          </w:r>
          <w:r>
            <w:fldChar w:fldCharType="separate"/>
          </w:r>
          <w:r>
            <w:t>61</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_Toc9692 </w:instrText>
          </w:r>
          <w:r>
            <w:rPr>
              <w:bCs/>
              <w:lang w:val="zh-CN"/>
            </w:rPr>
            <w:fldChar w:fldCharType="separate"/>
          </w:r>
          <w:r>
            <w:rPr>
              <w:rFonts w:hint="eastAsia" w:cs="宋体"/>
              <w:bCs/>
              <w:szCs w:val="24"/>
            </w:rPr>
            <w:t>六、报价要求</w:t>
          </w:r>
          <w:r>
            <w:tab/>
          </w:r>
          <w:r>
            <w:fldChar w:fldCharType="begin"/>
          </w:r>
          <w:r>
            <w:instrText xml:space="preserve"> PAGEREF _Toc9692 </w:instrText>
          </w:r>
          <w:r>
            <w:fldChar w:fldCharType="separate"/>
          </w:r>
          <w:r>
            <w:t>61</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_Toc22670 </w:instrText>
          </w:r>
          <w:r>
            <w:rPr>
              <w:bCs/>
              <w:lang w:val="zh-CN"/>
            </w:rPr>
            <w:fldChar w:fldCharType="separate"/>
          </w:r>
          <w:r>
            <w:rPr>
              <w:rFonts w:hint="eastAsia" w:cs="宋体"/>
              <w:bCs/>
              <w:szCs w:val="24"/>
            </w:rPr>
            <w:t>七、违约责任</w:t>
          </w:r>
          <w:r>
            <w:tab/>
          </w:r>
          <w:r>
            <w:fldChar w:fldCharType="begin"/>
          </w:r>
          <w:r>
            <w:instrText xml:space="preserve"> PAGEREF _Toc22670 </w:instrText>
          </w:r>
          <w:r>
            <w:fldChar w:fldCharType="separate"/>
          </w:r>
          <w:r>
            <w:t>62</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_Toc21395 </w:instrText>
          </w:r>
          <w:r>
            <w:rPr>
              <w:bCs/>
              <w:lang w:val="zh-CN"/>
            </w:rPr>
            <w:fldChar w:fldCharType="separate"/>
          </w:r>
          <w:r>
            <w:rPr>
              <w:rFonts w:hint="eastAsia" w:cs="宋体"/>
              <w:bCs/>
              <w:szCs w:val="24"/>
            </w:rPr>
            <w:t>八、知识产权</w:t>
          </w:r>
          <w:r>
            <w:tab/>
          </w:r>
          <w:r>
            <w:fldChar w:fldCharType="begin"/>
          </w:r>
          <w:r>
            <w:instrText xml:space="preserve"> PAGEREF _Toc21395 </w:instrText>
          </w:r>
          <w:r>
            <w:fldChar w:fldCharType="separate"/>
          </w:r>
          <w:r>
            <w:t>62</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_Toc8422 </w:instrText>
          </w:r>
          <w:r>
            <w:rPr>
              <w:bCs/>
              <w:lang w:val="zh-CN"/>
            </w:rPr>
            <w:fldChar w:fldCharType="separate"/>
          </w:r>
          <w:r>
            <w:rPr>
              <w:rFonts w:hint="eastAsia" w:cs="宋体"/>
              <w:bCs/>
              <w:szCs w:val="24"/>
            </w:rPr>
            <w:t>九、合同签订</w:t>
          </w:r>
          <w:r>
            <w:tab/>
          </w:r>
          <w:r>
            <w:fldChar w:fldCharType="begin"/>
          </w:r>
          <w:r>
            <w:instrText xml:space="preserve"> PAGEREF _Toc8422 </w:instrText>
          </w:r>
          <w:r>
            <w:fldChar w:fldCharType="separate"/>
          </w:r>
          <w:r>
            <w:t>63</w:t>
          </w:r>
          <w:r>
            <w:fldChar w:fldCharType="end"/>
          </w:r>
          <w:r>
            <w:rPr>
              <w:bCs/>
              <w:lang w:val="zh-CN"/>
            </w:rPr>
            <w:fldChar w:fldCharType="end"/>
          </w:r>
        </w:p>
        <w:p>
          <w:pPr>
            <w:pStyle w:val="21"/>
            <w:tabs>
              <w:tab w:val="right" w:leader="dot" w:pos="8312"/>
            </w:tabs>
          </w:pPr>
          <w:r>
            <w:rPr>
              <w:bCs/>
              <w:lang w:val="zh-CN"/>
            </w:rPr>
            <w:fldChar w:fldCharType="begin"/>
          </w:r>
          <w:r>
            <w:rPr>
              <w:bCs/>
              <w:lang w:val="zh-CN"/>
            </w:rPr>
            <w:instrText xml:space="preserve"> HYPERLINK \l _Toc22200 </w:instrText>
          </w:r>
          <w:r>
            <w:rPr>
              <w:bCs/>
              <w:lang w:val="zh-CN"/>
            </w:rPr>
            <w:fldChar w:fldCharType="separate"/>
          </w:r>
          <w:r>
            <w:rPr>
              <w:rFonts w:hint="eastAsia"/>
              <w:bCs/>
              <w:szCs w:val="36"/>
            </w:rPr>
            <w:t>第五章  合同条款</w:t>
          </w:r>
          <w:r>
            <w:tab/>
          </w:r>
          <w:r>
            <w:fldChar w:fldCharType="begin"/>
          </w:r>
          <w:r>
            <w:instrText xml:space="preserve"> PAGEREF _Toc22200 </w:instrText>
          </w:r>
          <w:r>
            <w:fldChar w:fldCharType="separate"/>
          </w:r>
          <w:r>
            <w:t>63</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_Toc4366 </w:instrText>
          </w:r>
          <w:r>
            <w:rPr>
              <w:bCs/>
              <w:lang w:val="zh-CN"/>
            </w:rPr>
            <w:fldChar w:fldCharType="separate"/>
          </w:r>
          <w:r>
            <w:rPr>
              <w:rFonts w:hint="default" w:cs="宋体"/>
              <w:szCs w:val="24"/>
            </w:rPr>
            <w:t xml:space="preserve">一、 </w:t>
          </w:r>
          <w:r>
            <w:rPr>
              <w:rFonts w:hint="eastAsia" w:cs="宋体"/>
              <w:szCs w:val="24"/>
            </w:rPr>
            <w:t>设备的名称、型号、数量、单价、总价（单位：元）</w:t>
          </w:r>
          <w:r>
            <w:tab/>
          </w:r>
          <w:r>
            <w:fldChar w:fldCharType="begin"/>
          </w:r>
          <w:r>
            <w:instrText xml:space="preserve"> PAGEREF _Toc4366 </w:instrText>
          </w:r>
          <w:r>
            <w:fldChar w:fldCharType="separate"/>
          </w:r>
          <w:r>
            <w:t>63</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_Toc28437 </w:instrText>
          </w:r>
          <w:r>
            <w:rPr>
              <w:bCs/>
              <w:lang w:val="zh-CN"/>
            </w:rPr>
            <w:fldChar w:fldCharType="separate"/>
          </w:r>
          <w:r>
            <w:rPr>
              <w:rFonts w:hint="eastAsia" w:cs="宋体"/>
              <w:szCs w:val="24"/>
            </w:rPr>
            <w:t>二、设备的技术标准和质量要求：</w:t>
          </w:r>
          <w:r>
            <w:tab/>
          </w:r>
          <w:r>
            <w:fldChar w:fldCharType="begin"/>
          </w:r>
          <w:r>
            <w:instrText xml:space="preserve"> PAGEREF _Toc28437 </w:instrText>
          </w:r>
          <w:r>
            <w:fldChar w:fldCharType="separate"/>
          </w:r>
          <w:r>
            <w:t>64</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_Toc3226 </w:instrText>
          </w:r>
          <w:r>
            <w:rPr>
              <w:bCs/>
              <w:lang w:val="zh-CN"/>
            </w:rPr>
            <w:fldChar w:fldCharType="separate"/>
          </w:r>
          <w:r>
            <w:rPr>
              <w:rFonts w:hint="eastAsia" w:cs="宋体"/>
              <w:szCs w:val="24"/>
            </w:rPr>
            <w:t>三、设备的包装标准和包装物的供应与回收</w:t>
          </w:r>
          <w:r>
            <w:tab/>
          </w:r>
          <w:r>
            <w:fldChar w:fldCharType="begin"/>
          </w:r>
          <w:r>
            <w:instrText xml:space="preserve"> PAGEREF _Toc3226 </w:instrText>
          </w:r>
          <w:r>
            <w:fldChar w:fldCharType="separate"/>
          </w:r>
          <w:r>
            <w:t>64</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_Toc12593 </w:instrText>
          </w:r>
          <w:r>
            <w:rPr>
              <w:bCs/>
              <w:lang w:val="zh-CN"/>
            </w:rPr>
            <w:fldChar w:fldCharType="separate"/>
          </w:r>
          <w:r>
            <w:rPr>
              <w:rFonts w:hint="eastAsia" w:cs="宋体"/>
              <w:szCs w:val="24"/>
            </w:rPr>
            <w:t>四、交货方式和交货地点：</w:t>
          </w:r>
          <w:r>
            <w:tab/>
          </w:r>
          <w:r>
            <w:fldChar w:fldCharType="begin"/>
          </w:r>
          <w:r>
            <w:instrText xml:space="preserve"> PAGEREF _Toc12593 </w:instrText>
          </w:r>
          <w:r>
            <w:fldChar w:fldCharType="separate"/>
          </w:r>
          <w:r>
            <w:t>64</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_Toc8232 </w:instrText>
          </w:r>
          <w:r>
            <w:rPr>
              <w:bCs/>
              <w:lang w:val="zh-CN"/>
            </w:rPr>
            <w:fldChar w:fldCharType="separate"/>
          </w:r>
          <w:r>
            <w:rPr>
              <w:rFonts w:hint="eastAsia" w:cs="宋体"/>
              <w:szCs w:val="24"/>
            </w:rPr>
            <w:t>五、交货时间：</w:t>
          </w:r>
          <w:r>
            <w:tab/>
          </w:r>
          <w:r>
            <w:fldChar w:fldCharType="begin"/>
          </w:r>
          <w:r>
            <w:instrText xml:space="preserve"> PAGEREF _Toc8232 </w:instrText>
          </w:r>
          <w:r>
            <w:fldChar w:fldCharType="separate"/>
          </w:r>
          <w:r>
            <w:t>65</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_Toc132 </w:instrText>
          </w:r>
          <w:r>
            <w:rPr>
              <w:bCs/>
              <w:lang w:val="zh-CN"/>
            </w:rPr>
            <w:fldChar w:fldCharType="separate"/>
          </w:r>
          <w:r>
            <w:rPr>
              <w:rFonts w:hint="eastAsia" w:cs="宋体"/>
              <w:szCs w:val="24"/>
            </w:rPr>
            <w:t>六、随机备品、配件及工具的供应办法：</w:t>
          </w:r>
          <w:r>
            <w:tab/>
          </w:r>
          <w:r>
            <w:fldChar w:fldCharType="begin"/>
          </w:r>
          <w:r>
            <w:instrText xml:space="preserve"> PAGEREF _Toc132 </w:instrText>
          </w:r>
          <w:r>
            <w:fldChar w:fldCharType="separate"/>
          </w:r>
          <w:r>
            <w:t>65</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_Toc19802 </w:instrText>
          </w:r>
          <w:r>
            <w:rPr>
              <w:bCs/>
              <w:lang w:val="zh-CN"/>
            </w:rPr>
            <w:fldChar w:fldCharType="separate"/>
          </w:r>
          <w:r>
            <w:rPr>
              <w:rFonts w:hint="eastAsia" w:cs="宋体"/>
              <w:szCs w:val="24"/>
            </w:rPr>
            <w:t>七、合同价款及支付方式：</w:t>
          </w:r>
          <w:r>
            <w:tab/>
          </w:r>
          <w:r>
            <w:fldChar w:fldCharType="begin"/>
          </w:r>
          <w:r>
            <w:instrText xml:space="preserve"> PAGEREF _Toc19802 </w:instrText>
          </w:r>
          <w:r>
            <w:fldChar w:fldCharType="separate"/>
          </w:r>
          <w:r>
            <w:t>65</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_Toc31750 </w:instrText>
          </w:r>
          <w:r>
            <w:rPr>
              <w:bCs/>
              <w:lang w:val="zh-CN"/>
            </w:rPr>
            <w:fldChar w:fldCharType="separate"/>
          </w:r>
          <w:r>
            <w:rPr>
              <w:rFonts w:hint="eastAsia" w:cs="宋体"/>
              <w:szCs w:val="24"/>
            </w:rPr>
            <w:t>八、初步验收</w:t>
          </w:r>
          <w:r>
            <w:tab/>
          </w:r>
          <w:r>
            <w:fldChar w:fldCharType="begin"/>
          </w:r>
          <w:r>
            <w:instrText xml:space="preserve"> PAGEREF _Toc31750 </w:instrText>
          </w:r>
          <w:r>
            <w:fldChar w:fldCharType="separate"/>
          </w:r>
          <w:r>
            <w:t>66</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_Toc21414 </w:instrText>
          </w:r>
          <w:r>
            <w:rPr>
              <w:bCs/>
              <w:lang w:val="zh-CN"/>
            </w:rPr>
            <w:fldChar w:fldCharType="separate"/>
          </w:r>
          <w:r>
            <w:rPr>
              <w:rFonts w:hint="eastAsia" w:cs="宋体"/>
              <w:szCs w:val="24"/>
            </w:rPr>
            <w:t>九、安装、调试和验收</w:t>
          </w:r>
          <w:r>
            <w:tab/>
          </w:r>
          <w:r>
            <w:fldChar w:fldCharType="begin"/>
          </w:r>
          <w:r>
            <w:instrText xml:space="preserve"> PAGEREF _Toc21414 </w:instrText>
          </w:r>
          <w:r>
            <w:fldChar w:fldCharType="separate"/>
          </w:r>
          <w:r>
            <w:t>67</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_Toc30796 </w:instrText>
          </w:r>
          <w:r>
            <w:rPr>
              <w:bCs/>
              <w:lang w:val="zh-CN"/>
            </w:rPr>
            <w:fldChar w:fldCharType="separate"/>
          </w:r>
          <w:r>
            <w:rPr>
              <w:rFonts w:hint="eastAsia" w:cs="宋体"/>
              <w:szCs w:val="24"/>
            </w:rPr>
            <w:t>十、保证</w:t>
          </w:r>
          <w:r>
            <w:tab/>
          </w:r>
          <w:r>
            <w:fldChar w:fldCharType="begin"/>
          </w:r>
          <w:r>
            <w:instrText xml:space="preserve"> PAGEREF _Toc30796 </w:instrText>
          </w:r>
          <w:r>
            <w:fldChar w:fldCharType="separate"/>
          </w:r>
          <w:r>
            <w:t>67</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_Toc17524 </w:instrText>
          </w:r>
          <w:r>
            <w:rPr>
              <w:bCs/>
              <w:lang w:val="zh-CN"/>
            </w:rPr>
            <w:fldChar w:fldCharType="separate"/>
          </w:r>
          <w:r>
            <w:rPr>
              <w:rFonts w:hint="eastAsia" w:cs="宋体"/>
              <w:szCs w:val="24"/>
            </w:rPr>
            <w:t>十一、违约责任：</w:t>
          </w:r>
          <w:r>
            <w:tab/>
          </w:r>
          <w:r>
            <w:fldChar w:fldCharType="begin"/>
          </w:r>
          <w:r>
            <w:instrText xml:space="preserve"> PAGEREF _Toc17524 </w:instrText>
          </w:r>
          <w:r>
            <w:fldChar w:fldCharType="separate"/>
          </w:r>
          <w:r>
            <w:t>69</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_Toc15263 </w:instrText>
          </w:r>
          <w:r>
            <w:rPr>
              <w:bCs/>
              <w:lang w:val="zh-CN"/>
            </w:rPr>
            <w:fldChar w:fldCharType="separate"/>
          </w:r>
          <w:r>
            <w:rPr>
              <w:rFonts w:hint="eastAsia" w:cs="宋体"/>
              <w:szCs w:val="24"/>
            </w:rPr>
            <w:t>十二、不可抗力</w:t>
          </w:r>
          <w:r>
            <w:tab/>
          </w:r>
          <w:r>
            <w:fldChar w:fldCharType="begin"/>
          </w:r>
          <w:r>
            <w:instrText xml:space="preserve"> PAGEREF _Toc15263 </w:instrText>
          </w:r>
          <w:r>
            <w:fldChar w:fldCharType="separate"/>
          </w:r>
          <w:r>
            <w:t>70</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_Toc25959 </w:instrText>
          </w:r>
          <w:r>
            <w:rPr>
              <w:bCs/>
              <w:lang w:val="zh-CN"/>
            </w:rPr>
            <w:fldChar w:fldCharType="separate"/>
          </w:r>
          <w:r>
            <w:rPr>
              <w:rFonts w:hint="eastAsia" w:cs="宋体"/>
              <w:szCs w:val="24"/>
            </w:rPr>
            <w:t>十三、争议的解决</w:t>
          </w:r>
          <w:r>
            <w:tab/>
          </w:r>
          <w:r>
            <w:fldChar w:fldCharType="begin"/>
          </w:r>
          <w:r>
            <w:instrText xml:space="preserve"> PAGEREF _Toc25959 </w:instrText>
          </w:r>
          <w:r>
            <w:fldChar w:fldCharType="separate"/>
          </w:r>
          <w:r>
            <w:t>70</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_Toc5032 </w:instrText>
          </w:r>
          <w:r>
            <w:rPr>
              <w:bCs/>
              <w:lang w:val="zh-CN"/>
            </w:rPr>
            <w:fldChar w:fldCharType="separate"/>
          </w:r>
          <w:r>
            <w:rPr>
              <w:rFonts w:hint="eastAsia" w:cs="宋体"/>
              <w:szCs w:val="24"/>
            </w:rPr>
            <w:t>十四、合同的变更、解除</w:t>
          </w:r>
          <w:r>
            <w:tab/>
          </w:r>
          <w:r>
            <w:fldChar w:fldCharType="begin"/>
          </w:r>
          <w:r>
            <w:instrText xml:space="preserve"> PAGEREF _Toc5032 </w:instrText>
          </w:r>
          <w:r>
            <w:fldChar w:fldCharType="separate"/>
          </w:r>
          <w:r>
            <w:t>71</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_Toc14792 </w:instrText>
          </w:r>
          <w:r>
            <w:rPr>
              <w:bCs/>
              <w:lang w:val="zh-CN"/>
            </w:rPr>
            <w:fldChar w:fldCharType="separate"/>
          </w:r>
          <w:r>
            <w:rPr>
              <w:rFonts w:hint="eastAsia" w:cs="宋体"/>
              <w:szCs w:val="24"/>
            </w:rPr>
            <w:t>十五、其他</w:t>
          </w:r>
          <w:r>
            <w:tab/>
          </w:r>
          <w:r>
            <w:fldChar w:fldCharType="begin"/>
          </w:r>
          <w:r>
            <w:instrText xml:space="preserve"> PAGEREF _Toc14792 </w:instrText>
          </w:r>
          <w:r>
            <w:fldChar w:fldCharType="separate"/>
          </w:r>
          <w:r>
            <w:t>71</w:t>
          </w:r>
          <w:r>
            <w:fldChar w:fldCharType="end"/>
          </w:r>
          <w:r>
            <w:rPr>
              <w:bCs/>
              <w:lang w:val="zh-CN"/>
            </w:rPr>
            <w:fldChar w:fldCharType="end"/>
          </w:r>
        </w:p>
        <w:p>
          <w:pPr>
            <w:pStyle w:val="21"/>
            <w:tabs>
              <w:tab w:val="right" w:leader="dot" w:pos="8312"/>
            </w:tabs>
          </w:pPr>
          <w:r>
            <w:rPr>
              <w:bCs/>
              <w:lang w:val="zh-CN"/>
            </w:rPr>
            <w:fldChar w:fldCharType="begin"/>
          </w:r>
          <w:r>
            <w:rPr>
              <w:bCs/>
              <w:lang w:val="zh-CN"/>
            </w:rPr>
            <w:instrText xml:space="preserve"> HYPERLINK \l _Toc22955 </w:instrText>
          </w:r>
          <w:r>
            <w:rPr>
              <w:bCs/>
              <w:lang w:val="zh-CN"/>
            </w:rPr>
            <w:fldChar w:fldCharType="separate"/>
          </w:r>
          <w:r>
            <w:rPr>
              <w:rFonts w:hint="eastAsia" w:cs="宋体"/>
              <w:bCs/>
              <w:szCs w:val="44"/>
            </w:rPr>
            <w:t>第六章  投标文件格式</w:t>
          </w:r>
          <w:r>
            <w:tab/>
          </w:r>
          <w:r>
            <w:fldChar w:fldCharType="begin"/>
          </w:r>
          <w:r>
            <w:instrText xml:space="preserve"> PAGEREF _Toc22955 </w:instrText>
          </w:r>
          <w:r>
            <w:fldChar w:fldCharType="separate"/>
          </w:r>
          <w:r>
            <w:t>73</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_Toc5226 </w:instrText>
          </w:r>
          <w:r>
            <w:rPr>
              <w:bCs/>
              <w:lang w:val="zh-CN"/>
            </w:rPr>
            <w:fldChar w:fldCharType="separate"/>
          </w:r>
          <w:r>
            <w:rPr>
              <w:rFonts w:hint="eastAsia" w:cs="宋体"/>
              <w:bCs/>
              <w:szCs w:val="72"/>
            </w:rPr>
            <w:t>投  标  文  件</w:t>
          </w:r>
          <w:r>
            <w:tab/>
          </w:r>
          <w:r>
            <w:fldChar w:fldCharType="begin"/>
          </w:r>
          <w:r>
            <w:instrText xml:space="preserve"> PAGEREF _Toc5226 </w:instrText>
          </w:r>
          <w:r>
            <w:fldChar w:fldCharType="separate"/>
          </w:r>
          <w:r>
            <w:t>73</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_Toc24934 </w:instrText>
          </w:r>
          <w:r>
            <w:rPr>
              <w:bCs/>
              <w:lang w:val="zh-CN"/>
            </w:rPr>
            <w:fldChar w:fldCharType="separate"/>
          </w:r>
          <w:r>
            <w:rPr>
              <w:rFonts w:hint="eastAsia" w:cs="宋体"/>
              <w:bCs/>
              <w:szCs w:val="36"/>
            </w:rPr>
            <w:t>（资格文件）</w:t>
          </w:r>
          <w:r>
            <w:tab/>
          </w:r>
          <w:r>
            <w:fldChar w:fldCharType="begin"/>
          </w:r>
          <w:r>
            <w:instrText xml:space="preserve"> PAGEREF _Toc24934 </w:instrText>
          </w:r>
          <w:r>
            <w:fldChar w:fldCharType="separate"/>
          </w:r>
          <w:r>
            <w:t>73</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_Toc23932 </w:instrText>
          </w:r>
          <w:r>
            <w:rPr>
              <w:bCs/>
              <w:lang w:val="zh-CN"/>
            </w:rPr>
            <w:fldChar w:fldCharType="separate"/>
          </w:r>
          <w:r>
            <w:rPr>
              <w:rFonts w:hint="eastAsia" w:cs="宋体"/>
              <w:bCs/>
              <w:szCs w:val="72"/>
            </w:rPr>
            <w:t>投  标  文  件</w:t>
          </w:r>
          <w:r>
            <w:tab/>
          </w:r>
          <w:r>
            <w:fldChar w:fldCharType="begin"/>
          </w:r>
          <w:r>
            <w:instrText xml:space="preserve"> PAGEREF _Toc23932 </w:instrText>
          </w:r>
          <w:r>
            <w:fldChar w:fldCharType="separate"/>
          </w:r>
          <w:r>
            <w:t>87</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_Toc28681 </w:instrText>
          </w:r>
          <w:r>
            <w:rPr>
              <w:bCs/>
              <w:lang w:val="zh-CN"/>
            </w:rPr>
            <w:fldChar w:fldCharType="separate"/>
          </w:r>
          <w:r>
            <w:rPr>
              <w:rFonts w:hint="eastAsia" w:cs="宋体"/>
              <w:bCs/>
              <w:szCs w:val="36"/>
            </w:rPr>
            <w:t>（技术文件）</w:t>
          </w:r>
          <w:r>
            <w:tab/>
          </w:r>
          <w:r>
            <w:fldChar w:fldCharType="begin"/>
          </w:r>
          <w:r>
            <w:instrText xml:space="preserve"> PAGEREF _Toc28681 </w:instrText>
          </w:r>
          <w:r>
            <w:fldChar w:fldCharType="separate"/>
          </w:r>
          <w:r>
            <w:t>87</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_Toc21544 </w:instrText>
          </w:r>
          <w:r>
            <w:rPr>
              <w:bCs/>
              <w:lang w:val="zh-CN"/>
            </w:rPr>
            <w:fldChar w:fldCharType="separate"/>
          </w:r>
          <w:r>
            <w:rPr>
              <w:rFonts w:hint="eastAsia" w:cs="宋体"/>
              <w:bCs/>
              <w:szCs w:val="72"/>
            </w:rPr>
            <w:t>投  标  文  件</w:t>
          </w:r>
          <w:r>
            <w:tab/>
          </w:r>
          <w:r>
            <w:fldChar w:fldCharType="begin"/>
          </w:r>
          <w:r>
            <w:instrText xml:space="preserve"> PAGEREF _Toc21544 </w:instrText>
          </w:r>
          <w:r>
            <w:fldChar w:fldCharType="separate"/>
          </w:r>
          <w:r>
            <w:t>95</w:t>
          </w:r>
          <w:r>
            <w:fldChar w:fldCharType="end"/>
          </w:r>
          <w:r>
            <w:rPr>
              <w:bCs/>
              <w:lang w:val="zh-CN"/>
            </w:rPr>
            <w:fldChar w:fldCharType="end"/>
          </w:r>
        </w:p>
        <w:p>
          <w:pPr>
            <w:pStyle w:val="23"/>
            <w:tabs>
              <w:tab w:val="right" w:leader="dot" w:pos="8312"/>
            </w:tabs>
          </w:pPr>
          <w:r>
            <w:rPr>
              <w:bCs/>
              <w:lang w:val="zh-CN"/>
            </w:rPr>
            <w:fldChar w:fldCharType="begin"/>
          </w:r>
          <w:r>
            <w:rPr>
              <w:bCs/>
              <w:lang w:val="zh-CN"/>
            </w:rPr>
            <w:instrText xml:space="preserve"> HYPERLINK \l _Toc1003 </w:instrText>
          </w:r>
          <w:r>
            <w:rPr>
              <w:bCs/>
              <w:lang w:val="zh-CN"/>
            </w:rPr>
            <w:fldChar w:fldCharType="separate"/>
          </w:r>
          <w:r>
            <w:rPr>
              <w:rFonts w:hint="eastAsia" w:cs="宋体"/>
              <w:bCs/>
              <w:szCs w:val="36"/>
            </w:rPr>
            <w:t>（商务文件）</w:t>
          </w:r>
          <w:r>
            <w:tab/>
          </w:r>
          <w:r>
            <w:fldChar w:fldCharType="begin"/>
          </w:r>
          <w:r>
            <w:instrText xml:space="preserve"> PAGEREF _Toc1003 </w:instrText>
          </w:r>
          <w:r>
            <w:fldChar w:fldCharType="separate"/>
          </w:r>
          <w:r>
            <w:t>95</w:t>
          </w:r>
          <w:r>
            <w:fldChar w:fldCharType="end"/>
          </w:r>
          <w:r>
            <w:rPr>
              <w:bCs/>
              <w:lang w:val="zh-CN"/>
            </w:rPr>
            <w:fldChar w:fldCharType="end"/>
          </w:r>
        </w:p>
        <w:p>
          <w:pPr>
            <w:pStyle w:val="21"/>
            <w:tabs>
              <w:tab w:val="right" w:leader="dot" w:pos="8312"/>
            </w:tabs>
          </w:pPr>
          <w:r>
            <w:rPr>
              <w:bCs/>
              <w:lang w:val="zh-CN"/>
            </w:rPr>
            <w:fldChar w:fldCharType="begin"/>
          </w:r>
          <w:r>
            <w:rPr>
              <w:bCs/>
              <w:lang w:val="zh-CN"/>
            </w:rPr>
            <w:instrText xml:space="preserve"> HYPERLINK \l _Toc4593 </w:instrText>
          </w:r>
          <w:r>
            <w:rPr>
              <w:bCs/>
              <w:lang w:val="zh-CN"/>
            </w:rPr>
            <w:fldChar w:fldCharType="separate"/>
          </w:r>
          <w:r>
            <w:rPr>
              <w:rFonts w:hint="eastAsia" w:ascii="仿宋" w:hAnsi="仿宋" w:eastAsia="仿宋" w:cs="仿宋"/>
              <w:bCs/>
              <w:szCs w:val="44"/>
              <w:lang w:val="en-US" w:eastAsia="zh-CN"/>
            </w:rPr>
            <w:t>六、</w:t>
          </w:r>
          <w:r>
            <w:rPr>
              <w:rFonts w:hint="eastAsia" w:ascii="仿宋" w:hAnsi="仿宋" w:eastAsia="仿宋" w:cs="仿宋"/>
              <w:bCs/>
              <w:szCs w:val="44"/>
            </w:rPr>
            <w:t>廉洁承诺书</w:t>
          </w:r>
          <w:r>
            <w:tab/>
          </w:r>
          <w:r>
            <w:fldChar w:fldCharType="begin"/>
          </w:r>
          <w:r>
            <w:instrText xml:space="preserve"> PAGEREF _Toc4593 </w:instrText>
          </w:r>
          <w:r>
            <w:fldChar w:fldCharType="separate"/>
          </w:r>
          <w:r>
            <w:t>103</w:t>
          </w:r>
          <w:r>
            <w:fldChar w:fldCharType="end"/>
          </w:r>
          <w:r>
            <w:rPr>
              <w:bCs/>
              <w:lang w:val="zh-CN"/>
            </w:rPr>
            <w:fldChar w:fldCharType="end"/>
          </w:r>
        </w:p>
        <w:p>
          <w:pPr>
            <w:spacing w:after="0" w:line="240" w:lineRule="auto"/>
            <w:jc w:val="center"/>
          </w:pPr>
          <w:r>
            <w:rPr>
              <w:bCs/>
              <w:lang w:val="zh-CN"/>
            </w:rPr>
            <w:fldChar w:fldCharType="end"/>
          </w:r>
        </w:p>
      </w:sdtContent>
    </w:sdt>
    <w:p>
      <w:pPr>
        <w:pStyle w:val="15"/>
        <w:spacing w:line="360" w:lineRule="auto"/>
        <w:jc w:val="center"/>
        <w:outlineLvl w:val="0"/>
        <w:rPr>
          <w:rFonts w:hAnsi="宋体" w:eastAsia="宋体" w:cs="宋体"/>
          <w:b/>
          <w:bCs/>
          <w:sz w:val="36"/>
          <w:szCs w:val="36"/>
        </w:rPr>
      </w:pPr>
      <w:bookmarkStart w:id="5" w:name="_Toc148459121"/>
    </w:p>
    <w:p>
      <w:pPr>
        <w:rPr>
          <w:rFonts w:hAnsi="宋体" w:cs="宋体"/>
          <w:b/>
          <w:bCs/>
          <w:sz w:val="36"/>
          <w:szCs w:val="36"/>
        </w:rPr>
      </w:pPr>
      <w:bookmarkStart w:id="6" w:name="_Toc18582"/>
      <w:bookmarkStart w:id="7" w:name="_Toc7012"/>
      <w:r>
        <w:rPr>
          <w:rFonts w:hint="eastAsia" w:hAnsi="宋体" w:cs="宋体"/>
          <w:b/>
          <w:bCs/>
          <w:sz w:val="36"/>
          <w:szCs w:val="36"/>
        </w:rPr>
        <w:br w:type="page"/>
      </w:r>
    </w:p>
    <w:p>
      <w:pPr>
        <w:pStyle w:val="15"/>
        <w:spacing w:line="360" w:lineRule="auto"/>
        <w:jc w:val="center"/>
        <w:outlineLvl w:val="0"/>
        <w:rPr>
          <w:rFonts w:hAnsi="宋体" w:eastAsia="宋体" w:cs="宋体"/>
          <w:b/>
          <w:bCs/>
          <w:sz w:val="36"/>
          <w:szCs w:val="36"/>
        </w:rPr>
      </w:pPr>
      <w:bookmarkStart w:id="8" w:name="_Toc11769"/>
      <w:bookmarkStart w:id="9" w:name="_Toc14146"/>
      <w:bookmarkStart w:id="10" w:name="_Toc28544"/>
      <w:bookmarkStart w:id="11" w:name="_Toc27165"/>
      <w:bookmarkStart w:id="12" w:name="_Toc10230"/>
      <w:r>
        <w:rPr>
          <w:rFonts w:hint="eastAsia" w:hAnsi="宋体" w:eastAsia="宋体" w:cs="宋体"/>
          <w:b/>
          <w:bCs/>
          <w:sz w:val="36"/>
          <w:szCs w:val="36"/>
        </w:rPr>
        <w:t>第一章  投标邀请</w:t>
      </w:r>
      <w:bookmarkEnd w:id="5"/>
      <w:bookmarkEnd w:id="6"/>
      <w:bookmarkEnd w:id="7"/>
      <w:bookmarkEnd w:id="8"/>
      <w:bookmarkEnd w:id="9"/>
      <w:bookmarkEnd w:id="10"/>
      <w:bookmarkEnd w:id="11"/>
      <w:bookmarkEnd w:id="12"/>
    </w:p>
    <w:p>
      <w:pPr>
        <w:spacing w:line="240" w:lineRule="atLeast"/>
        <w:ind w:firstLine="420"/>
        <w:jc w:val="left"/>
        <w:rPr>
          <w:rFonts w:ascii="宋体" w:hAnsi="宋体" w:cs="宋体"/>
          <w:sz w:val="24"/>
        </w:rPr>
      </w:pPr>
    </w:p>
    <w:p>
      <w:pPr>
        <w:spacing w:line="240" w:lineRule="atLeast"/>
        <w:ind w:firstLine="420"/>
        <w:jc w:val="left"/>
        <w:rPr>
          <w:rFonts w:ascii="宋体" w:hAnsi="宋体" w:cs="宋体"/>
          <w:sz w:val="24"/>
        </w:rPr>
      </w:pPr>
      <w:r>
        <w:rPr>
          <w:rFonts w:hint="eastAsia" w:ascii="宋体" w:hAnsi="宋体" w:cs="宋体"/>
          <w:sz w:val="24"/>
        </w:rPr>
        <w:t>招标人</w:t>
      </w:r>
      <w:r>
        <w:rPr>
          <w:rFonts w:hint="eastAsia" w:ascii="宋体" w:hAnsi="宋体" w:cs="宋体"/>
          <w:b/>
          <w:bCs/>
          <w:sz w:val="24"/>
          <w:u w:val="single"/>
        </w:rPr>
        <w:t xml:space="preserve">厦工（三明）重型机器有限公司 </w:t>
      </w:r>
      <w:r>
        <w:rPr>
          <w:rFonts w:hint="eastAsia" w:ascii="宋体" w:hAnsi="宋体" w:cs="宋体"/>
          <w:sz w:val="24"/>
        </w:rPr>
        <w:t>对下述</w:t>
      </w:r>
      <w:r>
        <w:rPr>
          <w:rFonts w:hint="eastAsia" w:ascii="宋体" w:hAnsi="宋体" w:cs="宋体"/>
          <w:color w:val="000000"/>
          <w:sz w:val="24"/>
          <w:szCs w:val="24"/>
          <w:u w:val="single"/>
        </w:rPr>
        <w:t xml:space="preserve">道斯WHN130 MC双工位卧式铣镗加工中心维修 </w:t>
      </w:r>
      <w:r>
        <w:rPr>
          <w:rFonts w:hint="eastAsia" w:ascii="宋体" w:hAnsi="宋体" w:cs="宋体"/>
          <w:sz w:val="24"/>
        </w:rPr>
        <w:t>进行国内公开招标，现邀请合格的投标人前来投标。</w:t>
      </w:r>
    </w:p>
    <w:p>
      <w:pPr>
        <w:spacing w:line="360" w:lineRule="auto"/>
        <w:ind w:firstLine="422" w:firstLineChars="176"/>
        <w:rPr>
          <w:rFonts w:ascii="宋体" w:hAnsi="宋体" w:cs="宋体"/>
          <w:sz w:val="24"/>
          <w:u w:val="single"/>
        </w:rPr>
      </w:pPr>
      <w:r>
        <w:rPr>
          <w:rFonts w:hint="eastAsia" w:ascii="宋体" w:hAnsi="宋体" w:cs="宋体"/>
          <w:sz w:val="24"/>
        </w:rPr>
        <w:t>1、招标编号：</w:t>
      </w:r>
      <w:r>
        <w:rPr>
          <w:rFonts w:hint="eastAsia" w:ascii="宋体" w:hAnsi="宋体" w:cs="宋体"/>
          <w:sz w:val="24"/>
          <w:u w:val="single"/>
        </w:rPr>
        <w:t xml:space="preserve">    </w:t>
      </w:r>
      <w:r>
        <w:rPr>
          <w:rFonts w:hint="eastAsia" w:ascii="宋体" w:hAnsi="宋体" w:cs="宋体"/>
          <w:color w:val="000000"/>
          <w:u w:val="single"/>
        </w:rPr>
        <w:t xml:space="preserve">XGSZ-JG-20251023-01       </w:t>
      </w:r>
      <w:r>
        <w:rPr>
          <w:rFonts w:hint="eastAsia" w:ascii="宋体" w:hAnsi="宋体" w:cs="宋体"/>
          <w:sz w:val="24"/>
          <w:u w:val="single"/>
        </w:rPr>
        <w:t xml:space="preserve">  </w:t>
      </w:r>
    </w:p>
    <w:p>
      <w:pPr>
        <w:spacing w:line="360" w:lineRule="auto"/>
        <w:ind w:firstLine="424" w:firstLineChars="200"/>
        <w:rPr>
          <w:rFonts w:ascii="宋体" w:hAnsi="宋体" w:cs="宋体"/>
          <w:spacing w:val="-14"/>
          <w:sz w:val="24"/>
        </w:rPr>
      </w:pPr>
      <w:r>
        <w:rPr>
          <w:rFonts w:hint="eastAsia" w:ascii="宋体" w:hAnsi="宋体" w:cs="宋体"/>
          <w:spacing w:val="-14"/>
          <w:sz w:val="24"/>
        </w:rPr>
        <w:t>2、</w:t>
      </w:r>
      <w:r>
        <w:rPr>
          <w:rFonts w:hint="eastAsia" w:ascii="宋体" w:hAnsi="宋体" w:cs="宋体"/>
          <w:sz w:val="24"/>
        </w:rPr>
        <w:t>招标货物（服务）名称、数量及主要技术规格：见后附招标项目一览表</w:t>
      </w:r>
      <w:r>
        <w:rPr>
          <w:rFonts w:hint="eastAsia" w:ascii="宋体" w:hAnsi="宋体" w:cs="宋体"/>
          <w:spacing w:val="-14"/>
          <w:sz w:val="24"/>
        </w:rPr>
        <w:t>。</w:t>
      </w:r>
    </w:p>
    <w:p>
      <w:pPr>
        <w:adjustRightInd w:val="0"/>
        <w:spacing w:line="360" w:lineRule="auto"/>
        <w:ind w:firstLine="422" w:firstLineChars="176"/>
        <w:textAlignment w:val="baseline"/>
        <w:rPr>
          <w:rFonts w:ascii="宋体" w:hAnsi="宋体" w:cs="宋体"/>
          <w:sz w:val="24"/>
        </w:rPr>
      </w:pPr>
      <w:r>
        <w:rPr>
          <w:rFonts w:hint="eastAsia" w:ascii="宋体" w:hAnsi="宋体" w:cs="宋体"/>
          <w:kern w:val="0"/>
          <w:sz w:val="24"/>
        </w:rPr>
        <w:t>3、</w:t>
      </w:r>
      <w:r>
        <w:rPr>
          <w:rFonts w:hint="eastAsia" w:ascii="宋体" w:hAnsi="宋体" w:cs="宋体"/>
          <w:sz w:val="24"/>
        </w:rPr>
        <w:t>投标截止时间：</w:t>
      </w:r>
      <w:r>
        <w:rPr>
          <w:rFonts w:hint="eastAsia" w:ascii="宋体" w:hAnsi="宋体" w:cs="宋体"/>
          <w:b/>
          <w:bCs/>
          <w:kern w:val="0"/>
          <w:sz w:val="24"/>
          <w:u w:val="single"/>
          <w:lang w:val="en-US" w:eastAsia="zh-CN"/>
        </w:rPr>
        <w:t>2025</w:t>
      </w:r>
      <w:r>
        <w:rPr>
          <w:rFonts w:hint="eastAsia" w:ascii="宋体" w:hAnsi="宋体" w:cs="宋体"/>
          <w:b/>
          <w:bCs/>
          <w:kern w:val="0"/>
          <w:sz w:val="24"/>
          <w:u w:val="single"/>
        </w:rPr>
        <w:t xml:space="preserve">年 </w:t>
      </w:r>
      <w:r>
        <w:rPr>
          <w:rFonts w:hint="eastAsia" w:ascii="宋体" w:hAnsi="宋体" w:cs="宋体"/>
          <w:b/>
          <w:bCs/>
          <w:kern w:val="0"/>
          <w:sz w:val="24"/>
          <w:u w:val="single"/>
          <w:lang w:val="en-US" w:eastAsia="zh-CN"/>
        </w:rPr>
        <w:t>12</w:t>
      </w:r>
      <w:r>
        <w:rPr>
          <w:rFonts w:hint="eastAsia" w:ascii="宋体" w:hAnsi="宋体" w:cs="宋体"/>
          <w:b/>
          <w:bCs/>
          <w:kern w:val="0"/>
          <w:sz w:val="24"/>
          <w:u w:val="single"/>
        </w:rPr>
        <w:t xml:space="preserve">月 </w:t>
      </w:r>
      <w:r>
        <w:rPr>
          <w:rFonts w:hint="eastAsia" w:ascii="宋体" w:hAnsi="宋体" w:cs="宋体"/>
          <w:b/>
          <w:bCs/>
          <w:kern w:val="0"/>
          <w:sz w:val="24"/>
          <w:u w:val="single"/>
          <w:lang w:val="en-US" w:eastAsia="zh-CN"/>
        </w:rPr>
        <w:t>12</w:t>
      </w:r>
      <w:r>
        <w:rPr>
          <w:rFonts w:hint="eastAsia" w:ascii="宋体" w:hAnsi="宋体" w:cs="宋体"/>
          <w:b/>
          <w:bCs/>
          <w:kern w:val="0"/>
          <w:sz w:val="24"/>
          <w:u w:val="single"/>
        </w:rPr>
        <w:t>日</w:t>
      </w:r>
      <w:r>
        <w:rPr>
          <w:rFonts w:hint="eastAsia" w:ascii="宋体" w:hAnsi="宋体" w:cs="宋体"/>
          <w:b/>
          <w:bCs/>
          <w:sz w:val="24"/>
          <w:u w:val="single"/>
          <w:lang w:val="en-US" w:eastAsia="zh-CN"/>
        </w:rPr>
        <w:t>17：00</w:t>
      </w:r>
      <w:r>
        <w:rPr>
          <w:rFonts w:hint="eastAsia" w:ascii="宋体" w:hAnsi="宋体" w:cs="宋体"/>
          <w:sz w:val="24"/>
        </w:rPr>
        <w:t>（北京时间）。</w:t>
      </w:r>
    </w:p>
    <w:p>
      <w:pPr>
        <w:spacing w:line="360" w:lineRule="auto"/>
        <w:ind w:firstLine="480" w:firstLineChars="200"/>
        <w:rPr>
          <w:rFonts w:ascii="宋体" w:hAnsi="宋体" w:cs="宋体"/>
          <w:sz w:val="24"/>
        </w:rPr>
      </w:pPr>
      <w:r>
        <w:rPr>
          <w:rFonts w:hint="eastAsia" w:ascii="宋体" w:hAnsi="宋体" w:cs="宋体"/>
          <w:sz w:val="24"/>
        </w:rPr>
        <w:t>4、投标文件递交方式：投标文件应在投标截止时间前送达福建三明市沙县金沙工业园金明东路 850 号</w:t>
      </w:r>
      <w:bookmarkStart w:id="13" w:name="_Hlk160626082"/>
      <w:r>
        <w:rPr>
          <w:rFonts w:hint="eastAsia" w:ascii="宋体" w:hAnsi="宋体" w:cs="宋体"/>
          <w:sz w:val="24"/>
        </w:rPr>
        <w:t>厦工 （三明） 重型机器有限公司</w:t>
      </w:r>
      <w:bookmarkEnd w:id="13"/>
      <w:r>
        <w:rPr>
          <w:rFonts w:hint="eastAsia" w:ascii="宋体" w:hAnsi="宋体" w:cs="宋体"/>
          <w:sz w:val="24"/>
        </w:rPr>
        <w:t>办公室五楼纪检监察室，电子版投标文件发送到公司招标电子邮箱：XGSZZB@163.com ，逾期收到或不符合规定的投标文件恕不接受。</w:t>
      </w:r>
    </w:p>
    <w:p>
      <w:pPr>
        <w:pStyle w:val="65"/>
        <w:ind w:firstLine="480"/>
      </w:pPr>
      <w:r>
        <w:rPr>
          <w:rFonts w:hint="eastAsia"/>
        </w:rPr>
        <w:t>5、投标文件递交发生：现场递交或邮寄。投标收件人：孙女士，投标收件人电话：13950900626</w:t>
      </w:r>
    </w:p>
    <w:p>
      <w:pPr>
        <w:pStyle w:val="65"/>
        <w:ind w:firstLine="480"/>
      </w:pPr>
      <w:r>
        <w:rPr>
          <w:rFonts w:hint="eastAsia"/>
        </w:rPr>
        <w:t>6、投标文件要求 ： 投标文件正副本各一份（加盖公章） ，电子版 一份；</w:t>
      </w:r>
    </w:p>
    <w:p>
      <w:pPr>
        <w:spacing w:line="360" w:lineRule="auto"/>
        <w:ind w:firstLine="480" w:firstLineChars="200"/>
        <w:rPr>
          <w:rFonts w:ascii="宋体" w:hAnsi="宋体" w:cs="宋体"/>
          <w:b/>
          <w:bCs/>
          <w:kern w:val="0"/>
          <w:sz w:val="24"/>
          <w:u w:val="single"/>
        </w:rPr>
      </w:pPr>
      <w:r>
        <w:rPr>
          <w:rFonts w:hint="eastAsia" w:ascii="宋体" w:hAnsi="宋体" w:cs="宋体"/>
          <w:color w:val="000000"/>
          <w:kern w:val="0"/>
          <w:sz w:val="24"/>
          <w:szCs w:val="24"/>
        </w:rPr>
        <w:t>7、开标时间、地点:</w:t>
      </w:r>
      <w:r>
        <w:rPr>
          <w:rFonts w:hint="eastAsia" w:ascii="宋体" w:hAnsi="宋体" w:cs="宋体"/>
        </w:rPr>
        <w:t xml:space="preserve"> </w:t>
      </w:r>
      <w:r>
        <w:rPr>
          <w:rFonts w:hint="eastAsia" w:ascii="宋体" w:hAnsi="宋体" w:cs="宋体"/>
          <w:b/>
          <w:bCs/>
          <w:kern w:val="0"/>
          <w:sz w:val="24"/>
          <w:u w:val="single"/>
        </w:rPr>
        <w:t>投标截止时间后 3 天内。开标地点：福建三明市沙县金沙工业园金明东路 850 号厦工 （三明）重型机器有限公司三楼会议室</w:t>
      </w:r>
    </w:p>
    <w:p>
      <w:pPr>
        <w:spacing w:line="360" w:lineRule="auto"/>
        <w:ind w:firstLine="482" w:firstLineChars="200"/>
        <w:rPr>
          <w:rFonts w:ascii="宋体" w:hAnsi="宋体" w:cs="宋体"/>
          <w:sz w:val="24"/>
        </w:rPr>
      </w:pPr>
      <w:r>
        <w:rPr>
          <w:rFonts w:hint="eastAsia" w:ascii="宋体" w:hAnsi="宋体" w:cs="宋体"/>
          <w:b/>
          <w:bCs/>
          <w:sz w:val="24"/>
        </w:rPr>
        <w:t>8、本项目不接受联合体投标。</w:t>
      </w:r>
    </w:p>
    <w:p>
      <w:pPr>
        <w:spacing w:line="360" w:lineRule="auto"/>
        <w:ind w:firstLine="482" w:firstLineChars="200"/>
        <w:rPr>
          <w:rFonts w:ascii="宋体" w:hAnsi="宋体" w:cs="宋体"/>
          <w:b/>
          <w:bCs/>
          <w:sz w:val="24"/>
          <w:szCs w:val="22"/>
        </w:rPr>
      </w:pPr>
      <w:bookmarkStart w:id="14" w:name="_Toc11908"/>
      <w:bookmarkStart w:id="15" w:name="_Toc27697"/>
      <w:r>
        <w:rPr>
          <w:rFonts w:hint="eastAsia" w:ascii="宋体" w:hAnsi="宋体" w:cs="宋体"/>
          <w:b/>
          <w:bCs/>
          <w:sz w:val="24"/>
          <w:szCs w:val="22"/>
        </w:rPr>
        <w:t>9、联系方式</w:t>
      </w:r>
      <w:bookmarkEnd w:id="14"/>
      <w:bookmarkEnd w:id="15"/>
    </w:p>
    <w:p>
      <w:pPr>
        <w:spacing w:line="360" w:lineRule="auto"/>
        <w:ind w:firstLine="542" w:firstLineChars="225"/>
        <w:rPr>
          <w:rFonts w:ascii="宋体" w:hAnsi="宋体" w:cs="宋体"/>
          <w:b/>
          <w:bCs/>
          <w:sz w:val="24"/>
        </w:rPr>
      </w:pPr>
      <w:r>
        <w:rPr>
          <w:rFonts w:hint="eastAsia" w:ascii="宋体" w:hAnsi="宋体" w:cs="宋体"/>
          <w:b/>
          <w:bCs/>
          <w:sz w:val="24"/>
        </w:rPr>
        <w:t>招标人：厦工 （三明） 重型机器有限公司</w:t>
      </w:r>
    </w:p>
    <w:p>
      <w:pPr>
        <w:spacing w:line="360" w:lineRule="auto"/>
        <w:ind w:firstLine="540" w:firstLineChars="225"/>
        <w:rPr>
          <w:rFonts w:ascii="宋体" w:hAnsi="宋体" w:cs="宋体"/>
          <w:sz w:val="24"/>
        </w:rPr>
      </w:pPr>
      <w:r>
        <w:rPr>
          <w:rFonts w:hint="eastAsia" w:ascii="宋体" w:hAnsi="宋体" w:cs="宋体"/>
          <w:sz w:val="24"/>
        </w:rPr>
        <w:t>技术联系人：张先生（电话：13850818186）</w:t>
      </w:r>
    </w:p>
    <w:p>
      <w:pPr>
        <w:spacing w:line="360" w:lineRule="auto"/>
        <w:ind w:firstLine="540" w:firstLineChars="225"/>
      </w:pPr>
      <w:r>
        <w:rPr>
          <w:rFonts w:hint="eastAsia" w:ascii="宋体" w:hAnsi="宋体" w:cs="宋体"/>
          <w:sz w:val="24"/>
        </w:rPr>
        <w:t>商务联系人：陈先生（电话：13395987366）</w:t>
      </w:r>
    </w:p>
    <w:p>
      <w:pPr>
        <w:spacing w:line="360" w:lineRule="auto"/>
        <w:ind w:firstLine="542" w:firstLineChars="225"/>
        <w:rPr>
          <w:rFonts w:ascii="宋体" w:hAnsi="宋体" w:cs="宋体"/>
          <w:b/>
          <w:bCs/>
          <w:sz w:val="24"/>
        </w:rPr>
      </w:pPr>
      <w:bookmarkStart w:id="16" w:name="_Toc27041"/>
      <w:bookmarkStart w:id="17" w:name="_Toc30058"/>
      <w:r>
        <w:rPr>
          <w:rFonts w:hint="eastAsia" w:ascii="宋体" w:hAnsi="宋体" w:cs="宋体"/>
          <w:b/>
          <w:bCs/>
          <w:sz w:val="24"/>
        </w:rPr>
        <w:t>10、投标保证金</w:t>
      </w:r>
      <w:bookmarkEnd w:id="16"/>
      <w:bookmarkEnd w:id="17"/>
    </w:p>
    <w:p>
      <w:pPr>
        <w:spacing w:line="360" w:lineRule="auto"/>
        <w:ind w:firstLine="540" w:firstLineChars="225"/>
        <w:rPr>
          <w:rFonts w:ascii="宋体" w:hAnsi="宋体" w:cs="宋体"/>
          <w:color w:val="000000"/>
          <w:kern w:val="0"/>
          <w:sz w:val="24"/>
          <w:szCs w:val="24"/>
        </w:rPr>
      </w:pPr>
      <w:r>
        <w:rPr>
          <w:rFonts w:hint="eastAsia" w:ascii="宋体" w:hAnsi="宋体" w:cs="宋体"/>
          <w:color w:val="000000"/>
          <w:kern w:val="0"/>
          <w:sz w:val="24"/>
          <w:szCs w:val="24"/>
        </w:rPr>
        <w:t>投标人必须在投标递交截止时间之前投标保证金</w:t>
      </w:r>
      <w:r>
        <w:rPr>
          <w:rFonts w:hint="eastAsia" w:ascii="宋体" w:hAnsi="宋体" w:cs="宋体"/>
          <w:color w:val="000000"/>
          <w:kern w:val="0"/>
          <w:sz w:val="24"/>
          <w:szCs w:val="24"/>
          <w:u w:val="single"/>
        </w:rPr>
        <w:t>5</w:t>
      </w:r>
      <w:r>
        <w:rPr>
          <w:rFonts w:hint="eastAsia" w:ascii="宋体" w:hAnsi="宋体" w:cs="宋体"/>
          <w:color w:val="000000"/>
          <w:kern w:val="0"/>
          <w:sz w:val="24"/>
          <w:szCs w:val="24"/>
        </w:rPr>
        <w:t>万元。未中标的投标人保证金于开标后7天内无息退还，中标人的保证金签合同后转为履约保证金。</w:t>
      </w:r>
    </w:p>
    <w:p>
      <w:pPr>
        <w:spacing w:line="360" w:lineRule="auto"/>
        <w:ind w:firstLine="540" w:firstLineChars="225"/>
        <w:rPr>
          <w:rFonts w:ascii="宋体" w:hAnsi="宋体" w:cs="宋体"/>
          <w:color w:val="000000"/>
          <w:kern w:val="0"/>
          <w:sz w:val="24"/>
          <w:szCs w:val="24"/>
        </w:rPr>
      </w:pPr>
      <w:r>
        <w:rPr>
          <w:rFonts w:hint="eastAsia" w:ascii="宋体" w:hAnsi="宋体" w:cs="宋体"/>
          <w:color w:val="000000"/>
          <w:kern w:val="0"/>
          <w:sz w:val="24"/>
          <w:szCs w:val="24"/>
        </w:rPr>
        <w:t>收款单位账户：厦工(三明)重型机器有限公司</w:t>
      </w:r>
    </w:p>
    <w:p>
      <w:pPr>
        <w:spacing w:line="360" w:lineRule="auto"/>
        <w:ind w:firstLine="540" w:firstLineChars="225"/>
        <w:rPr>
          <w:rFonts w:ascii="宋体" w:hAnsi="宋体" w:cs="宋体"/>
          <w:color w:val="000000"/>
          <w:kern w:val="0"/>
          <w:sz w:val="24"/>
          <w:szCs w:val="24"/>
        </w:rPr>
      </w:pPr>
      <w:r>
        <w:rPr>
          <w:rFonts w:hint="eastAsia" w:ascii="宋体" w:hAnsi="宋体" w:cs="宋体"/>
          <w:color w:val="000000"/>
          <w:kern w:val="0"/>
          <w:sz w:val="24"/>
          <w:szCs w:val="24"/>
        </w:rPr>
        <w:t>开户银行: 中国建设银行股份有限公司沙县支行</w:t>
      </w:r>
    </w:p>
    <w:p>
      <w:pPr>
        <w:spacing w:line="360" w:lineRule="auto"/>
        <w:ind w:firstLine="540" w:firstLineChars="225"/>
        <w:rPr>
          <w:rFonts w:ascii="宋体" w:hAnsi="宋体" w:cs="宋体"/>
          <w:color w:val="000000"/>
          <w:kern w:val="0"/>
          <w:sz w:val="24"/>
          <w:szCs w:val="24"/>
        </w:rPr>
      </w:pPr>
      <w:r>
        <w:rPr>
          <w:rFonts w:hint="eastAsia" w:ascii="宋体" w:hAnsi="宋体" w:cs="宋体"/>
          <w:color w:val="000000"/>
          <w:kern w:val="0"/>
          <w:sz w:val="24"/>
          <w:szCs w:val="24"/>
        </w:rPr>
        <w:t>账    号: 3500 1647 7070 5250 2197</w:t>
      </w:r>
    </w:p>
    <w:p>
      <w:pPr>
        <w:spacing w:line="360" w:lineRule="auto"/>
        <w:ind w:firstLine="540" w:firstLineChars="225"/>
        <w:rPr>
          <w:rFonts w:ascii="宋体" w:hAnsi="宋体" w:cs="宋体"/>
          <w:color w:val="000000"/>
          <w:kern w:val="0"/>
          <w:sz w:val="24"/>
          <w:szCs w:val="24"/>
        </w:rPr>
      </w:pPr>
      <w:r>
        <w:rPr>
          <w:rFonts w:hint="eastAsia" w:ascii="宋体" w:hAnsi="宋体" w:cs="宋体"/>
          <w:color w:val="000000"/>
          <w:kern w:val="0"/>
          <w:sz w:val="24"/>
          <w:szCs w:val="24"/>
        </w:rPr>
        <w:t xml:space="preserve">投标书应附有投标保证金缴款凭证 </w:t>
      </w:r>
    </w:p>
    <w:p>
      <w:pPr>
        <w:pStyle w:val="65"/>
      </w:pPr>
    </w:p>
    <w:p>
      <w:pPr>
        <w:pStyle w:val="65"/>
      </w:pPr>
    </w:p>
    <w:p>
      <w:pPr>
        <w:pStyle w:val="65"/>
      </w:pPr>
    </w:p>
    <w:p>
      <w:pPr>
        <w:pStyle w:val="65"/>
      </w:pPr>
    </w:p>
    <w:p>
      <w:pPr>
        <w:pStyle w:val="65"/>
      </w:pPr>
    </w:p>
    <w:p>
      <w:pPr>
        <w:pStyle w:val="65"/>
      </w:pPr>
    </w:p>
    <w:p>
      <w:pPr>
        <w:pStyle w:val="65"/>
      </w:pPr>
    </w:p>
    <w:p>
      <w:pPr>
        <w:rPr>
          <w:rFonts w:hint="eastAsia" w:ascii="宋体" w:hAnsi="宋体"/>
          <w:sz w:val="28"/>
          <w:szCs w:val="28"/>
        </w:rPr>
      </w:pPr>
      <w:bookmarkStart w:id="18" w:name="_Toc30580"/>
      <w:bookmarkEnd w:id="18"/>
      <w:bookmarkStart w:id="19" w:name="_Toc6229"/>
      <w:bookmarkEnd w:id="19"/>
      <w:bookmarkStart w:id="20" w:name="_Toc34137373"/>
      <w:bookmarkEnd w:id="20"/>
      <w:bookmarkStart w:id="21" w:name="_Toc15353"/>
      <w:bookmarkEnd w:id="21"/>
      <w:bookmarkStart w:id="22" w:name="_Toc19329"/>
      <w:bookmarkEnd w:id="22"/>
      <w:bookmarkStart w:id="23" w:name="_Toc9892"/>
      <w:bookmarkEnd w:id="23"/>
      <w:bookmarkStart w:id="24" w:name="_Toc21333_WPSOffice_Level2"/>
      <w:bookmarkEnd w:id="24"/>
      <w:bookmarkStart w:id="25" w:name="_Toc30678"/>
      <w:bookmarkEnd w:id="25"/>
      <w:bookmarkStart w:id="26" w:name="_Toc22485"/>
      <w:bookmarkEnd w:id="26"/>
      <w:bookmarkStart w:id="27" w:name="_Toc32543"/>
      <w:bookmarkEnd w:id="27"/>
      <w:bookmarkStart w:id="28" w:name="_Toc29935"/>
      <w:bookmarkStart w:id="29" w:name="_Toc22310"/>
      <w:bookmarkStart w:id="30" w:name="_Toc971"/>
      <w:bookmarkStart w:id="31" w:name="_Toc14014"/>
      <w:bookmarkStart w:id="32" w:name="_Toc51751151"/>
      <w:bookmarkStart w:id="33" w:name="_Toc148459122"/>
      <w:bookmarkStart w:id="34" w:name="_Toc9584"/>
      <w:r>
        <w:rPr>
          <w:rFonts w:hint="eastAsia" w:ascii="宋体" w:hAnsi="宋体"/>
          <w:sz w:val="28"/>
          <w:szCs w:val="28"/>
        </w:rPr>
        <w:br w:type="page"/>
      </w:r>
    </w:p>
    <w:p>
      <w:pPr>
        <w:pStyle w:val="2"/>
        <w:spacing w:before="0" w:after="0" w:line="360" w:lineRule="auto"/>
        <w:jc w:val="left"/>
        <w:rPr>
          <w:rFonts w:ascii="宋体" w:hAnsi="宋体"/>
          <w:sz w:val="28"/>
          <w:szCs w:val="28"/>
        </w:rPr>
      </w:pPr>
      <w:bookmarkStart w:id="35" w:name="_Toc6724"/>
      <w:bookmarkStart w:id="36" w:name="_Toc7632"/>
      <w:bookmarkStart w:id="37" w:name="_Toc12581"/>
      <w:bookmarkStart w:id="38" w:name="_Toc27830"/>
      <w:bookmarkStart w:id="39" w:name="_Toc31482"/>
      <w:r>
        <w:rPr>
          <w:rFonts w:hint="eastAsia" w:ascii="宋体" w:hAnsi="宋体"/>
          <w:sz w:val="28"/>
          <w:szCs w:val="28"/>
        </w:rPr>
        <w:t>附：招标项目一览表</w:t>
      </w:r>
      <w:bookmarkEnd w:id="28"/>
      <w:bookmarkEnd w:id="29"/>
      <w:bookmarkEnd w:id="30"/>
      <w:bookmarkEnd w:id="31"/>
      <w:bookmarkEnd w:id="32"/>
      <w:bookmarkEnd w:id="33"/>
      <w:bookmarkEnd w:id="34"/>
      <w:bookmarkEnd w:id="35"/>
      <w:bookmarkEnd w:id="36"/>
      <w:bookmarkEnd w:id="37"/>
      <w:bookmarkEnd w:id="38"/>
      <w:bookmarkEnd w:id="39"/>
    </w:p>
    <w:tbl>
      <w:tblPr>
        <w:tblStyle w:val="28"/>
        <w:tblW w:w="8800" w:type="dxa"/>
        <w:tblInd w:w="-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987"/>
        <w:gridCol w:w="1693"/>
        <w:gridCol w:w="1520"/>
        <w:gridCol w:w="1869"/>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0" w:hRule="atLeast"/>
        </w:trPr>
        <w:tc>
          <w:tcPr>
            <w:tcW w:w="1000" w:type="dxa"/>
            <w:tcBorders>
              <w:top w:val="single" w:color="auto" w:sz="4" w:space="0"/>
              <w:left w:val="single" w:color="auto" w:sz="4" w:space="0"/>
              <w:bottom w:val="single" w:color="auto" w:sz="4" w:space="0"/>
              <w:right w:val="single" w:color="auto" w:sz="4" w:space="0"/>
            </w:tcBorders>
            <w:vAlign w:val="center"/>
          </w:tcPr>
          <w:p>
            <w:pPr>
              <w:pStyle w:val="12"/>
              <w:tabs>
                <w:tab w:val="left" w:pos="8360"/>
              </w:tabs>
              <w:spacing w:line="420" w:lineRule="exact"/>
              <w:rPr>
                <w:rFonts w:ascii="宋体" w:hAnsi="宋体"/>
                <w:sz w:val="24"/>
                <w:szCs w:val="24"/>
              </w:rPr>
            </w:pPr>
            <w:r>
              <w:rPr>
                <w:rFonts w:hint="eastAsia" w:ascii="宋体" w:hAnsi="宋体"/>
                <w:sz w:val="24"/>
                <w:szCs w:val="24"/>
              </w:rPr>
              <w:t>合同包</w:t>
            </w:r>
          </w:p>
        </w:tc>
        <w:tc>
          <w:tcPr>
            <w:tcW w:w="987" w:type="dxa"/>
            <w:tcBorders>
              <w:top w:val="single" w:color="auto" w:sz="4" w:space="0"/>
              <w:left w:val="single" w:color="auto" w:sz="4" w:space="0"/>
              <w:bottom w:val="single" w:color="auto" w:sz="4" w:space="0"/>
              <w:right w:val="single" w:color="auto" w:sz="4" w:space="0"/>
            </w:tcBorders>
            <w:vAlign w:val="center"/>
          </w:tcPr>
          <w:p>
            <w:pPr>
              <w:pStyle w:val="12"/>
              <w:tabs>
                <w:tab w:val="left" w:pos="8360"/>
              </w:tabs>
              <w:spacing w:line="420" w:lineRule="exact"/>
              <w:rPr>
                <w:rFonts w:ascii="宋体" w:hAnsi="宋体"/>
                <w:sz w:val="24"/>
                <w:szCs w:val="24"/>
              </w:rPr>
            </w:pPr>
            <w:r>
              <w:rPr>
                <w:rFonts w:hint="eastAsia" w:ascii="宋体" w:hAnsi="宋体"/>
                <w:sz w:val="24"/>
                <w:szCs w:val="24"/>
              </w:rPr>
              <w:t>品目号</w:t>
            </w:r>
          </w:p>
        </w:tc>
        <w:tc>
          <w:tcPr>
            <w:tcW w:w="1693" w:type="dxa"/>
            <w:tcBorders>
              <w:top w:val="single" w:color="auto" w:sz="4" w:space="0"/>
              <w:left w:val="single" w:color="auto" w:sz="4" w:space="0"/>
              <w:bottom w:val="single" w:color="auto" w:sz="4" w:space="0"/>
              <w:right w:val="single" w:color="auto" w:sz="4" w:space="0"/>
            </w:tcBorders>
            <w:vAlign w:val="center"/>
          </w:tcPr>
          <w:p>
            <w:pPr>
              <w:pStyle w:val="12"/>
              <w:tabs>
                <w:tab w:val="left" w:pos="8360"/>
              </w:tabs>
              <w:spacing w:line="420" w:lineRule="exact"/>
              <w:rPr>
                <w:rFonts w:ascii="宋体" w:hAnsi="宋体"/>
                <w:sz w:val="24"/>
                <w:szCs w:val="24"/>
              </w:rPr>
            </w:pPr>
            <w:r>
              <w:rPr>
                <w:rFonts w:hint="eastAsia" w:ascii="宋体" w:hAnsi="宋体"/>
                <w:sz w:val="24"/>
                <w:szCs w:val="24"/>
              </w:rPr>
              <w:t>货物名称</w:t>
            </w:r>
          </w:p>
        </w:tc>
        <w:tc>
          <w:tcPr>
            <w:tcW w:w="1520" w:type="dxa"/>
            <w:tcBorders>
              <w:top w:val="single" w:color="auto" w:sz="4" w:space="0"/>
              <w:left w:val="single" w:color="auto" w:sz="4" w:space="0"/>
              <w:bottom w:val="single" w:color="auto" w:sz="4" w:space="0"/>
              <w:right w:val="single" w:color="auto" w:sz="4" w:space="0"/>
            </w:tcBorders>
            <w:vAlign w:val="center"/>
          </w:tcPr>
          <w:p>
            <w:pPr>
              <w:pStyle w:val="12"/>
              <w:tabs>
                <w:tab w:val="left" w:pos="8360"/>
              </w:tabs>
              <w:spacing w:line="420" w:lineRule="exact"/>
              <w:rPr>
                <w:rFonts w:ascii="宋体" w:hAnsi="宋体"/>
                <w:sz w:val="24"/>
                <w:szCs w:val="24"/>
              </w:rPr>
            </w:pPr>
            <w:r>
              <w:rPr>
                <w:rFonts w:hint="eastAsia" w:ascii="宋体" w:hAnsi="宋体"/>
                <w:sz w:val="24"/>
                <w:szCs w:val="24"/>
              </w:rPr>
              <w:t>数量</w:t>
            </w:r>
          </w:p>
        </w:tc>
        <w:tc>
          <w:tcPr>
            <w:tcW w:w="1869" w:type="dxa"/>
            <w:tcBorders>
              <w:top w:val="single" w:color="auto" w:sz="4" w:space="0"/>
              <w:left w:val="single" w:color="auto" w:sz="4" w:space="0"/>
              <w:bottom w:val="single" w:color="auto" w:sz="4" w:space="0"/>
              <w:right w:val="single" w:color="auto" w:sz="4" w:space="0"/>
            </w:tcBorders>
            <w:vAlign w:val="center"/>
          </w:tcPr>
          <w:p>
            <w:pPr>
              <w:pStyle w:val="12"/>
              <w:tabs>
                <w:tab w:val="left" w:pos="8360"/>
              </w:tabs>
              <w:spacing w:line="420" w:lineRule="exact"/>
              <w:rPr>
                <w:rFonts w:ascii="宋体" w:hAnsi="宋体"/>
                <w:sz w:val="24"/>
                <w:szCs w:val="24"/>
              </w:rPr>
            </w:pPr>
            <w:r>
              <w:rPr>
                <w:rFonts w:hint="eastAsia" w:ascii="宋体" w:hAnsi="宋体"/>
                <w:sz w:val="24"/>
                <w:szCs w:val="24"/>
              </w:rPr>
              <w:t>主要技术规格</w:t>
            </w:r>
          </w:p>
        </w:tc>
        <w:tc>
          <w:tcPr>
            <w:tcW w:w="1731" w:type="dxa"/>
            <w:tcBorders>
              <w:top w:val="single" w:color="auto" w:sz="4" w:space="0"/>
              <w:left w:val="single" w:color="auto" w:sz="4" w:space="0"/>
              <w:bottom w:val="single" w:color="auto" w:sz="4" w:space="0"/>
              <w:right w:val="single" w:color="auto" w:sz="4" w:space="0"/>
            </w:tcBorders>
            <w:vAlign w:val="center"/>
          </w:tcPr>
          <w:p>
            <w:pPr>
              <w:pStyle w:val="12"/>
              <w:tabs>
                <w:tab w:val="left" w:pos="8360"/>
              </w:tabs>
              <w:spacing w:line="420" w:lineRule="exact"/>
              <w:rPr>
                <w:rFonts w:ascii="宋体" w:hAnsi="宋体"/>
                <w:sz w:val="24"/>
                <w:szCs w:val="24"/>
              </w:rPr>
            </w:pPr>
            <w:r>
              <w:rPr>
                <w:rFonts w:hint="eastAsia" w:ascii="宋体" w:hAnsi="宋体"/>
                <w:sz w:val="24"/>
                <w:szCs w:val="24"/>
              </w:rPr>
              <w:t>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90" w:hRule="atLeast"/>
        </w:trPr>
        <w:tc>
          <w:tcPr>
            <w:tcW w:w="1000" w:type="dxa"/>
            <w:tcBorders>
              <w:top w:val="single" w:color="auto" w:sz="4" w:space="0"/>
              <w:left w:val="single" w:color="auto" w:sz="4" w:space="0"/>
              <w:right w:val="single" w:color="auto" w:sz="4" w:space="0"/>
            </w:tcBorders>
            <w:vAlign w:val="center"/>
          </w:tcPr>
          <w:p>
            <w:pPr>
              <w:pStyle w:val="12"/>
              <w:tabs>
                <w:tab w:val="left" w:pos="8360"/>
              </w:tabs>
              <w:spacing w:line="420" w:lineRule="exact"/>
              <w:rPr>
                <w:rFonts w:ascii="宋体" w:hAnsi="宋体"/>
                <w:b/>
                <w:sz w:val="24"/>
                <w:szCs w:val="24"/>
              </w:rPr>
            </w:pPr>
            <w:r>
              <w:rPr>
                <w:rFonts w:hint="eastAsia" w:ascii="宋体" w:hAnsi="宋体"/>
                <w:b/>
                <w:sz w:val="24"/>
                <w:szCs w:val="24"/>
              </w:rPr>
              <w:t>1</w:t>
            </w:r>
          </w:p>
        </w:tc>
        <w:tc>
          <w:tcPr>
            <w:tcW w:w="987" w:type="dxa"/>
            <w:tcBorders>
              <w:top w:val="single" w:color="auto" w:sz="4" w:space="0"/>
              <w:left w:val="single" w:color="auto" w:sz="4" w:space="0"/>
              <w:right w:val="single" w:color="auto" w:sz="4" w:space="0"/>
            </w:tcBorders>
            <w:vAlign w:val="center"/>
          </w:tcPr>
          <w:p>
            <w:pPr>
              <w:pStyle w:val="12"/>
              <w:tabs>
                <w:tab w:val="left" w:pos="8360"/>
              </w:tabs>
              <w:spacing w:line="420" w:lineRule="exact"/>
              <w:rPr>
                <w:rFonts w:ascii="宋体" w:hAnsi="宋体"/>
                <w:b/>
                <w:sz w:val="24"/>
                <w:szCs w:val="24"/>
              </w:rPr>
            </w:pPr>
            <w:r>
              <w:rPr>
                <w:rFonts w:hint="eastAsia" w:ascii="宋体" w:hAnsi="宋体"/>
                <w:b/>
                <w:sz w:val="24"/>
                <w:szCs w:val="24"/>
              </w:rPr>
              <w:t>1-1</w:t>
            </w:r>
          </w:p>
        </w:tc>
        <w:tc>
          <w:tcPr>
            <w:tcW w:w="1693" w:type="dxa"/>
            <w:tcBorders>
              <w:top w:val="single" w:color="auto" w:sz="4" w:space="0"/>
              <w:left w:val="single" w:color="auto" w:sz="4" w:space="0"/>
              <w:right w:val="single" w:color="auto" w:sz="4" w:space="0"/>
            </w:tcBorders>
            <w:vAlign w:val="center"/>
          </w:tcPr>
          <w:p>
            <w:pPr>
              <w:pStyle w:val="12"/>
              <w:tabs>
                <w:tab w:val="left" w:pos="8360"/>
              </w:tabs>
              <w:spacing w:line="420" w:lineRule="exact"/>
              <w:rPr>
                <w:rFonts w:ascii="宋体" w:hAnsi="宋体"/>
                <w:b/>
                <w:sz w:val="24"/>
                <w:szCs w:val="24"/>
              </w:rPr>
            </w:pPr>
            <w:r>
              <w:rPr>
                <w:rFonts w:hint="eastAsia" w:ascii="宋体" w:hAnsi="宋体"/>
                <w:b/>
                <w:sz w:val="24"/>
                <w:szCs w:val="24"/>
              </w:rPr>
              <w:t>道斯WHN130 MC双工位卧式铣镗加工中心维修</w:t>
            </w:r>
          </w:p>
        </w:tc>
        <w:tc>
          <w:tcPr>
            <w:tcW w:w="1520" w:type="dxa"/>
            <w:tcBorders>
              <w:top w:val="single" w:color="auto" w:sz="4" w:space="0"/>
              <w:left w:val="single" w:color="auto" w:sz="4" w:space="0"/>
              <w:right w:val="single" w:color="auto" w:sz="4" w:space="0"/>
            </w:tcBorders>
            <w:vAlign w:val="center"/>
          </w:tcPr>
          <w:p>
            <w:pPr>
              <w:pStyle w:val="12"/>
              <w:tabs>
                <w:tab w:val="left" w:pos="8360"/>
              </w:tabs>
              <w:spacing w:line="420" w:lineRule="exact"/>
              <w:rPr>
                <w:rFonts w:ascii="宋体" w:hAnsi="宋体"/>
                <w:b/>
                <w:sz w:val="24"/>
                <w:szCs w:val="24"/>
              </w:rPr>
            </w:pPr>
            <w:r>
              <w:rPr>
                <w:rFonts w:hint="eastAsia" w:ascii="宋体" w:hAnsi="宋体"/>
                <w:b/>
                <w:sz w:val="24"/>
                <w:szCs w:val="24"/>
              </w:rPr>
              <w:t>1</w:t>
            </w:r>
          </w:p>
        </w:tc>
        <w:tc>
          <w:tcPr>
            <w:tcW w:w="1869" w:type="dxa"/>
            <w:tcBorders>
              <w:top w:val="single" w:color="auto" w:sz="4" w:space="0"/>
              <w:left w:val="single" w:color="auto" w:sz="4" w:space="0"/>
              <w:right w:val="single" w:color="auto" w:sz="4" w:space="0"/>
            </w:tcBorders>
            <w:vAlign w:val="center"/>
          </w:tcPr>
          <w:p>
            <w:pPr>
              <w:pStyle w:val="12"/>
              <w:tabs>
                <w:tab w:val="left" w:pos="8360"/>
              </w:tabs>
              <w:spacing w:line="420" w:lineRule="exact"/>
              <w:rPr>
                <w:rFonts w:ascii="宋体" w:hAnsi="宋体"/>
                <w:b/>
                <w:sz w:val="24"/>
                <w:szCs w:val="24"/>
              </w:rPr>
            </w:pPr>
            <w:r>
              <w:rPr>
                <w:rFonts w:hint="eastAsia" w:ascii="宋体" w:hAnsi="宋体"/>
                <w:b/>
                <w:sz w:val="24"/>
                <w:szCs w:val="24"/>
              </w:rPr>
              <w:t>详见“第四章</w:t>
            </w:r>
          </w:p>
          <w:p>
            <w:pPr>
              <w:pStyle w:val="12"/>
              <w:tabs>
                <w:tab w:val="left" w:pos="8360"/>
              </w:tabs>
              <w:spacing w:line="420" w:lineRule="exact"/>
              <w:rPr>
                <w:rFonts w:ascii="宋体" w:hAnsi="宋体"/>
                <w:b/>
                <w:sz w:val="24"/>
                <w:szCs w:val="24"/>
              </w:rPr>
            </w:pPr>
            <w:r>
              <w:rPr>
                <w:rFonts w:hint="eastAsia" w:ascii="宋体" w:hAnsi="宋体"/>
                <w:b/>
                <w:sz w:val="24"/>
                <w:szCs w:val="24"/>
              </w:rPr>
              <w:t>招标内容及要求”</w:t>
            </w:r>
          </w:p>
        </w:tc>
        <w:tc>
          <w:tcPr>
            <w:tcW w:w="1731" w:type="dxa"/>
            <w:tcBorders>
              <w:top w:val="single" w:color="auto" w:sz="4" w:space="0"/>
              <w:left w:val="single" w:color="auto" w:sz="4" w:space="0"/>
              <w:right w:val="single" w:color="auto" w:sz="4" w:space="0"/>
            </w:tcBorders>
            <w:vAlign w:val="center"/>
          </w:tcPr>
          <w:p>
            <w:pPr>
              <w:pStyle w:val="12"/>
              <w:tabs>
                <w:tab w:val="left" w:pos="8360"/>
              </w:tabs>
              <w:spacing w:line="420" w:lineRule="exact"/>
              <w:rPr>
                <w:rFonts w:ascii="宋体" w:hAnsi="宋体"/>
                <w:b/>
                <w:sz w:val="24"/>
                <w:szCs w:val="24"/>
              </w:rPr>
            </w:pPr>
            <w:r>
              <w:rPr>
                <w:rFonts w:hint="eastAsia" w:ascii="宋体" w:hAnsi="宋体"/>
                <w:b/>
                <w:sz w:val="24"/>
                <w:szCs w:val="24"/>
              </w:rPr>
              <w:t>详见“第四章</w:t>
            </w:r>
          </w:p>
          <w:p>
            <w:pPr>
              <w:pStyle w:val="12"/>
              <w:tabs>
                <w:tab w:val="left" w:pos="8360"/>
              </w:tabs>
              <w:spacing w:line="420" w:lineRule="exact"/>
              <w:rPr>
                <w:rFonts w:ascii="宋体" w:hAnsi="宋体"/>
                <w:b/>
                <w:sz w:val="24"/>
                <w:szCs w:val="24"/>
              </w:rPr>
            </w:pPr>
            <w:r>
              <w:rPr>
                <w:rFonts w:hint="eastAsia" w:ascii="宋体" w:hAnsi="宋体"/>
                <w:b/>
                <w:sz w:val="24"/>
                <w:szCs w:val="24"/>
              </w:rPr>
              <w:t>招标内容及要求”</w:t>
            </w:r>
          </w:p>
        </w:tc>
      </w:tr>
    </w:tbl>
    <w:p/>
    <w:p>
      <w:pPr>
        <w:pStyle w:val="15"/>
        <w:spacing w:line="420" w:lineRule="exact"/>
        <w:jc w:val="left"/>
        <w:rPr>
          <w:rFonts w:hAnsi="宋体"/>
          <w:sz w:val="24"/>
          <w:szCs w:val="24"/>
        </w:rPr>
      </w:pPr>
      <w:r>
        <w:rPr>
          <w:rFonts w:hint="eastAsia" w:hAnsi="宋体"/>
          <w:sz w:val="24"/>
          <w:szCs w:val="24"/>
        </w:rPr>
        <w:t>注：</w:t>
      </w:r>
    </w:p>
    <w:p>
      <w:pPr>
        <w:pStyle w:val="15"/>
        <w:spacing w:line="420" w:lineRule="exact"/>
        <w:ind w:firstLine="480" w:firstLineChars="200"/>
        <w:jc w:val="left"/>
        <w:rPr>
          <w:rFonts w:hAnsi="宋体"/>
          <w:sz w:val="24"/>
          <w:szCs w:val="24"/>
        </w:rPr>
      </w:pPr>
      <w:r>
        <w:rPr>
          <w:rFonts w:hint="eastAsia" w:hAnsi="宋体"/>
          <w:sz w:val="24"/>
          <w:szCs w:val="24"/>
        </w:rPr>
        <w:t>1、本项目为1个合同包，投标人按合同包投标，对合同包内所有品目号内容投标时必须完整。评标与授标以合同包为单位。</w:t>
      </w:r>
    </w:p>
    <w:p>
      <w:pPr>
        <w:pStyle w:val="15"/>
        <w:spacing w:line="420" w:lineRule="exact"/>
        <w:rPr>
          <w:rFonts w:hAnsi="宋体"/>
          <w:b/>
          <w:bCs/>
          <w:sz w:val="36"/>
          <w:szCs w:val="36"/>
        </w:rPr>
      </w:pPr>
      <w:bookmarkStart w:id="40" w:name="_Toc28115"/>
      <w:bookmarkEnd w:id="40"/>
      <w:bookmarkStart w:id="41" w:name="_Toc20207"/>
      <w:bookmarkEnd w:id="41"/>
      <w:bookmarkStart w:id="42" w:name="_Toc7564"/>
      <w:bookmarkEnd w:id="42"/>
      <w:bookmarkStart w:id="43" w:name="_Toc23009"/>
      <w:bookmarkEnd w:id="43"/>
      <w:bookmarkStart w:id="44" w:name="_Toc5546"/>
      <w:bookmarkEnd w:id="44"/>
      <w:bookmarkStart w:id="45" w:name="_Toc25459"/>
      <w:bookmarkEnd w:id="45"/>
      <w:bookmarkStart w:id="46" w:name="_Toc25457"/>
      <w:bookmarkEnd w:id="46"/>
      <w:bookmarkStart w:id="47" w:name="_Toc34137374"/>
      <w:bookmarkEnd w:id="47"/>
      <w:bookmarkStart w:id="48" w:name="_Toc21299"/>
      <w:bookmarkEnd w:id="48"/>
      <w:bookmarkStart w:id="49" w:name="_Toc8791"/>
      <w:bookmarkStart w:id="50" w:name="_Toc51751152"/>
      <w:bookmarkStart w:id="51" w:name="_Toc31263"/>
      <w:bookmarkStart w:id="52" w:name="_Toc11409"/>
    </w:p>
    <w:p>
      <w:pPr>
        <w:pStyle w:val="15"/>
        <w:spacing w:line="420" w:lineRule="exact"/>
        <w:jc w:val="center"/>
        <w:outlineLvl w:val="0"/>
        <w:rPr>
          <w:rFonts w:hAnsi="宋体"/>
          <w:b/>
          <w:bCs/>
          <w:sz w:val="36"/>
          <w:szCs w:val="36"/>
        </w:rPr>
      </w:pPr>
      <w:r>
        <w:rPr>
          <w:rFonts w:hint="eastAsia" w:hAnsi="宋体"/>
          <w:b/>
          <w:bCs/>
          <w:sz w:val="36"/>
          <w:szCs w:val="36"/>
        </w:rPr>
        <w:br w:type="page"/>
      </w:r>
      <w:bookmarkStart w:id="53" w:name="_Toc8476"/>
      <w:bookmarkStart w:id="54" w:name="_Toc148459123"/>
      <w:bookmarkStart w:id="55" w:name="_Toc25769"/>
      <w:bookmarkStart w:id="56" w:name="_Toc23617"/>
      <w:bookmarkStart w:id="57" w:name="_Toc8821"/>
      <w:bookmarkStart w:id="58" w:name="_Toc22503"/>
      <w:bookmarkStart w:id="59" w:name="_Toc24178"/>
      <w:bookmarkStart w:id="60" w:name="_Toc9027"/>
      <w:r>
        <w:rPr>
          <w:rFonts w:hint="eastAsia" w:hAnsi="宋体"/>
          <w:b/>
          <w:bCs/>
          <w:sz w:val="36"/>
          <w:szCs w:val="36"/>
        </w:rPr>
        <w:t>第二章  投标人须知</w:t>
      </w:r>
      <w:bookmarkEnd w:id="49"/>
      <w:bookmarkEnd w:id="50"/>
      <w:bookmarkEnd w:id="51"/>
      <w:bookmarkEnd w:id="52"/>
      <w:bookmarkEnd w:id="53"/>
      <w:bookmarkEnd w:id="54"/>
      <w:bookmarkEnd w:id="55"/>
      <w:bookmarkEnd w:id="56"/>
      <w:bookmarkEnd w:id="57"/>
      <w:bookmarkEnd w:id="58"/>
      <w:bookmarkEnd w:id="59"/>
      <w:bookmarkEnd w:id="60"/>
    </w:p>
    <w:p>
      <w:pPr>
        <w:pStyle w:val="2"/>
        <w:spacing w:before="0" w:after="0" w:line="360" w:lineRule="auto"/>
        <w:jc w:val="center"/>
        <w:rPr>
          <w:rFonts w:ascii="宋体" w:hAnsi="宋体"/>
          <w:sz w:val="28"/>
          <w:szCs w:val="28"/>
        </w:rPr>
      </w:pPr>
      <w:bookmarkStart w:id="61" w:name="_Toc24082_WPSOffice_Level2"/>
      <w:bookmarkEnd w:id="61"/>
      <w:bookmarkStart w:id="62" w:name="_Toc9582"/>
      <w:bookmarkEnd w:id="62"/>
      <w:bookmarkStart w:id="63" w:name="_Toc34137375"/>
      <w:bookmarkEnd w:id="63"/>
      <w:bookmarkStart w:id="64" w:name="_Toc12556"/>
      <w:bookmarkEnd w:id="64"/>
      <w:bookmarkStart w:id="65" w:name="_Toc32031"/>
      <w:bookmarkEnd w:id="65"/>
      <w:bookmarkStart w:id="66" w:name="_Toc26500"/>
      <w:bookmarkEnd w:id="66"/>
      <w:bookmarkStart w:id="67" w:name="_Toc19674"/>
      <w:bookmarkEnd w:id="67"/>
      <w:bookmarkStart w:id="68" w:name="_Toc12710"/>
      <w:bookmarkEnd w:id="68"/>
      <w:bookmarkStart w:id="69" w:name="_Toc11001"/>
      <w:bookmarkEnd w:id="69"/>
      <w:bookmarkStart w:id="70" w:name="_Toc476128894"/>
      <w:bookmarkEnd w:id="70"/>
      <w:bookmarkStart w:id="71" w:name="_Toc398284534"/>
      <w:bookmarkEnd w:id="71"/>
      <w:bookmarkStart w:id="72" w:name="_Toc422946676"/>
      <w:bookmarkEnd w:id="72"/>
      <w:bookmarkStart w:id="73" w:name="_Toc398504590"/>
      <w:bookmarkEnd w:id="73"/>
      <w:bookmarkStart w:id="74" w:name="_Toc14804"/>
      <w:bookmarkEnd w:id="74"/>
      <w:bookmarkStart w:id="75" w:name="_Toc29775"/>
      <w:bookmarkStart w:id="76" w:name="_Toc3824"/>
      <w:bookmarkStart w:id="77" w:name="_Toc32307"/>
      <w:bookmarkStart w:id="78" w:name="_Toc27465"/>
      <w:bookmarkStart w:id="79" w:name="_Toc21913"/>
      <w:bookmarkStart w:id="80" w:name="_Toc148459124"/>
      <w:bookmarkStart w:id="81" w:name="_Toc5735"/>
      <w:bookmarkStart w:id="82" w:name="_Toc20661"/>
      <w:bookmarkStart w:id="83" w:name="_Toc51751153"/>
      <w:bookmarkStart w:id="84" w:name="_Toc8896"/>
      <w:bookmarkStart w:id="85" w:name="_Toc4781"/>
      <w:bookmarkStart w:id="86" w:name="_Toc31134"/>
      <w:r>
        <w:rPr>
          <w:rFonts w:hint="eastAsia" w:ascii="宋体" w:hAnsi="宋体"/>
          <w:sz w:val="28"/>
          <w:szCs w:val="28"/>
        </w:rPr>
        <w:t>投标人须知前附表</w:t>
      </w:r>
      <w:bookmarkEnd w:id="75"/>
      <w:bookmarkEnd w:id="76"/>
      <w:bookmarkEnd w:id="77"/>
      <w:bookmarkEnd w:id="78"/>
      <w:bookmarkEnd w:id="79"/>
      <w:bookmarkEnd w:id="80"/>
      <w:bookmarkEnd w:id="81"/>
      <w:bookmarkEnd w:id="82"/>
      <w:bookmarkEnd w:id="83"/>
      <w:bookmarkEnd w:id="84"/>
      <w:bookmarkEnd w:id="85"/>
      <w:bookmarkEnd w:id="86"/>
    </w:p>
    <w:p>
      <w:pPr>
        <w:spacing w:line="360" w:lineRule="auto"/>
        <w:ind w:firstLine="480" w:firstLineChars="200"/>
        <w:rPr>
          <w:rFonts w:cs="宋体"/>
          <w:sz w:val="24"/>
        </w:rPr>
      </w:pPr>
      <w:r>
        <w:rPr>
          <w:rFonts w:hint="eastAsia" w:cs="宋体"/>
          <w:sz w:val="24"/>
        </w:rPr>
        <w:t>本须知前附表的内容是与《投标人须知》中条款的内容对应的。如果有矛盾的话，应以本附表为准。</w:t>
      </w:r>
    </w:p>
    <w:tbl>
      <w:tblPr>
        <w:tblStyle w:val="28"/>
        <w:tblW w:w="8960" w:type="dxa"/>
        <w:jc w:val="center"/>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
      <w:tblGrid>
        <w:gridCol w:w="849"/>
        <w:gridCol w:w="1030"/>
        <w:gridCol w:w="7081"/>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88" w:hRule="atLeast"/>
          <w:jc w:val="center"/>
        </w:trPr>
        <w:tc>
          <w:tcPr>
            <w:tcW w:w="849" w:type="dxa"/>
            <w:tcBorders>
              <w:top w:val="thinThickSmallGap" w:color="auto" w:sz="12" w:space="0"/>
              <w:left w:val="thinThickSmallGap" w:color="auto" w:sz="12" w:space="0"/>
              <w:bottom w:val="single" w:color="auto" w:sz="6" w:space="0"/>
              <w:right w:val="single" w:color="auto" w:sz="6" w:space="0"/>
            </w:tcBorders>
            <w:tcMar>
              <w:top w:w="0" w:type="dxa"/>
              <w:left w:w="108" w:type="dxa"/>
              <w:bottom w:w="0" w:type="dxa"/>
              <w:right w:w="108" w:type="dxa"/>
            </w:tcMar>
            <w:vAlign w:val="center"/>
          </w:tcPr>
          <w:p>
            <w:pPr>
              <w:spacing w:line="360" w:lineRule="auto"/>
              <w:jc w:val="center"/>
              <w:rPr>
                <w:rFonts w:cs="宋体"/>
                <w:b/>
                <w:bCs/>
                <w:sz w:val="24"/>
              </w:rPr>
            </w:pPr>
            <w:r>
              <w:rPr>
                <w:rFonts w:hint="eastAsia" w:cs="宋体"/>
                <w:b/>
                <w:bCs/>
                <w:sz w:val="24"/>
              </w:rPr>
              <w:t>项号</w:t>
            </w:r>
          </w:p>
        </w:tc>
        <w:tc>
          <w:tcPr>
            <w:tcW w:w="1030" w:type="dxa"/>
            <w:tcBorders>
              <w:top w:val="thinThickSmallGap" w:color="auto" w:sz="12" w:space="0"/>
              <w:left w:val="single" w:color="auto" w:sz="6" w:space="0"/>
              <w:bottom w:val="single" w:color="auto" w:sz="6" w:space="0"/>
              <w:right w:val="single" w:color="auto" w:sz="6" w:space="0"/>
            </w:tcBorders>
            <w:tcMar>
              <w:top w:w="0" w:type="dxa"/>
              <w:left w:w="108" w:type="dxa"/>
              <w:bottom w:w="0" w:type="dxa"/>
              <w:right w:w="108" w:type="dxa"/>
            </w:tcMar>
            <w:vAlign w:val="center"/>
          </w:tcPr>
          <w:p>
            <w:pPr>
              <w:spacing w:line="360" w:lineRule="auto"/>
              <w:jc w:val="center"/>
              <w:rPr>
                <w:rFonts w:cs="宋体"/>
                <w:b/>
                <w:bCs/>
                <w:sz w:val="24"/>
              </w:rPr>
            </w:pPr>
            <w:r>
              <w:rPr>
                <w:rFonts w:hint="eastAsia" w:cs="宋体"/>
                <w:b/>
                <w:bCs/>
                <w:sz w:val="24"/>
              </w:rPr>
              <w:t>条款号</w:t>
            </w:r>
          </w:p>
        </w:tc>
        <w:tc>
          <w:tcPr>
            <w:tcW w:w="7081" w:type="dxa"/>
            <w:tcBorders>
              <w:top w:val="thinThickSmallGap" w:color="auto" w:sz="12" w:space="0"/>
              <w:left w:val="single" w:color="auto" w:sz="6" w:space="0"/>
              <w:bottom w:val="single" w:color="auto" w:sz="6" w:space="0"/>
              <w:right w:val="thickThinSmallGap" w:color="auto" w:sz="12" w:space="0"/>
            </w:tcBorders>
            <w:tcMar>
              <w:top w:w="0" w:type="dxa"/>
              <w:left w:w="108" w:type="dxa"/>
              <w:bottom w:w="0" w:type="dxa"/>
              <w:right w:w="108" w:type="dxa"/>
            </w:tcMar>
            <w:vAlign w:val="center"/>
          </w:tcPr>
          <w:p>
            <w:pPr>
              <w:spacing w:line="360" w:lineRule="auto"/>
              <w:jc w:val="center"/>
              <w:rPr>
                <w:rFonts w:cs="宋体"/>
                <w:b/>
                <w:bCs/>
                <w:sz w:val="24"/>
              </w:rPr>
            </w:pPr>
            <w:r>
              <w:rPr>
                <w:rFonts w:hint="eastAsia" w:cs="宋体"/>
                <w:b/>
                <w:bCs/>
                <w:sz w:val="24"/>
              </w:rPr>
              <w:t>编   列   内    容</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Ex>
        <w:trPr>
          <w:trHeight w:val="1953" w:hRule="atLeast"/>
          <w:jc w:val="center"/>
        </w:trPr>
        <w:tc>
          <w:tcPr>
            <w:tcW w:w="849" w:type="dxa"/>
            <w:tcBorders>
              <w:top w:val="single" w:color="auto" w:sz="6" w:space="0"/>
              <w:left w:val="thinThickSmallGap" w:color="auto" w:sz="12" w:space="0"/>
              <w:bottom w:val="single" w:color="auto" w:sz="6" w:space="0"/>
              <w:right w:val="single" w:color="auto" w:sz="6" w:space="0"/>
            </w:tcBorders>
            <w:tcMar>
              <w:top w:w="0" w:type="dxa"/>
              <w:left w:w="108" w:type="dxa"/>
              <w:bottom w:w="0" w:type="dxa"/>
              <w:right w:w="108" w:type="dxa"/>
            </w:tcMar>
            <w:vAlign w:val="center"/>
          </w:tcPr>
          <w:p>
            <w:pPr>
              <w:spacing w:line="360" w:lineRule="auto"/>
              <w:jc w:val="center"/>
              <w:rPr>
                <w:rFonts w:cs="宋体"/>
                <w:sz w:val="24"/>
              </w:rPr>
            </w:pPr>
            <w:r>
              <w:rPr>
                <w:rFonts w:hint="eastAsia" w:cs="宋体"/>
                <w:sz w:val="24"/>
              </w:rPr>
              <w:t>1</w:t>
            </w:r>
          </w:p>
        </w:tc>
        <w:tc>
          <w:tcPr>
            <w:tcW w:w="1030"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vAlign w:val="center"/>
          </w:tcPr>
          <w:p>
            <w:pPr>
              <w:spacing w:line="360" w:lineRule="auto"/>
              <w:jc w:val="center"/>
              <w:rPr>
                <w:rFonts w:cs="宋体"/>
                <w:sz w:val="24"/>
              </w:rPr>
            </w:pPr>
            <w:r>
              <w:rPr>
                <w:rFonts w:hint="eastAsia" w:cs="宋体"/>
                <w:sz w:val="24"/>
              </w:rPr>
              <w:t>2</w:t>
            </w:r>
          </w:p>
        </w:tc>
        <w:tc>
          <w:tcPr>
            <w:tcW w:w="7081" w:type="dxa"/>
            <w:tcBorders>
              <w:top w:val="single" w:color="auto" w:sz="6" w:space="0"/>
              <w:left w:val="single" w:color="auto" w:sz="6" w:space="0"/>
              <w:bottom w:val="single" w:color="auto" w:sz="6" w:space="0"/>
              <w:right w:val="thickThinSmallGap" w:color="auto" w:sz="12" w:space="0"/>
            </w:tcBorders>
            <w:tcMar>
              <w:top w:w="0" w:type="dxa"/>
              <w:left w:w="108" w:type="dxa"/>
              <w:bottom w:w="0" w:type="dxa"/>
              <w:right w:w="108" w:type="dxa"/>
            </w:tcMar>
            <w:vAlign w:val="center"/>
          </w:tcPr>
          <w:p>
            <w:pPr>
              <w:spacing w:line="360" w:lineRule="auto"/>
              <w:ind w:left="1200" w:hanging="1200" w:hangingChars="500"/>
              <w:rPr>
                <w:rFonts w:cs="宋体"/>
                <w:sz w:val="24"/>
                <w:u w:val="single"/>
              </w:rPr>
            </w:pPr>
            <w:r>
              <w:rPr>
                <w:rFonts w:hint="eastAsia" w:cs="宋体"/>
                <w:sz w:val="24"/>
              </w:rPr>
              <w:t>项目名称：</w:t>
            </w:r>
            <w:r>
              <w:rPr>
                <w:rFonts w:hint="eastAsia" w:ascii="宋体" w:hAnsi="宋体" w:cs="宋体"/>
                <w:color w:val="000000"/>
                <w:sz w:val="24"/>
                <w:szCs w:val="24"/>
                <w:u w:val="single"/>
              </w:rPr>
              <w:t>道斯WHN130 MC双工位卧式铣镗加工中心维修</w:t>
            </w:r>
          </w:p>
          <w:p>
            <w:pPr>
              <w:spacing w:line="360" w:lineRule="auto"/>
              <w:ind w:left="1200" w:hanging="1200" w:hangingChars="500"/>
              <w:rPr>
                <w:rFonts w:cs="宋体"/>
                <w:sz w:val="24"/>
              </w:rPr>
            </w:pPr>
            <w:r>
              <w:rPr>
                <w:rFonts w:hint="eastAsia" w:cs="宋体"/>
                <w:sz w:val="24"/>
              </w:rPr>
              <w:t>招标人名称：厦工</w:t>
            </w:r>
            <w:r>
              <w:rPr>
                <w:rFonts w:cs="宋体"/>
                <w:sz w:val="24"/>
              </w:rPr>
              <w:t>(三明)重型机器有限公司</w:t>
            </w:r>
          </w:p>
          <w:p>
            <w:pPr>
              <w:spacing w:line="360" w:lineRule="auto"/>
              <w:rPr>
                <w:rFonts w:cs="宋体"/>
                <w:sz w:val="24"/>
              </w:rPr>
            </w:pPr>
            <w:r>
              <w:rPr>
                <w:rFonts w:hint="eastAsia" w:cs="宋体"/>
                <w:sz w:val="24"/>
              </w:rPr>
              <w:t>项目内容：详见“招标项目一览表”</w:t>
            </w:r>
          </w:p>
          <w:p>
            <w:pPr>
              <w:spacing w:line="360" w:lineRule="auto"/>
              <w:rPr>
                <w:rFonts w:cs="宋体"/>
                <w:sz w:val="24"/>
              </w:rPr>
            </w:pPr>
            <w:r>
              <w:rPr>
                <w:rFonts w:hint="eastAsia" w:cs="宋体"/>
                <w:sz w:val="24"/>
              </w:rPr>
              <w:t>招标编号：</w:t>
            </w:r>
            <w:r>
              <w:rPr>
                <w:rFonts w:cs="宋体"/>
                <w:sz w:val="24"/>
                <w:u w:val="single"/>
              </w:rPr>
              <w:t xml:space="preserve">  </w:t>
            </w:r>
            <w:r>
              <w:rPr>
                <w:rFonts w:hint="eastAsia" w:ascii="宋体" w:hAnsi="宋体" w:cs="宋体"/>
                <w:color w:val="000000"/>
                <w:u w:val="single"/>
              </w:rPr>
              <w:t xml:space="preserve">XGSZ-JG-20251023-01   </w:t>
            </w:r>
            <w:r>
              <w:rPr>
                <w:rFonts w:hint="eastAsia"/>
                <w:color w:val="000000"/>
                <w:u w:val="single"/>
              </w:rPr>
              <w:t xml:space="preserve">     </w:t>
            </w:r>
            <w:r>
              <w:rPr>
                <w:rFonts w:cs="宋体"/>
                <w:sz w:val="24"/>
                <w:u w:val="single"/>
              </w:rPr>
              <w:t xml:space="preserve"> </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Ex>
        <w:trPr>
          <w:trHeight w:val="1468" w:hRule="atLeast"/>
          <w:jc w:val="center"/>
        </w:trPr>
        <w:tc>
          <w:tcPr>
            <w:tcW w:w="849" w:type="dxa"/>
            <w:tcBorders>
              <w:top w:val="single" w:color="auto" w:sz="6" w:space="0"/>
              <w:left w:val="thinThickSmallGap" w:color="auto" w:sz="12" w:space="0"/>
              <w:bottom w:val="single" w:color="auto" w:sz="6" w:space="0"/>
              <w:right w:val="single" w:color="auto" w:sz="6" w:space="0"/>
            </w:tcBorders>
            <w:tcMar>
              <w:top w:w="0" w:type="dxa"/>
              <w:left w:w="108" w:type="dxa"/>
              <w:bottom w:w="0" w:type="dxa"/>
              <w:right w:w="108" w:type="dxa"/>
            </w:tcMar>
            <w:vAlign w:val="center"/>
          </w:tcPr>
          <w:p>
            <w:pPr>
              <w:spacing w:line="360" w:lineRule="auto"/>
              <w:jc w:val="center"/>
              <w:rPr>
                <w:rFonts w:cs="宋体"/>
                <w:sz w:val="24"/>
              </w:rPr>
            </w:pPr>
            <w:r>
              <w:rPr>
                <w:rFonts w:hint="eastAsia" w:cs="宋体"/>
                <w:sz w:val="24"/>
              </w:rPr>
              <w:t>2</w:t>
            </w:r>
          </w:p>
        </w:tc>
        <w:tc>
          <w:tcPr>
            <w:tcW w:w="1030"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vAlign w:val="center"/>
          </w:tcPr>
          <w:p>
            <w:pPr>
              <w:spacing w:line="360" w:lineRule="auto"/>
              <w:jc w:val="center"/>
              <w:rPr>
                <w:rFonts w:cs="宋体"/>
                <w:sz w:val="24"/>
              </w:rPr>
            </w:pPr>
          </w:p>
        </w:tc>
        <w:tc>
          <w:tcPr>
            <w:tcW w:w="7081" w:type="dxa"/>
            <w:tcBorders>
              <w:top w:val="single" w:color="auto" w:sz="6" w:space="0"/>
              <w:left w:val="single" w:color="auto" w:sz="6" w:space="0"/>
              <w:bottom w:val="single" w:color="auto" w:sz="6" w:space="0"/>
              <w:right w:val="thickThinSmallGap" w:color="auto" w:sz="12" w:space="0"/>
            </w:tcBorders>
            <w:tcMar>
              <w:top w:w="0" w:type="dxa"/>
              <w:left w:w="108" w:type="dxa"/>
              <w:bottom w:w="0" w:type="dxa"/>
              <w:right w:w="108" w:type="dxa"/>
            </w:tcMar>
            <w:vAlign w:val="center"/>
          </w:tcPr>
          <w:p>
            <w:pPr>
              <w:spacing w:line="360" w:lineRule="auto"/>
              <w:ind w:left="1200" w:hanging="1200" w:hangingChars="500"/>
              <w:rPr>
                <w:rFonts w:cs="宋体"/>
                <w:sz w:val="24"/>
              </w:rPr>
            </w:pPr>
            <w:r>
              <w:rPr>
                <w:rFonts w:hint="eastAsia" w:cs="宋体"/>
                <w:sz w:val="24"/>
              </w:rPr>
              <w:t>招标项目的资金来源和落实情况：</w:t>
            </w:r>
          </w:p>
          <w:p>
            <w:pPr>
              <w:spacing w:line="360" w:lineRule="auto"/>
              <w:ind w:left="1200" w:hanging="1200" w:hangingChars="500"/>
              <w:rPr>
                <w:rFonts w:cs="宋体"/>
                <w:sz w:val="24"/>
              </w:rPr>
            </w:pPr>
            <w:r>
              <w:rPr>
                <w:rFonts w:hint="eastAsia" w:cs="宋体"/>
                <w:sz w:val="24"/>
              </w:rPr>
              <w:t>招标项目资金来源:</w:t>
            </w:r>
            <w:r>
              <w:rPr>
                <w:rFonts w:hint="eastAsia" w:cs="宋体"/>
                <w:sz w:val="24"/>
                <w:u w:val="single"/>
              </w:rPr>
              <w:t>自筹资金</w:t>
            </w:r>
            <w:r>
              <w:rPr>
                <w:rFonts w:hint="eastAsia" w:cs="宋体"/>
                <w:sz w:val="24"/>
              </w:rPr>
              <w:t>，出资比例为</w:t>
            </w:r>
            <w:r>
              <w:rPr>
                <w:rFonts w:hint="eastAsia" w:cs="宋体"/>
                <w:sz w:val="24"/>
                <w:u w:val="single"/>
              </w:rPr>
              <w:t>100%</w:t>
            </w:r>
            <w:r>
              <w:rPr>
                <w:rFonts w:hint="eastAsia" w:cs="宋体"/>
                <w:sz w:val="24"/>
              </w:rPr>
              <w:t>。</w:t>
            </w:r>
          </w:p>
          <w:p>
            <w:pPr>
              <w:spacing w:line="360" w:lineRule="auto"/>
              <w:ind w:left="1200" w:hanging="1200" w:hangingChars="500"/>
              <w:rPr>
                <w:rFonts w:cs="宋体"/>
                <w:sz w:val="24"/>
              </w:rPr>
            </w:pPr>
            <w:r>
              <w:rPr>
                <w:rFonts w:hint="eastAsia" w:cs="宋体"/>
                <w:sz w:val="24"/>
              </w:rPr>
              <w:t>资金落实情况：已落实</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Ex>
        <w:trPr>
          <w:trHeight w:val="983" w:hRule="atLeast"/>
          <w:jc w:val="center"/>
        </w:trPr>
        <w:tc>
          <w:tcPr>
            <w:tcW w:w="849" w:type="dxa"/>
            <w:tcBorders>
              <w:top w:val="single" w:color="auto" w:sz="6" w:space="0"/>
              <w:left w:val="thinThickSmallGap" w:color="auto" w:sz="12" w:space="0"/>
              <w:bottom w:val="single" w:color="auto" w:sz="6" w:space="0"/>
              <w:right w:val="single" w:color="auto" w:sz="6" w:space="0"/>
            </w:tcBorders>
            <w:tcMar>
              <w:top w:w="0" w:type="dxa"/>
              <w:left w:w="108" w:type="dxa"/>
              <w:bottom w:w="0" w:type="dxa"/>
              <w:right w:w="108" w:type="dxa"/>
            </w:tcMar>
            <w:vAlign w:val="center"/>
          </w:tcPr>
          <w:p>
            <w:pPr>
              <w:spacing w:line="360" w:lineRule="auto"/>
              <w:jc w:val="center"/>
              <w:rPr>
                <w:rFonts w:cs="宋体"/>
                <w:sz w:val="24"/>
              </w:rPr>
            </w:pPr>
            <w:r>
              <w:rPr>
                <w:rFonts w:hint="eastAsia" w:cs="宋体"/>
                <w:sz w:val="24"/>
              </w:rPr>
              <w:t>3</w:t>
            </w:r>
          </w:p>
        </w:tc>
        <w:tc>
          <w:tcPr>
            <w:tcW w:w="1030"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vAlign w:val="center"/>
          </w:tcPr>
          <w:p>
            <w:pPr>
              <w:spacing w:line="360" w:lineRule="auto"/>
              <w:jc w:val="center"/>
              <w:rPr>
                <w:rFonts w:cs="宋体"/>
                <w:sz w:val="24"/>
              </w:rPr>
            </w:pPr>
          </w:p>
        </w:tc>
        <w:tc>
          <w:tcPr>
            <w:tcW w:w="7081" w:type="dxa"/>
            <w:tcBorders>
              <w:top w:val="single" w:color="auto" w:sz="6" w:space="0"/>
              <w:left w:val="single" w:color="auto" w:sz="6" w:space="0"/>
              <w:bottom w:val="single" w:color="auto" w:sz="6" w:space="0"/>
              <w:right w:val="thickThinSmallGap" w:color="auto" w:sz="12" w:space="0"/>
            </w:tcBorders>
            <w:tcMar>
              <w:top w:w="0" w:type="dxa"/>
              <w:left w:w="108" w:type="dxa"/>
              <w:bottom w:w="0" w:type="dxa"/>
              <w:right w:w="108" w:type="dxa"/>
            </w:tcMar>
            <w:vAlign w:val="center"/>
          </w:tcPr>
          <w:p>
            <w:pPr>
              <w:spacing w:line="360" w:lineRule="auto"/>
              <w:ind w:left="1200" w:hanging="1200" w:hangingChars="500"/>
              <w:rPr>
                <w:rFonts w:cs="宋体"/>
                <w:sz w:val="24"/>
              </w:rPr>
            </w:pPr>
            <w:r>
              <w:rPr>
                <w:rFonts w:hint="eastAsia" w:cs="宋体"/>
                <w:sz w:val="24"/>
              </w:rPr>
              <w:t>投标报价超过最高限价，其投标无效。</w:t>
            </w:r>
          </w:p>
          <w:p>
            <w:pPr>
              <w:spacing w:line="360" w:lineRule="auto"/>
              <w:ind w:left="1200" w:hanging="1200" w:hangingChars="500"/>
              <w:rPr>
                <w:rFonts w:cs="宋体"/>
                <w:sz w:val="24"/>
              </w:rPr>
            </w:pPr>
            <w:r>
              <w:rPr>
                <w:rFonts w:hint="eastAsia" w:cs="宋体"/>
                <w:sz w:val="24"/>
              </w:rPr>
              <w:sym w:font="Wingdings 2" w:char="0052"/>
            </w:r>
            <w:r>
              <w:rPr>
                <w:rFonts w:hint="eastAsia" w:cs="宋体"/>
                <w:sz w:val="24"/>
              </w:rPr>
              <w:t>本合同包的采购预算：</w:t>
            </w:r>
            <w:r>
              <w:rPr>
                <w:rFonts w:hint="eastAsia" w:cs="宋体"/>
                <w:sz w:val="24"/>
                <w:szCs w:val="24"/>
              </w:rPr>
              <w:t>详见“第四章 招标内容及要求”</w:t>
            </w:r>
            <w:r>
              <w:rPr>
                <w:rFonts w:hint="eastAsia" w:cs="宋体"/>
                <w:sz w:val="24"/>
              </w:rPr>
              <w:t>；</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99" w:hRule="atLeast"/>
          <w:jc w:val="center"/>
        </w:trPr>
        <w:tc>
          <w:tcPr>
            <w:tcW w:w="849" w:type="dxa"/>
            <w:tcBorders>
              <w:top w:val="single" w:color="auto" w:sz="6" w:space="0"/>
              <w:left w:val="thinThickSmallGap" w:color="auto" w:sz="12" w:space="0"/>
              <w:bottom w:val="single" w:color="auto" w:sz="6" w:space="0"/>
              <w:right w:val="single" w:color="auto" w:sz="6" w:space="0"/>
            </w:tcBorders>
            <w:tcMar>
              <w:top w:w="0" w:type="dxa"/>
              <w:left w:w="108" w:type="dxa"/>
              <w:bottom w:w="0" w:type="dxa"/>
              <w:right w:w="108" w:type="dxa"/>
            </w:tcMar>
            <w:vAlign w:val="center"/>
          </w:tcPr>
          <w:p>
            <w:pPr>
              <w:spacing w:line="360" w:lineRule="auto"/>
              <w:jc w:val="center"/>
              <w:rPr>
                <w:rFonts w:cs="宋体"/>
                <w:sz w:val="24"/>
              </w:rPr>
            </w:pPr>
            <w:r>
              <w:rPr>
                <w:rFonts w:hint="eastAsia" w:cs="宋体"/>
                <w:sz w:val="24"/>
              </w:rPr>
              <w:t>4</w:t>
            </w:r>
          </w:p>
        </w:tc>
        <w:tc>
          <w:tcPr>
            <w:tcW w:w="1030"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vAlign w:val="center"/>
          </w:tcPr>
          <w:p>
            <w:pPr>
              <w:spacing w:line="360" w:lineRule="auto"/>
              <w:jc w:val="center"/>
              <w:rPr>
                <w:rFonts w:cs="宋体"/>
                <w:sz w:val="24"/>
              </w:rPr>
            </w:pPr>
            <w:r>
              <w:rPr>
                <w:rFonts w:hint="eastAsia" w:cs="宋体"/>
                <w:sz w:val="24"/>
              </w:rPr>
              <w:t>3</w:t>
            </w:r>
          </w:p>
        </w:tc>
        <w:tc>
          <w:tcPr>
            <w:tcW w:w="7081" w:type="dxa"/>
            <w:tcBorders>
              <w:top w:val="single" w:color="auto" w:sz="6" w:space="0"/>
              <w:left w:val="single" w:color="auto" w:sz="6" w:space="0"/>
              <w:bottom w:val="single" w:color="auto" w:sz="6" w:space="0"/>
              <w:right w:val="thickThinSmallGap" w:color="auto" w:sz="12" w:space="0"/>
            </w:tcBorders>
            <w:tcMar>
              <w:top w:w="0" w:type="dxa"/>
              <w:left w:w="108" w:type="dxa"/>
              <w:bottom w:w="0" w:type="dxa"/>
              <w:right w:w="108" w:type="dxa"/>
            </w:tcMar>
            <w:vAlign w:val="center"/>
          </w:tcPr>
          <w:p>
            <w:pPr>
              <w:spacing w:line="360" w:lineRule="auto"/>
              <w:rPr>
                <w:rFonts w:cs="宋体"/>
                <w:sz w:val="24"/>
              </w:rPr>
            </w:pPr>
            <w:r>
              <w:rPr>
                <w:rFonts w:hint="eastAsia" w:cs="宋体"/>
                <w:sz w:val="24"/>
              </w:rPr>
              <w:t>资格标准：详见《第三章  评标办法》的“附表1：资格审查表”</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Ex>
        <w:trPr>
          <w:trHeight w:val="983" w:hRule="atLeast"/>
          <w:jc w:val="center"/>
        </w:trPr>
        <w:tc>
          <w:tcPr>
            <w:tcW w:w="849" w:type="dxa"/>
            <w:tcBorders>
              <w:top w:val="single" w:color="auto" w:sz="6" w:space="0"/>
              <w:left w:val="thinThickSmallGap" w:color="auto" w:sz="12" w:space="0"/>
              <w:bottom w:val="single" w:color="auto" w:sz="6" w:space="0"/>
              <w:right w:val="single" w:color="auto" w:sz="6" w:space="0"/>
            </w:tcBorders>
            <w:tcMar>
              <w:top w:w="0" w:type="dxa"/>
              <w:left w:w="108" w:type="dxa"/>
              <w:bottom w:w="0" w:type="dxa"/>
              <w:right w:w="108" w:type="dxa"/>
            </w:tcMar>
            <w:vAlign w:val="center"/>
          </w:tcPr>
          <w:p>
            <w:pPr>
              <w:spacing w:line="360" w:lineRule="auto"/>
              <w:jc w:val="center"/>
              <w:rPr>
                <w:rFonts w:cs="宋体"/>
                <w:sz w:val="24"/>
              </w:rPr>
            </w:pPr>
            <w:r>
              <w:rPr>
                <w:rFonts w:hint="eastAsia" w:cs="宋体"/>
                <w:sz w:val="24"/>
              </w:rPr>
              <w:t>5</w:t>
            </w:r>
          </w:p>
        </w:tc>
        <w:tc>
          <w:tcPr>
            <w:tcW w:w="1030"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vAlign w:val="center"/>
          </w:tcPr>
          <w:p>
            <w:pPr>
              <w:spacing w:line="360" w:lineRule="auto"/>
              <w:jc w:val="center"/>
              <w:rPr>
                <w:rFonts w:cs="宋体"/>
                <w:sz w:val="24"/>
              </w:rPr>
            </w:pPr>
            <w:r>
              <w:rPr>
                <w:rFonts w:hint="eastAsia" w:cs="宋体"/>
                <w:sz w:val="24"/>
              </w:rPr>
              <w:t>8.3</w:t>
            </w:r>
          </w:p>
        </w:tc>
        <w:tc>
          <w:tcPr>
            <w:tcW w:w="7081" w:type="dxa"/>
            <w:tcBorders>
              <w:top w:val="single" w:color="auto" w:sz="6" w:space="0"/>
              <w:left w:val="single" w:color="auto" w:sz="6" w:space="0"/>
              <w:bottom w:val="single" w:color="auto" w:sz="6" w:space="0"/>
              <w:right w:val="thickThinSmallGap" w:color="auto" w:sz="12" w:space="0"/>
            </w:tcBorders>
            <w:tcMar>
              <w:top w:w="0" w:type="dxa"/>
              <w:left w:w="108" w:type="dxa"/>
              <w:bottom w:w="0" w:type="dxa"/>
              <w:right w:w="108" w:type="dxa"/>
            </w:tcMar>
            <w:vAlign w:val="center"/>
          </w:tcPr>
          <w:p>
            <w:pPr>
              <w:spacing w:line="360" w:lineRule="auto"/>
              <w:ind w:left="1200" w:hanging="1200" w:hangingChars="500"/>
              <w:rPr>
                <w:rFonts w:cs="宋体"/>
                <w:sz w:val="24"/>
              </w:rPr>
            </w:pPr>
            <w:r>
              <w:rPr>
                <w:rFonts w:hint="eastAsia" w:cs="宋体"/>
                <w:sz w:val="24"/>
              </w:rPr>
              <w:t>是否允许中标人将本项目的非主体、非关键性工作进行分包：</w:t>
            </w:r>
          </w:p>
          <w:p>
            <w:pPr>
              <w:spacing w:line="360" w:lineRule="auto"/>
              <w:ind w:left="1205" w:hanging="1205" w:hangingChars="500"/>
              <w:rPr>
                <w:rFonts w:cs="宋体"/>
                <w:sz w:val="24"/>
              </w:rPr>
            </w:pPr>
            <w:r>
              <w:rPr>
                <w:rFonts w:hint="eastAsia" w:cs="宋体"/>
                <w:b/>
                <w:bCs/>
                <w:sz w:val="24"/>
                <w:u w:val="single"/>
              </w:rPr>
              <w:t>不允许</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Ex>
        <w:trPr>
          <w:trHeight w:val="1468" w:hRule="atLeast"/>
          <w:jc w:val="center"/>
        </w:trPr>
        <w:tc>
          <w:tcPr>
            <w:tcW w:w="849" w:type="dxa"/>
            <w:tcBorders>
              <w:top w:val="single" w:color="auto" w:sz="6" w:space="0"/>
              <w:left w:val="thinThickSmallGap" w:color="auto" w:sz="12" w:space="0"/>
              <w:bottom w:val="single" w:color="auto" w:sz="6" w:space="0"/>
              <w:right w:val="single" w:color="auto" w:sz="6" w:space="0"/>
            </w:tcBorders>
            <w:tcMar>
              <w:top w:w="0" w:type="dxa"/>
              <w:left w:w="108" w:type="dxa"/>
              <w:bottom w:w="0" w:type="dxa"/>
              <w:right w:w="108" w:type="dxa"/>
            </w:tcMar>
            <w:vAlign w:val="center"/>
          </w:tcPr>
          <w:p>
            <w:pPr>
              <w:widowControl/>
              <w:jc w:val="left"/>
            </w:pPr>
          </w:p>
          <w:p>
            <w:pPr>
              <w:spacing w:line="360" w:lineRule="auto"/>
              <w:jc w:val="center"/>
              <w:rPr>
                <w:rFonts w:cs="宋体"/>
                <w:sz w:val="24"/>
              </w:rPr>
            </w:pPr>
            <w:r>
              <w:rPr>
                <w:rFonts w:hint="eastAsia" w:cs="宋体"/>
                <w:sz w:val="24"/>
              </w:rPr>
              <w:t>6</w:t>
            </w:r>
          </w:p>
        </w:tc>
        <w:tc>
          <w:tcPr>
            <w:tcW w:w="1030"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vAlign w:val="center"/>
          </w:tcPr>
          <w:p>
            <w:pPr>
              <w:spacing w:line="360" w:lineRule="auto"/>
              <w:jc w:val="center"/>
              <w:rPr>
                <w:rFonts w:cs="宋体"/>
                <w:sz w:val="24"/>
              </w:rPr>
            </w:pPr>
            <w:r>
              <w:rPr>
                <w:rFonts w:hint="eastAsia" w:cs="宋体"/>
                <w:sz w:val="24"/>
              </w:rPr>
              <w:t>11.1</w:t>
            </w:r>
          </w:p>
        </w:tc>
        <w:tc>
          <w:tcPr>
            <w:tcW w:w="7081" w:type="dxa"/>
            <w:tcBorders>
              <w:top w:val="single" w:color="auto" w:sz="6" w:space="0"/>
              <w:left w:val="single" w:color="auto" w:sz="6" w:space="0"/>
              <w:bottom w:val="single" w:color="auto" w:sz="6" w:space="0"/>
              <w:right w:val="thickThinSmallGap" w:color="auto" w:sz="12" w:space="0"/>
            </w:tcBorders>
            <w:tcMar>
              <w:top w:w="0" w:type="dxa"/>
              <w:left w:w="108" w:type="dxa"/>
              <w:bottom w:w="0" w:type="dxa"/>
              <w:right w:w="108" w:type="dxa"/>
            </w:tcMar>
            <w:vAlign w:val="center"/>
          </w:tcPr>
          <w:p>
            <w:pPr>
              <w:spacing w:line="360" w:lineRule="auto"/>
              <w:rPr>
                <w:rFonts w:cs="宋体"/>
                <w:sz w:val="24"/>
              </w:rPr>
            </w:pPr>
            <w:r>
              <w:rPr>
                <w:rFonts w:hint="eastAsia" w:cs="宋体"/>
                <w:sz w:val="24"/>
              </w:rPr>
              <w:t xml:space="preserve">投标有效期：投标截止之日后 </w:t>
            </w:r>
            <w:r>
              <w:rPr>
                <w:rFonts w:hint="eastAsia" w:cs="宋体"/>
                <w:sz w:val="24"/>
                <w:u w:val="single"/>
              </w:rPr>
              <w:t>90个日历日</w:t>
            </w:r>
            <w:r>
              <w:rPr>
                <w:rFonts w:hint="eastAsia" w:cs="宋体"/>
                <w:sz w:val="24"/>
              </w:rPr>
              <w:t xml:space="preserve">内保持有效。投标有效期不足的，将导致其投标无效。投标有效期内投标人撤销投标文件的，投标保证金不予退还。         </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375" w:hRule="atLeast"/>
          <w:jc w:val="center"/>
        </w:trPr>
        <w:tc>
          <w:tcPr>
            <w:tcW w:w="849" w:type="dxa"/>
            <w:tcBorders>
              <w:top w:val="single" w:color="auto" w:sz="6" w:space="0"/>
              <w:left w:val="thinThickSmallGap" w:color="auto" w:sz="12" w:space="0"/>
              <w:bottom w:val="single" w:color="auto" w:sz="6" w:space="0"/>
              <w:right w:val="single" w:color="auto" w:sz="6" w:space="0"/>
            </w:tcBorders>
            <w:tcMar>
              <w:top w:w="0" w:type="dxa"/>
              <w:left w:w="108" w:type="dxa"/>
              <w:bottom w:w="0" w:type="dxa"/>
              <w:right w:w="108" w:type="dxa"/>
            </w:tcMar>
            <w:vAlign w:val="center"/>
          </w:tcPr>
          <w:p>
            <w:pPr>
              <w:spacing w:line="360" w:lineRule="auto"/>
              <w:jc w:val="center"/>
              <w:rPr>
                <w:rFonts w:cs="宋体"/>
                <w:sz w:val="24"/>
              </w:rPr>
            </w:pPr>
            <w:r>
              <w:rPr>
                <w:rFonts w:hint="eastAsia" w:cs="宋体"/>
                <w:sz w:val="24"/>
              </w:rPr>
              <w:t>7</w:t>
            </w:r>
          </w:p>
        </w:tc>
        <w:tc>
          <w:tcPr>
            <w:tcW w:w="1030"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vAlign w:val="center"/>
          </w:tcPr>
          <w:p>
            <w:pPr>
              <w:spacing w:line="360" w:lineRule="auto"/>
              <w:jc w:val="center"/>
              <w:rPr>
                <w:rFonts w:cs="宋体"/>
                <w:sz w:val="24"/>
              </w:rPr>
            </w:pPr>
            <w:r>
              <w:rPr>
                <w:rFonts w:hint="eastAsia" w:cs="宋体"/>
                <w:sz w:val="24"/>
              </w:rPr>
              <w:t>12.1</w:t>
            </w:r>
          </w:p>
        </w:tc>
        <w:tc>
          <w:tcPr>
            <w:tcW w:w="7081" w:type="dxa"/>
            <w:tcBorders>
              <w:top w:val="single" w:color="auto" w:sz="6" w:space="0"/>
              <w:left w:val="single" w:color="auto" w:sz="6" w:space="0"/>
              <w:bottom w:val="single" w:color="auto" w:sz="6" w:space="0"/>
              <w:right w:val="thickThinSmallGap" w:color="auto" w:sz="12" w:space="0"/>
            </w:tcBorders>
            <w:tcMar>
              <w:top w:w="0" w:type="dxa"/>
              <w:left w:w="108" w:type="dxa"/>
              <w:bottom w:w="0" w:type="dxa"/>
              <w:right w:w="108" w:type="dxa"/>
            </w:tcMar>
            <w:vAlign w:val="center"/>
          </w:tcPr>
          <w:p>
            <w:pPr>
              <w:spacing w:line="360" w:lineRule="auto"/>
              <w:rPr>
                <w:rFonts w:cs="宋体"/>
              </w:rPr>
            </w:pPr>
            <w:r>
              <w:rPr>
                <w:rFonts w:hint="eastAsia" w:cs="宋体"/>
                <w:sz w:val="24"/>
                <w:szCs w:val="24"/>
              </w:rPr>
              <w:t>1、投标保证金金额：人民币5</w:t>
            </w:r>
            <w:r>
              <w:rPr>
                <w:rFonts w:hint="eastAsia" w:cs="宋体"/>
                <w:color w:val="000000" w:themeColor="text1"/>
                <w:sz w:val="24"/>
                <w:szCs w:val="24"/>
                <w14:textFill>
                  <w14:solidFill>
                    <w14:schemeClr w14:val="tx1"/>
                  </w14:solidFill>
                </w14:textFill>
              </w:rPr>
              <w:t>万</w:t>
            </w:r>
            <w:r>
              <w:rPr>
                <w:rFonts w:hint="eastAsia" w:cs="宋体"/>
                <w:sz w:val="24"/>
                <w:szCs w:val="24"/>
              </w:rPr>
              <w:t>元整。</w:t>
            </w:r>
          </w:p>
          <w:p>
            <w:pPr>
              <w:spacing w:line="360" w:lineRule="auto"/>
              <w:rPr>
                <w:rFonts w:cs="宋体"/>
                <w:sz w:val="24"/>
                <w:szCs w:val="24"/>
              </w:rPr>
            </w:pPr>
            <w:r>
              <w:rPr>
                <w:rFonts w:hint="eastAsia" w:cs="宋体"/>
                <w:sz w:val="24"/>
                <w:szCs w:val="24"/>
              </w:rPr>
              <w:t>2、投标保证金形式：投标人所在地银行的投标人企业基本账户以电汇或银行转账的形式。</w:t>
            </w:r>
          </w:p>
          <w:p>
            <w:pPr>
              <w:spacing w:line="360" w:lineRule="auto"/>
              <w:rPr>
                <w:rFonts w:cs="宋体"/>
                <w:b/>
                <w:bCs/>
                <w:sz w:val="24"/>
                <w:szCs w:val="24"/>
              </w:rPr>
            </w:pPr>
            <w:r>
              <w:rPr>
                <w:rFonts w:hint="eastAsia" w:cs="宋体"/>
                <w:sz w:val="24"/>
                <w:szCs w:val="24"/>
              </w:rPr>
              <w:t>3、投标保证金的递交截止时间为：投标截止时间之前转到招标文件指定账户（可提前）。投标保证金的递交截止时间之后到账的投标保证金无效，视为该投标人未提交投标保证金。</w:t>
            </w:r>
          </w:p>
          <w:p>
            <w:pPr>
              <w:spacing w:line="360" w:lineRule="auto"/>
              <w:rPr>
                <w:rFonts w:cs="宋体"/>
                <w:sz w:val="24"/>
                <w:szCs w:val="24"/>
              </w:rPr>
            </w:pPr>
            <w:r>
              <w:rPr>
                <w:rFonts w:hint="eastAsia" w:cs="宋体"/>
                <w:sz w:val="24"/>
                <w:szCs w:val="24"/>
              </w:rPr>
              <w:t>4、投标保证金证明材料提交形式：将电汇、银行转账单凭证的复印件作为资格文件的组成部分。</w:t>
            </w:r>
          </w:p>
          <w:p>
            <w:pPr>
              <w:spacing w:line="360" w:lineRule="auto"/>
              <w:rPr>
                <w:rFonts w:cs="宋体"/>
                <w:sz w:val="24"/>
                <w:szCs w:val="24"/>
              </w:rPr>
            </w:pPr>
            <w:r>
              <w:rPr>
                <w:rFonts w:hint="eastAsia" w:cs="宋体"/>
                <w:sz w:val="24"/>
                <w:szCs w:val="24"/>
              </w:rPr>
              <w:t>5、投标保证金有效期：与投标有效期一致。</w:t>
            </w:r>
          </w:p>
          <w:p>
            <w:pPr>
              <w:spacing w:line="360" w:lineRule="auto"/>
              <w:rPr>
                <w:rFonts w:cs="宋体"/>
                <w:sz w:val="24"/>
                <w:szCs w:val="24"/>
              </w:rPr>
            </w:pPr>
            <w:r>
              <w:rPr>
                <w:rFonts w:hint="eastAsia" w:cs="宋体"/>
                <w:sz w:val="24"/>
                <w:szCs w:val="24"/>
              </w:rPr>
              <w:t>6、投标保证金金额为“0”的，视为不</w:t>
            </w:r>
            <w:r>
              <w:rPr>
                <w:rFonts w:hint="eastAsia" w:cs="宋体"/>
                <w:color w:val="FF0000"/>
                <w:sz w:val="24"/>
                <w:szCs w:val="24"/>
              </w:rPr>
              <w:t>按</w:t>
            </w:r>
            <w:r>
              <w:rPr>
                <w:rFonts w:hint="eastAsia" w:cs="宋体"/>
                <w:sz w:val="24"/>
                <w:szCs w:val="24"/>
              </w:rPr>
              <w:t>要求提交投标保证金。</w:t>
            </w:r>
          </w:p>
          <w:p>
            <w:pPr>
              <w:spacing w:line="360" w:lineRule="auto"/>
              <w:rPr>
                <w:rFonts w:cs="宋体"/>
                <w:sz w:val="24"/>
                <w:szCs w:val="24"/>
              </w:rPr>
            </w:pPr>
            <w:r>
              <w:rPr>
                <w:rFonts w:hint="eastAsia" w:cs="宋体"/>
                <w:sz w:val="24"/>
                <w:szCs w:val="24"/>
              </w:rPr>
              <w:t>7、可以不予退还投标保证金的情形：（1）除不可抗力外，投标人在投标截止时间后至投标有效期截止前撤销、撤回或修改其投标文件的；（2）中标通知书发出后，中标人放弃中标项目的，无正当理由不与招标人签订合同的，或在签订合同同时向招标人提出附加条件或者更改合同实质性内容的，或在招标文件规定的期限内据不提交所要求的履约保证金的。（3）投标人提交了虚假材料或伪造材料的。（4）法律法规规定的可以没收投标保证金的情形，或者存在违反相关法律、法规的情形。（5）被相关主管部门认定为可没收投标保证金的情形。（6）招标文件规定的没收投标保证金的情形。</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437" w:hRule="atLeast"/>
          <w:jc w:val="center"/>
        </w:trPr>
        <w:tc>
          <w:tcPr>
            <w:tcW w:w="849" w:type="dxa"/>
            <w:tcBorders>
              <w:top w:val="single" w:color="auto" w:sz="6" w:space="0"/>
              <w:left w:val="thinThickSmallGap" w:color="auto" w:sz="12" w:space="0"/>
              <w:bottom w:val="single" w:color="auto" w:sz="6" w:space="0"/>
              <w:right w:val="single" w:color="auto" w:sz="6" w:space="0"/>
            </w:tcBorders>
            <w:tcMar>
              <w:top w:w="0" w:type="dxa"/>
              <w:left w:w="108" w:type="dxa"/>
              <w:bottom w:w="0" w:type="dxa"/>
              <w:right w:w="108" w:type="dxa"/>
            </w:tcMar>
            <w:vAlign w:val="center"/>
          </w:tcPr>
          <w:p>
            <w:pPr>
              <w:spacing w:line="360" w:lineRule="auto"/>
              <w:jc w:val="center"/>
              <w:rPr>
                <w:rFonts w:cs="宋体"/>
                <w:sz w:val="24"/>
              </w:rPr>
            </w:pPr>
            <w:r>
              <w:rPr>
                <w:rFonts w:hint="eastAsia" w:cs="宋体"/>
                <w:sz w:val="24"/>
              </w:rPr>
              <w:t>8</w:t>
            </w:r>
          </w:p>
        </w:tc>
        <w:tc>
          <w:tcPr>
            <w:tcW w:w="1030"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vAlign w:val="center"/>
          </w:tcPr>
          <w:p>
            <w:pPr>
              <w:spacing w:line="360" w:lineRule="auto"/>
              <w:jc w:val="center"/>
              <w:rPr>
                <w:rFonts w:cs="宋体"/>
                <w:sz w:val="24"/>
              </w:rPr>
            </w:pPr>
          </w:p>
        </w:tc>
        <w:tc>
          <w:tcPr>
            <w:tcW w:w="7081" w:type="dxa"/>
            <w:tcBorders>
              <w:top w:val="single" w:color="auto" w:sz="6" w:space="0"/>
              <w:left w:val="single" w:color="auto" w:sz="6" w:space="0"/>
              <w:bottom w:val="single" w:color="auto" w:sz="6" w:space="0"/>
              <w:right w:val="thickThinSmallGap" w:color="auto" w:sz="12" w:space="0"/>
            </w:tcBorders>
            <w:tcMar>
              <w:top w:w="0" w:type="dxa"/>
              <w:left w:w="108" w:type="dxa"/>
              <w:bottom w:w="0" w:type="dxa"/>
              <w:right w:w="108" w:type="dxa"/>
            </w:tcMar>
            <w:vAlign w:val="center"/>
          </w:tcPr>
          <w:p>
            <w:pPr>
              <w:spacing w:line="360" w:lineRule="auto"/>
              <w:rPr>
                <w:rFonts w:cs="宋体"/>
                <w:sz w:val="24"/>
                <w:szCs w:val="24"/>
              </w:rPr>
            </w:pPr>
            <w:r>
              <w:rPr>
                <w:rFonts w:hint="eastAsia" w:cs="宋体"/>
                <w:sz w:val="24"/>
                <w:szCs w:val="24"/>
              </w:rPr>
              <w:t>递交疑问或异议的方式：</w:t>
            </w:r>
          </w:p>
          <w:p>
            <w:pPr>
              <w:spacing w:line="360" w:lineRule="auto"/>
              <w:rPr>
                <w:rFonts w:cs="宋体"/>
                <w:sz w:val="24"/>
                <w:szCs w:val="24"/>
              </w:rPr>
            </w:pPr>
            <w:r>
              <w:rPr>
                <w:rFonts w:hint="eastAsia" w:cs="宋体"/>
                <w:sz w:val="24"/>
                <w:szCs w:val="24"/>
                <w:u w:val="single"/>
              </w:rPr>
              <w:t>①</w:t>
            </w:r>
            <w:r>
              <w:rPr>
                <w:rFonts w:hint="eastAsia" w:cs="宋体"/>
                <w:sz w:val="24"/>
                <w:szCs w:val="24"/>
              </w:rPr>
              <w:t>提出异议的时间：投标截止时间十日之前</w:t>
            </w:r>
          </w:p>
          <w:p>
            <w:pPr>
              <w:spacing w:line="360" w:lineRule="auto"/>
              <w:rPr>
                <w:rFonts w:cs="宋体"/>
                <w:sz w:val="24"/>
                <w:szCs w:val="24"/>
              </w:rPr>
            </w:pPr>
            <w:r>
              <w:rPr>
                <w:rFonts w:hint="eastAsia" w:cs="宋体"/>
                <w:sz w:val="24"/>
                <w:szCs w:val="24"/>
                <w:u w:val="single"/>
              </w:rPr>
              <w:t>②</w:t>
            </w:r>
            <w:r>
              <w:rPr>
                <w:rFonts w:hint="eastAsia" w:cs="宋体"/>
                <w:sz w:val="24"/>
                <w:szCs w:val="24"/>
              </w:rPr>
              <w:t>异议递交形式：将加盖投标人公章的疑问或质疑异议函扫描件，以邮件形式发送至</w:t>
            </w:r>
            <w:r>
              <w:rPr>
                <w:rFonts w:cs="宋体"/>
                <w:sz w:val="24"/>
              </w:rPr>
              <w:t>XGSZZB@163.com</w:t>
            </w:r>
            <w:r>
              <w:rPr>
                <w:rFonts w:hint="eastAsia" w:cs="宋体"/>
                <w:sz w:val="24"/>
                <w:szCs w:val="24"/>
              </w:rPr>
              <w:t>。注：疑问或质异议递交后，请电话联系项目经办人，以确认函件及相关资料是否送达。</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99" w:hRule="atLeast"/>
          <w:jc w:val="center"/>
        </w:trPr>
        <w:tc>
          <w:tcPr>
            <w:tcW w:w="849" w:type="dxa"/>
            <w:tcBorders>
              <w:top w:val="single" w:color="auto" w:sz="6" w:space="0"/>
              <w:left w:val="thinThickSmallGap" w:color="auto" w:sz="12" w:space="0"/>
              <w:bottom w:val="single" w:color="auto" w:sz="6" w:space="0"/>
              <w:right w:val="single" w:color="auto" w:sz="6" w:space="0"/>
            </w:tcBorders>
            <w:tcMar>
              <w:top w:w="0" w:type="dxa"/>
              <w:left w:w="108" w:type="dxa"/>
              <w:bottom w:w="0" w:type="dxa"/>
              <w:right w:w="108" w:type="dxa"/>
            </w:tcMar>
            <w:vAlign w:val="center"/>
          </w:tcPr>
          <w:p>
            <w:pPr>
              <w:spacing w:line="360" w:lineRule="auto"/>
              <w:jc w:val="center"/>
              <w:rPr>
                <w:rFonts w:cs="宋体"/>
                <w:sz w:val="24"/>
              </w:rPr>
            </w:pPr>
            <w:r>
              <w:rPr>
                <w:rFonts w:hint="eastAsia" w:cs="宋体"/>
                <w:sz w:val="24"/>
              </w:rPr>
              <w:t>9</w:t>
            </w:r>
          </w:p>
        </w:tc>
        <w:tc>
          <w:tcPr>
            <w:tcW w:w="1030"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vAlign w:val="center"/>
          </w:tcPr>
          <w:p>
            <w:pPr>
              <w:spacing w:line="360" w:lineRule="auto"/>
              <w:jc w:val="center"/>
              <w:rPr>
                <w:rFonts w:cs="宋体"/>
                <w:sz w:val="24"/>
              </w:rPr>
            </w:pPr>
          </w:p>
        </w:tc>
        <w:tc>
          <w:tcPr>
            <w:tcW w:w="7081" w:type="dxa"/>
            <w:tcBorders>
              <w:top w:val="single" w:color="auto" w:sz="6" w:space="0"/>
              <w:left w:val="single" w:color="auto" w:sz="6" w:space="0"/>
              <w:bottom w:val="single" w:color="auto" w:sz="6" w:space="0"/>
              <w:right w:val="thickThinSmallGap" w:color="auto" w:sz="12" w:space="0"/>
            </w:tcBorders>
            <w:tcMar>
              <w:top w:w="0" w:type="dxa"/>
              <w:left w:w="108" w:type="dxa"/>
              <w:bottom w:w="0" w:type="dxa"/>
              <w:right w:w="108" w:type="dxa"/>
            </w:tcMar>
          </w:tcPr>
          <w:p>
            <w:pPr>
              <w:spacing w:line="360" w:lineRule="auto"/>
              <w:rPr>
                <w:rFonts w:cs="宋体"/>
                <w:sz w:val="24"/>
              </w:rPr>
            </w:pPr>
            <w:r>
              <w:rPr>
                <w:rFonts w:hint="eastAsia" w:cs="宋体"/>
                <w:sz w:val="24"/>
              </w:rPr>
              <w:t>评标方法、标准及定标原则：详见“第三章  评标办法”。</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Ex>
        <w:trPr>
          <w:trHeight w:val="983" w:hRule="atLeast"/>
          <w:jc w:val="center"/>
        </w:trPr>
        <w:tc>
          <w:tcPr>
            <w:tcW w:w="849" w:type="dxa"/>
            <w:tcBorders>
              <w:top w:val="single" w:color="auto" w:sz="6" w:space="0"/>
              <w:left w:val="thinThickSmallGap" w:color="auto" w:sz="12" w:space="0"/>
              <w:bottom w:val="single" w:color="auto" w:sz="6" w:space="0"/>
              <w:right w:val="single" w:color="auto" w:sz="6" w:space="0"/>
            </w:tcBorders>
            <w:tcMar>
              <w:top w:w="0" w:type="dxa"/>
              <w:left w:w="108" w:type="dxa"/>
              <w:bottom w:w="0" w:type="dxa"/>
              <w:right w:w="108" w:type="dxa"/>
            </w:tcMar>
            <w:vAlign w:val="center"/>
          </w:tcPr>
          <w:p>
            <w:pPr>
              <w:spacing w:line="360" w:lineRule="auto"/>
              <w:jc w:val="center"/>
              <w:rPr>
                <w:rFonts w:cs="宋体"/>
                <w:sz w:val="24"/>
              </w:rPr>
            </w:pPr>
            <w:r>
              <w:rPr>
                <w:rFonts w:hint="eastAsia" w:cs="宋体"/>
                <w:sz w:val="24"/>
              </w:rPr>
              <w:t>1</w:t>
            </w:r>
            <w:r>
              <w:rPr>
                <w:rFonts w:cs="宋体"/>
                <w:sz w:val="24"/>
              </w:rPr>
              <w:t>0</w:t>
            </w:r>
          </w:p>
        </w:tc>
        <w:tc>
          <w:tcPr>
            <w:tcW w:w="1030"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vAlign w:val="center"/>
          </w:tcPr>
          <w:p>
            <w:pPr>
              <w:spacing w:line="360" w:lineRule="auto"/>
              <w:jc w:val="center"/>
              <w:rPr>
                <w:rFonts w:cs="宋体"/>
                <w:sz w:val="24"/>
              </w:rPr>
            </w:pPr>
          </w:p>
        </w:tc>
        <w:tc>
          <w:tcPr>
            <w:tcW w:w="7081" w:type="dxa"/>
            <w:tcBorders>
              <w:top w:val="single" w:color="auto" w:sz="6" w:space="0"/>
              <w:left w:val="single" w:color="auto" w:sz="6" w:space="0"/>
              <w:bottom w:val="single" w:color="auto" w:sz="6" w:space="0"/>
              <w:right w:val="thickThinSmallGap" w:color="auto" w:sz="12" w:space="0"/>
            </w:tcBorders>
            <w:tcMar>
              <w:top w:w="0" w:type="dxa"/>
              <w:left w:w="108" w:type="dxa"/>
              <w:bottom w:w="0" w:type="dxa"/>
              <w:right w:w="108" w:type="dxa"/>
            </w:tcMar>
            <w:vAlign w:val="center"/>
          </w:tcPr>
          <w:p>
            <w:pPr>
              <w:spacing w:line="360" w:lineRule="auto"/>
              <w:rPr>
                <w:rFonts w:cs="宋体"/>
                <w:sz w:val="24"/>
                <w:szCs w:val="24"/>
              </w:rPr>
            </w:pPr>
            <w:r>
              <w:rPr>
                <w:rFonts w:hint="eastAsia" w:cs="宋体"/>
                <w:sz w:val="24"/>
                <w:szCs w:val="24"/>
              </w:rPr>
              <w:t>投标方在投标前，应仔细研究招标方提供的有关技术资料，如有必要可到现场实地查看工程现场，充分估计工程量。</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407" w:hRule="atLeast"/>
          <w:jc w:val="center"/>
        </w:trPr>
        <w:tc>
          <w:tcPr>
            <w:tcW w:w="849" w:type="dxa"/>
            <w:tcBorders>
              <w:top w:val="single" w:color="auto" w:sz="6" w:space="0"/>
              <w:left w:val="thinThickSmallGap" w:color="auto" w:sz="12" w:space="0"/>
              <w:bottom w:val="thickThinSmallGap" w:color="auto" w:sz="12" w:space="0"/>
              <w:right w:val="single" w:color="auto" w:sz="6" w:space="0"/>
            </w:tcBorders>
            <w:tcMar>
              <w:top w:w="0" w:type="dxa"/>
              <w:left w:w="108" w:type="dxa"/>
              <w:bottom w:w="0" w:type="dxa"/>
              <w:right w:w="108" w:type="dxa"/>
            </w:tcMar>
            <w:vAlign w:val="center"/>
          </w:tcPr>
          <w:p>
            <w:pPr>
              <w:spacing w:line="360" w:lineRule="auto"/>
              <w:jc w:val="center"/>
              <w:rPr>
                <w:rFonts w:cs="宋体"/>
                <w:sz w:val="24"/>
              </w:rPr>
            </w:pPr>
            <w:r>
              <w:rPr>
                <w:rFonts w:hint="eastAsia" w:cs="宋体"/>
                <w:sz w:val="24"/>
              </w:rPr>
              <w:t>1</w:t>
            </w:r>
            <w:r>
              <w:rPr>
                <w:rFonts w:cs="宋体"/>
                <w:sz w:val="24"/>
              </w:rPr>
              <w:t>1</w:t>
            </w:r>
          </w:p>
        </w:tc>
        <w:tc>
          <w:tcPr>
            <w:tcW w:w="1030" w:type="dxa"/>
            <w:tcBorders>
              <w:top w:val="single" w:color="auto" w:sz="6" w:space="0"/>
              <w:left w:val="single" w:color="auto" w:sz="6" w:space="0"/>
              <w:bottom w:val="thickThinSmallGap" w:color="auto" w:sz="12" w:space="0"/>
              <w:right w:val="single" w:color="auto" w:sz="6" w:space="0"/>
            </w:tcBorders>
            <w:tcMar>
              <w:top w:w="0" w:type="dxa"/>
              <w:left w:w="108" w:type="dxa"/>
              <w:bottom w:w="0" w:type="dxa"/>
              <w:right w:w="108" w:type="dxa"/>
            </w:tcMar>
            <w:vAlign w:val="center"/>
          </w:tcPr>
          <w:p>
            <w:pPr>
              <w:spacing w:line="360" w:lineRule="auto"/>
              <w:jc w:val="center"/>
              <w:rPr>
                <w:rFonts w:cs="宋体"/>
                <w:sz w:val="24"/>
              </w:rPr>
            </w:pPr>
          </w:p>
        </w:tc>
        <w:tc>
          <w:tcPr>
            <w:tcW w:w="7081" w:type="dxa"/>
            <w:tcBorders>
              <w:top w:val="single" w:color="auto" w:sz="6" w:space="0"/>
              <w:left w:val="single" w:color="auto" w:sz="6" w:space="0"/>
              <w:bottom w:val="thickThinSmallGap" w:color="auto" w:sz="12" w:space="0"/>
              <w:right w:val="thickThinSmallGap" w:color="auto" w:sz="12" w:space="0"/>
            </w:tcBorders>
            <w:tcMar>
              <w:top w:w="0" w:type="dxa"/>
              <w:left w:w="108" w:type="dxa"/>
              <w:bottom w:w="0" w:type="dxa"/>
              <w:right w:w="108" w:type="dxa"/>
            </w:tcMar>
            <w:vAlign w:val="center"/>
          </w:tcPr>
          <w:p>
            <w:pPr>
              <w:spacing w:line="360" w:lineRule="auto"/>
              <w:rPr>
                <w:rFonts w:cs="宋体"/>
                <w:b/>
                <w:bCs/>
                <w:sz w:val="24"/>
                <w:szCs w:val="24"/>
              </w:rPr>
            </w:pPr>
            <w:r>
              <w:rPr>
                <w:rFonts w:hint="eastAsia" w:cs="宋体"/>
                <w:sz w:val="24"/>
                <w:szCs w:val="24"/>
              </w:rPr>
              <w:t>其他补充事项：(1)投标人必须对其投标文件中提供各种资料、说明、承诺的真实性、准确性和完整性负责。招标人有权在评标过程中或签订合同之前对投标人投标文件中的各种资料、说明、承诺的真实性进行核查，投标人应无条件配合招标人的核查工作，不得托词拒绝核查或隐瞒真实情况。若在评标过程中，发现投标人有为谋取中标而提供虚假资料和承诺欺骗招标人和评委的行为，将取消其中标资格，其投标保证金将不予退还。若在中标后或签约前或执行合同过程中发现有为谋取中标而提供虚假资料和承诺欺骗招标人和评委的行为，招标人将取消其中标资格或单方面解除合同，同时根据具体实际情况，其投标保证金将不予退还，归招标人所有,且招标人将依据银行履约保函索赔（如果已签订合同）。给招标人和招标代理机构造成损失的，还必须进行赔偿并负相关责任。</w:t>
            </w:r>
          </w:p>
          <w:p>
            <w:pPr>
              <w:spacing w:line="360" w:lineRule="auto"/>
              <w:rPr>
                <w:rFonts w:cs="宋体"/>
                <w:sz w:val="24"/>
                <w:szCs w:val="24"/>
              </w:rPr>
            </w:pPr>
            <w:r>
              <w:rPr>
                <w:rFonts w:hint="eastAsia" w:cs="宋体"/>
                <w:sz w:val="24"/>
                <w:szCs w:val="24"/>
              </w:rPr>
              <w:t>（2）投标人中标后，如果不按规定与招标人签订合同或者不按规定向招标人提交银行履约保函或者签订合同后不履行其投标承诺或者其它由于中标人自身原因造成无法履行合同的，均视为中标人违约，招标人将取消其中标资格，如果已经签订合同的则合同自动终止。同时根据具体实际情况，该中标人的投标保证金将不予退还，归招标人所有，招标人将依据银行履约保函索赔（如果已签订合同），且中标人还要承担相应的法律责任。给招标人和招标代理机构造成损失的，还必须进行赔偿。招标人将根据具体实际情况，有权按照中标候选人排序依法递补中标人并按相同标准和要求签订合同，以此类推。</w:t>
            </w:r>
          </w:p>
          <w:p>
            <w:pPr>
              <w:spacing w:line="360" w:lineRule="auto"/>
              <w:rPr>
                <w:rFonts w:cs="宋体"/>
                <w:sz w:val="24"/>
                <w:szCs w:val="24"/>
              </w:rPr>
            </w:pPr>
            <w:r>
              <w:rPr>
                <w:rFonts w:hint="eastAsia" w:cs="宋体"/>
                <w:sz w:val="24"/>
                <w:szCs w:val="24"/>
              </w:rPr>
              <w:t>(3)本项目不组织标前会及现场踏勘标前会，投标人可自行前往现场踏勘。</w:t>
            </w:r>
          </w:p>
          <w:p>
            <w:pPr>
              <w:spacing w:line="360" w:lineRule="auto"/>
              <w:rPr>
                <w:rFonts w:cs="宋体"/>
                <w:sz w:val="22"/>
              </w:rPr>
            </w:pPr>
            <w:r>
              <w:rPr>
                <w:rFonts w:hint="eastAsia" w:cs="宋体"/>
                <w:sz w:val="24"/>
                <w:szCs w:val="24"/>
              </w:rPr>
              <w:t>(4)招标文件的解释权归属招标方。</w:t>
            </w:r>
          </w:p>
        </w:tc>
      </w:tr>
    </w:tbl>
    <w:p>
      <w:pPr>
        <w:widowControl/>
        <w:wordWrap w:val="0"/>
        <w:snapToGrid w:val="0"/>
        <w:jc w:val="center"/>
        <w:rPr>
          <w:rFonts w:cs="宋体"/>
          <w:sz w:val="18"/>
          <w:szCs w:val="18"/>
        </w:rPr>
      </w:pPr>
      <w:r>
        <w:rPr>
          <w:rFonts w:hint="eastAsia" w:cs="宋体"/>
          <w:b/>
          <w:bCs/>
          <w:sz w:val="18"/>
          <w:szCs w:val="18"/>
        </w:rPr>
        <w:t xml:space="preserve"> </w:t>
      </w:r>
    </w:p>
    <w:p>
      <w:pPr>
        <w:pStyle w:val="2"/>
        <w:spacing w:before="0" w:after="0" w:line="360" w:lineRule="auto"/>
        <w:jc w:val="center"/>
        <w:rPr>
          <w:rFonts w:ascii="宋体" w:hAnsi="宋体"/>
          <w:sz w:val="28"/>
          <w:szCs w:val="28"/>
        </w:rPr>
      </w:pPr>
      <w:bookmarkStart w:id="87" w:name="_Toc476128895"/>
      <w:bookmarkEnd w:id="87"/>
      <w:bookmarkStart w:id="88" w:name="_Toc19832"/>
      <w:bookmarkEnd w:id="88"/>
      <w:bookmarkStart w:id="89" w:name="_Toc22927"/>
      <w:bookmarkEnd w:id="89"/>
      <w:bookmarkStart w:id="90" w:name="_Toc398284535"/>
      <w:bookmarkEnd w:id="90"/>
      <w:bookmarkStart w:id="91" w:name="_Toc8306"/>
      <w:bookmarkEnd w:id="91"/>
      <w:bookmarkStart w:id="92" w:name="_Toc18358"/>
      <w:bookmarkEnd w:id="92"/>
      <w:bookmarkStart w:id="93" w:name="_Toc422946677"/>
      <w:bookmarkEnd w:id="93"/>
      <w:bookmarkStart w:id="94" w:name="_Toc23026"/>
      <w:bookmarkEnd w:id="94"/>
      <w:bookmarkStart w:id="95" w:name="_Toc8762"/>
      <w:bookmarkEnd w:id="95"/>
      <w:bookmarkStart w:id="96" w:name="_Toc398504591"/>
      <w:bookmarkEnd w:id="96"/>
      <w:bookmarkStart w:id="97" w:name="_Toc32300"/>
      <w:bookmarkEnd w:id="97"/>
      <w:bookmarkStart w:id="98" w:name="_Toc22409_WPSOffice_Level2"/>
      <w:r>
        <w:rPr>
          <w:rFonts w:hint="eastAsia" w:ascii="宋体" w:hAnsi="宋体"/>
          <w:sz w:val="28"/>
          <w:szCs w:val="28"/>
        </w:rPr>
        <w:br w:type="page"/>
      </w:r>
      <w:bookmarkEnd w:id="98"/>
      <w:bookmarkStart w:id="99" w:name="_Toc476128896"/>
      <w:bookmarkEnd w:id="99"/>
      <w:bookmarkStart w:id="100" w:name="_Toc35266718"/>
      <w:bookmarkEnd w:id="100"/>
      <w:bookmarkStart w:id="101" w:name="_Toc398284536"/>
      <w:bookmarkEnd w:id="101"/>
      <w:bookmarkStart w:id="102" w:name="_Toc19532"/>
      <w:bookmarkEnd w:id="102"/>
      <w:bookmarkStart w:id="103" w:name="_Toc15827"/>
      <w:bookmarkEnd w:id="103"/>
      <w:bookmarkStart w:id="104" w:name="_Toc422946678"/>
      <w:bookmarkEnd w:id="104"/>
      <w:bookmarkStart w:id="105" w:name="_Toc3706"/>
      <w:bookmarkEnd w:id="105"/>
      <w:bookmarkStart w:id="106" w:name="_Toc14302"/>
      <w:bookmarkEnd w:id="106"/>
      <w:bookmarkStart w:id="107" w:name="_Toc8128"/>
      <w:bookmarkEnd w:id="107"/>
      <w:bookmarkStart w:id="108" w:name="_Toc5443"/>
      <w:bookmarkEnd w:id="108"/>
      <w:bookmarkStart w:id="109" w:name="_Toc633"/>
      <w:bookmarkEnd w:id="109"/>
      <w:bookmarkStart w:id="110" w:name="_Toc32088"/>
      <w:bookmarkEnd w:id="110"/>
      <w:bookmarkStart w:id="111" w:name="_Toc398504592"/>
      <w:bookmarkEnd w:id="111"/>
      <w:bookmarkStart w:id="112" w:name="_Toc22181"/>
      <w:bookmarkEnd w:id="112"/>
      <w:bookmarkStart w:id="113" w:name="_Toc19608"/>
      <w:bookmarkEnd w:id="113"/>
      <w:bookmarkStart w:id="114" w:name="_Toc10811"/>
      <w:bookmarkEnd w:id="114"/>
      <w:bookmarkStart w:id="115" w:name="_Toc8155"/>
      <w:bookmarkStart w:id="116" w:name="_Toc16925"/>
      <w:bookmarkStart w:id="117" w:name="_Toc22683"/>
      <w:bookmarkStart w:id="118" w:name="_Toc20166"/>
      <w:bookmarkStart w:id="119" w:name="_Toc51751160"/>
      <w:bookmarkStart w:id="120" w:name="_Toc9007"/>
      <w:bookmarkStart w:id="121" w:name="_Toc32696"/>
      <w:bookmarkStart w:id="122" w:name="_Toc21415"/>
      <w:bookmarkStart w:id="123" w:name="_Toc10913"/>
      <w:bookmarkStart w:id="124" w:name="_Toc148459125"/>
      <w:bookmarkStart w:id="125" w:name="_Toc8181"/>
      <w:bookmarkStart w:id="126" w:name="_Toc12120"/>
      <w:r>
        <w:rPr>
          <w:rFonts w:hint="eastAsia" w:ascii="宋体" w:hAnsi="宋体"/>
          <w:sz w:val="28"/>
          <w:szCs w:val="28"/>
        </w:rPr>
        <w:t>第一节  说  明</w:t>
      </w:r>
      <w:bookmarkEnd w:id="115"/>
      <w:bookmarkEnd w:id="116"/>
      <w:bookmarkEnd w:id="117"/>
      <w:bookmarkEnd w:id="118"/>
      <w:bookmarkEnd w:id="119"/>
      <w:bookmarkEnd w:id="120"/>
      <w:bookmarkEnd w:id="121"/>
      <w:bookmarkEnd w:id="122"/>
      <w:bookmarkEnd w:id="123"/>
      <w:bookmarkEnd w:id="124"/>
      <w:bookmarkEnd w:id="125"/>
      <w:bookmarkEnd w:id="126"/>
    </w:p>
    <w:p>
      <w:pPr>
        <w:pStyle w:val="4"/>
        <w:numPr>
          <w:ilvl w:val="0"/>
          <w:numId w:val="1"/>
        </w:numPr>
        <w:tabs>
          <w:tab w:val="left" w:pos="720"/>
        </w:tabs>
        <w:spacing w:before="0" w:after="0" w:line="360" w:lineRule="auto"/>
        <w:ind w:left="720" w:hanging="360"/>
        <w:rPr>
          <w:rFonts w:ascii="宋体" w:hAnsi="宋体" w:cs="宋体"/>
          <w:sz w:val="24"/>
          <w:szCs w:val="24"/>
        </w:rPr>
      </w:pPr>
      <w:bookmarkStart w:id="127" w:name="_Toc34137379"/>
      <w:bookmarkEnd w:id="127"/>
      <w:bookmarkStart w:id="128" w:name="_Toc28895"/>
      <w:bookmarkEnd w:id="128"/>
      <w:bookmarkStart w:id="129" w:name="_Toc14797"/>
      <w:bookmarkEnd w:id="129"/>
      <w:bookmarkStart w:id="130" w:name="_Toc3054"/>
      <w:bookmarkEnd w:id="130"/>
      <w:bookmarkStart w:id="131" w:name="_Toc24177"/>
      <w:bookmarkEnd w:id="131"/>
      <w:bookmarkStart w:id="132" w:name="_Toc20663"/>
      <w:bookmarkEnd w:id="132"/>
      <w:bookmarkStart w:id="133" w:name="_Toc5556"/>
      <w:bookmarkEnd w:id="133"/>
      <w:bookmarkStart w:id="134" w:name="_Toc10751"/>
      <w:bookmarkEnd w:id="134"/>
      <w:bookmarkStart w:id="135" w:name="_Toc214"/>
      <w:bookmarkStart w:id="136" w:name="_Toc26639"/>
      <w:bookmarkStart w:id="137" w:name="_Toc14309"/>
      <w:bookmarkStart w:id="138" w:name="_Toc51751161"/>
      <w:bookmarkStart w:id="139" w:name="_Toc31073"/>
      <w:bookmarkStart w:id="140" w:name="_Toc28937"/>
      <w:bookmarkStart w:id="141" w:name="_Toc27745"/>
      <w:bookmarkStart w:id="142" w:name="_Toc23529"/>
      <w:bookmarkStart w:id="143" w:name="_Toc12407"/>
      <w:r>
        <w:rPr>
          <w:rFonts w:hint="eastAsia" w:ascii="宋体" w:hAnsi="宋体" w:cs="宋体"/>
          <w:sz w:val="24"/>
          <w:szCs w:val="24"/>
        </w:rPr>
        <w:t>适用范围</w:t>
      </w:r>
      <w:bookmarkEnd w:id="135"/>
      <w:bookmarkEnd w:id="136"/>
      <w:bookmarkEnd w:id="137"/>
      <w:bookmarkEnd w:id="138"/>
      <w:bookmarkEnd w:id="139"/>
      <w:bookmarkEnd w:id="140"/>
      <w:bookmarkEnd w:id="141"/>
      <w:bookmarkEnd w:id="142"/>
      <w:bookmarkEnd w:id="143"/>
    </w:p>
    <w:p>
      <w:pPr>
        <w:numPr>
          <w:ilvl w:val="1"/>
          <w:numId w:val="1"/>
        </w:numPr>
        <w:spacing w:line="360" w:lineRule="auto"/>
        <w:ind w:firstLine="480" w:firstLineChars="200"/>
        <w:rPr>
          <w:rFonts w:cs="宋体"/>
          <w:sz w:val="24"/>
        </w:rPr>
      </w:pPr>
      <w:r>
        <w:rPr>
          <w:rFonts w:hint="eastAsia" w:cs="宋体"/>
          <w:sz w:val="24"/>
        </w:rPr>
        <w:t>本招标文件仅适用于投标邀请中所叙述项目的招标采购活动。</w:t>
      </w:r>
    </w:p>
    <w:p>
      <w:pPr>
        <w:pStyle w:val="4"/>
        <w:numPr>
          <w:ilvl w:val="0"/>
          <w:numId w:val="1"/>
        </w:numPr>
        <w:tabs>
          <w:tab w:val="left" w:pos="720"/>
        </w:tabs>
        <w:spacing w:before="0" w:after="0" w:line="360" w:lineRule="auto"/>
        <w:ind w:left="720" w:hanging="360"/>
        <w:rPr>
          <w:rFonts w:ascii="宋体" w:hAnsi="宋体" w:cs="宋体"/>
          <w:sz w:val="24"/>
          <w:szCs w:val="24"/>
        </w:rPr>
      </w:pPr>
      <w:bookmarkStart w:id="144" w:name="_Toc31602"/>
      <w:bookmarkEnd w:id="144"/>
      <w:bookmarkStart w:id="145" w:name="_Toc18751"/>
      <w:bookmarkEnd w:id="145"/>
      <w:bookmarkStart w:id="146" w:name="_Toc18238"/>
      <w:bookmarkEnd w:id="146"/>
      <w:bookmarkStart w:id="147" w:name="_Toc26206"/>
      <w:bookmarkEnd w:id="147"/>
      <w:bookmarkStart w:id="148" w:name="_Toc15090"/>
      <w:bookmarkEnd w:id="148"/>
      <w:bookmarkStart w:id="149" w:name="_Toc14625"/>
      <w:bookmarkEnd w:id="149"/>
      <w:bookmarkStart w:id="150" w:name="_Toc34137380"/>
      <w:bookmarkEnd w:id="150"/>
      <w:bookmarkStart w:id="151" w:name="_Toc11894"/>
      <w:bookmarkEnd w:id="151"/>
      <w:bookmarkStart w:id="152" w:name="_Toc7104"/>
      <w:bookmarkStart w:id="153" w:name="_Toc51751162"/>
      <w:bookmarkStart w:id="154" w:name="_Toc27396"/>
      <w:bookmarkStart w:id="155" w:name="_Toc29288"/>
      <w:bookmarkStart w:id="156" w:name="_Toc22284"/>
      <w:bookmarkStart w:id="157" w:name="_Toc6467"/>
      <w:bookmarkStart w:id="158" w:name="_Toc7212"/>
      <w:bookmarkStart w:id="159" w:name="_Toc21418"/>
      <w:bookmarkStart w:id="160" w:name="_Toc8226"/>
      <w:r>
        <w:rPr>
          <w:rFonts w:hint="eastAsia" w:ascii="宋体" w:hAnsi="宋体" w:cs="宋体"/>
          <w:sz w:val="24"/>
          <w:szCs w:val="24"/>
        </w:rPr>
        <w:t>定义</w:t>
      </w:r>
      <w:bookmarkEnd w:id="152"/>
      <w:bookmarkEnd w:id="153"/>
      <w:bookmarkEnd w:id="154"/>
      <w:bookmarkEnd w:id="155"/>
      <w:bookmarkEnd w:id="156"/>
      <w:bookmarkEnd w:id="157"/>
      <w:bookmarkEnd w:id="158"/>
      <w:bookmarkEnd w:id="159"/>
      <w:bookmarkEnd w:id="160"/>
    </w:p>
    <w:p>
      <w:pPr>
        <w:numPr>
          <w:ilvl w:val="1"/>
          <w:numId w:val="1"/>
        </w:numPr>
        <w:spacing w:line="360" w:lineRule="auto"/>
        <w:ind w:firstLine="480" w:firstLineChars="200"/>
        <w:rPr>
          <w:rFonts w:cs="宋体"/>
          <w:sz w:val="24"/>
        </w:rPr>
      </w:pPr>
      <w:r>
        <w:rPr>
          <w:rFonts w:hint="eastAsia" w:cs="宋体"/>
          <w:sz w:val="24"/>
        </w:rPr>
        <w:t>“招标人”系指本次采购项目的业主方。</w:t>
      </w:r>
    </w:p>
    <w:p>
      <w:pPr>
        <w:numPr>
          <w:ilvl w:val="1"/>
          <w:numId w:val="1"/>
        </w:numPr>
        <w:spacing w:line="360" w:lineRule="auto"/>
        <w:ind w:firstLine="480" w:firstLineChars="200"/>
        <w:rPr>
          <w:rFonts w:cs="宋体"/>
          <w:sz w:val="24"/>
        </w:rPr>
      </w:pPr>
      <w:r>
        <w:rPr>
          <w:rFonts w:hint="eastAsia" w:cs="宋体"/>
          <w:sz w:val="24"/>
        </w:rPr>
        <w:t>“招标采购单位”系指组织本次招标活动的招标人。</w:t>
      </w:r>
    </w:p>
    <w:p>
      <w:pPr>
        <w:numPr>
          <w:ilvl w:val="1"/>
          <w:numId w:val="1"/>
        </w:numPr>
        <w:spacing w:line="360" w:lineRule="auto"/>
        <w:ind w:firstLine="480" w:firstLineChars="200"/>
        <w:rPr>
          <w:rFonts w:cs="宋体"/>
          <w:sz w:val="24"/>
        </w:rPr>
      </w:pPr>
      <w:r>
        <w:rPr>
          <w:rFonts w:hint="eastAsia" w:cs="宋体"/>
          <w:sz w:val="24"/>
        </w:rPr>
        <w:t>“潜在投标人”系指按招标文件规定进行报名获取招标文件，其有意向参加本项目投标的供应商。</w:t>
      </w:r>
    </w:p>
    <w:p>
      <w:pPr>
        <w:numPr>
          <w:ilvl w:val="1"/>
          <w:numId w:val="1"/>
        </w:numPr>
        <w:spacing w:line="360" w:lineRule="auto"/>
        <w:ind w:firstLine="480" w:firstLineChars="200"/>
        <w:rPr>
          <w:rFonts w:cs="宋体"/>
          <w:sz w:val="24"/>
        </w:rPr>
      </w:pPr>
      <w:r>
        <w:rPr>
          <w:rFonts w:hint="eastAsia" w:cs="宋体"/>
          <w:sz w:val="24"/>
        </w:rPr>
        <w:t>“投标人”系指按招标文件规定进行报名获取招标文件，并参加本项目投标的供应商。</w:t>
      </w:r>
    </w:p>
    <w:p>
      <w:pPr>
        <w:numPr>
          <w:ilvl w:val="1"/>
          <w:numId w:val="1"/>
        </w:numPr>
        <w:spacing w:line="360" w:lineRule="auto"/>
        <w:ind w:firstLine="480" w:firstLineChars="200"/>
        <w:rPr>
          <w:rFonts w:cs="宋体"/>
          <w:sz w:val="24"/>
        </w:rPr>
      </w:pPr>
      <w:r>
        <w:rPr>
          <w:rFonts w:hint="eastAsia" w:cs="宋体"/>
          <w:sz w:val="24"/>
        </w:rPr>
        <w:t>“单位负责人”指单位法定代表人或法律、法规规定代表单位行使职权的主要负责人</w:t>
      </w:r>
    </w:p>
    <w:p>
      <w:pPr>
        <w:numPr>
          <w:ilvl w:val="1"/>
          <w:numId w:val="1"/>
        </w:numPr>
        <w:spacing w:line="360" w:lineRule="auto"/>
        <w:ind w:firstLine="480" w:firstLineChars="200"/>
        <w:rPr>
          <w:rFonts w:cs="宋体"/>
          <w:sz w:val="24"/>
        </w:rPr>
      </w:pPr>
      <w:r>
        <w:rPr>
          <w:rFonts w:hint="eastAsia" w:cs="宋体"/>
          <w:sz w:val="24"/>
        </w:rPr>
        <w:t>“投标人代表”指投标人的单位负责人或其授权书中载明的接受授权方。</w:t>
      </w:r>
    </w:p>
    <w:p>
      <w:pPr>
        <w:pStyle w:val="4"/>
        <w:numPr>
          <w:ilvl w:val="0"/>
          <w:numId w:val="1"/>
        </w:numPr>
        <w:tabs>
          <w:tab w:val="left" w:pos="720"/>
        </w:tabs>
        <w:spacing w:before="0" w:after="0" w:line="360" w:lineRule="auto"/>
        <w:ind w:left="720" w:hanging="360"/>
        <w:rPr>
          <w:rFonts w:ascii="宋体" w:hAnsi="宋体" w:cs="宋体"/>
          <w:sz w:val="24"/>
          <w:szCs w:val="24"/>
        </w:rPr>
      </w:pPr>
      <w:bookmarkStart w:id="161" w:name="_Toc18668"/>
      <w:bookmarkEnd w:id="161"/>
      <w:bookmarkStart w:id="162" w:name="_Toc14540"/>
      <w:bookmarkEnd w:id="162"/>
      <w:bookmarkStart w:id="163" w:name="_Toc34137381"/>
      <w:bookmarkEnd w:id="163"/>
      <w:bookmarkStart w:id="164" w:name="_Toc13138"/>
      <w:bookmarkEnd w:id="164"/>
      <w:bookmarkStart w:id="165" w:name="_Toc17288"/>
      <w:bookmarkEnd w:id="165"/>
      <w:bookmarkStart w:id="166" w:name="_Toc399"/>
      <w:bookmarkEnd w:id="166"/>
      <w:bookmarkStart w:id="167" w:name="_Toc31455"/>
      <w:bookmarkEnd w:id="167"/>
      <w:bookmarkStart w:id="168" w:name="_Toc1322"/>
      <w:bookmarkEnd w:id="168"/>
      <w:bookmarkStart w:id="169" w:name="_Toc51751163"/>
      <w:bookmarkStart w:id="170" w:name="_Toc29148"/>
      <w:bookmarkStart w:id="171" w:name="_Toc14138"/>
      <w:bookmarkStart w:id="172" w:name="_Toc31173"/>
      <w:bookmarkStart w:id="173" w:name="_Toc30227"/>
      <w:bookmarkStart w:id="174" w:name="_Toc18462"/>
      <w:bookmarkStart w:id="175" w:name="_Toc24670"/>
      <w:bookmarkStart w:id="176" w:name="_Toc3816"/>
      <w:bookmarkStart w:id="177" w:name="_Toc10813"/>
      <w:r>
        <w:rPr>
          <w:rFonts w:hint="eastAsia" w:ascii="宋体" w:hAnsi="宋体" w:cs="宋体"/>
          <w:sz w:val="24"/>
          <w:szCs w:val="24"/>
        </w:rPr>
        <w:t>合格的投标人</w:t>
      </w:r>
      <w:bookmarkEnd w:id="169"/>
      <w:bookmarkEnd w:id="170"/>
      <w:bookmarkEnd w:id="171"/>
      <w:bookmarkEnd w:id="172"/>
      <w:bookmarkEnd w:id="173"/>
      <w:bookmarkEnd w:id="174"/>
      <w:bookmarkEnd w:id="175"/>
      <w:bookmarkEnd w:id="176"/>
      <w:bookmarkEnd w:id="177"/>
    </w:p>
    <w:p>
      <w:pPr>
        <w:numPr>
          <w:ilvl w:val="1"/>
          <w:numId w:val="1"/>
        </w:numPr>
        <w:spacing w:line="360" w:lineRule="auto"/>
        <w:ind w:firstLine="480" w:firstLineChars="200"/>
        <w:rPr>
          <w:rFonts w:cs="宋体"/>
          <w:sz w:val="24"/>
        </w:rPr>
      </w:pPr>
      <w:r>
        <w:rPr>
          <w:rFonts w:hint="eastAsia" w:cs="宋体"/>
          <w:sz w:val="24"/>
        </w:rPr>
        <w:t>一般规定</w:t>
      </w:r>
    </w:p>
    <w:p>
      <w:pPr>
        <w:tabs>
          <w:tab w:val="left" w:pos="425"/>
          <w:tab w:val="left" w:pos="964"/>
        </w:tabs>
        <w:spacing w:line="360" w:lineRule="auto"/>
        <w:ind w:firstLine="420" w:firstLineChars="175"/>
        <w:rPr>
          <w:rFonts w:cs="宋体"/>
          <w:sz w:val="24"/>
        </w:rPr>
      </w:pPr>
      <w:r>
        <w:rPr>
          <w:rFonts w:hint="eastAsia" w:cs="宋体"/>
          <w:sz w:val="24"/>
        </w:rPr>
        <w:t>（1）投标人应遵守中华人民共和国招标投标法及其实施条例等有关规定，同时还应遵守有关法律、法规和规章的强制性规定。</w:t>
      </w:r>
    </w:p>
    <w:p>
      <w:pPr>
        <w:tabs>
          <w:tab w:val="left" w:pos="425"/>
          <w:tab w:val="left" w:pos="964"/>
        </w:tabs>
        <w:spacing w:line="360" w:lineRule="auto"/>
        <w:ind w:firstLine="420" w:firstLineChars="175"/>
        <w:rPr>
          <w:rFonts w:cs="宋体"/>
          <w:sz w:val="24"/>
        </w:rPr>
      </w:pPr>
      <w:r>
        <w:rPr>
          <w:rFonts w:hint="eastAsia" w:cs="宋体"/>
          <w:sz w:val="24"/>
        </w:rPr>
        <w:t>（2）投标人应满足本招标文件规定的资格要求并按要求提供证明材料：详见招标文件第三章。</w:t>
      </w:r>
    </w:p>
    <w:p>
      <w:pPr>
        <w:numPr>
          <w:ilvl w:val="1"/>
          <w:numId w:val="1"/>
        </w:numPr>
        <w:spacing w:line="360" w:lineRule="auto"/>
        <w:ind w:firstLine="482" w:firstLineChars="200"/>
        <w:rPr>
          <w:rFonts w:cs="宋体"/>
          <w:b/>
          <w:bCs/>
          <w:sz w:val="24"/>
        </w:rPr>
      </w:pPr>
      <w:r>
        <w:rPr>
          <w:rFonts w:hint="eastAsia" w:cs="宋体"/>
          <w:b/>
          <w:bCs/>
          <w:sz w:val="24"/>
        </w:rPr>
        <w:t>若本项目接受联合体投标且投标人为联合体，除满足招标文件对联合体的特定要求外，联合体各方还应符合下列规定：</w:t>
      </w:r>
    </w:p>
    <w:p>
      <w:pPr>
        <w:tabs>
          <w:tab w:val="left" w:pos="425"/>
          <w:tab w:val="left" w:pos="964"/>
        </w:tabs>
        <w:spacing w:line="360" w:lineRule="auto"/>
        <w:ind w:firstLine="420" w:firstLineChars="175"/>
        <w:rPr>
          <w:rFonts w:cs="宋体"/>
          <w:sz w:val="24"/>
        </w:rPr>
      </w:pPr>
      <w:r>
        <w:rPr>
          <w:rFonts w:hint="eastAsia" w:cs="宋体"/>
          <w:sz w:val="24"/>
        </w:rPr>
        <w:t>（1）联合体各方应递交联合体协议，明确联合体牵头人和各方权利义务，并承诺就中标项目向招标人承担连带责任。联合体协议须加盖联合体各方公章。</w:t>
      </w:r>
    </w:p>
    <w:p>
      <w:pPr>
        <w:tabs>
          <w:tab w:val="left" w:pos="425"/>
          <w:tab w:val="left" w:pos="964"/>
        </w:tabs>
        <w:spacing w:line="360" w:lineRule="auto"/>
        <w:ind w:firstLine="420" w:firstLineChars="175"/>
        <w:rPr>
          <w:rFonts w:cs="宋体"/>
          <w:sz w:val="24"/>
        </w:rPr>
      </w:pPr>
      <w:r>
        <w:rPr>
          <w:rFonts w:hint="eastAsia" w:cs="宋体"/>
          <w:sz w:val="24"/>
        </w:rPr>
        <w:t>（2）联合体各方不得再以自己名义单独或参加其他联合体在本招标项目中投标，否则各相关投标无效。</w:t>
      </w:r>
    </w:p>
    <w:p>
      <w:pPr>
        <w:tabs>
          <w:tab w:val="left" w:pos="425"/>
          <w:tab w:val="left" w:pos="964"/>
        </w:tabs>
        <w:spacing w:line="360" w:lineRule="auto"/>
        <w:ind w:firstLine="420" w:firstLineChars="175"/>
        <w:rPr>
          <w:rFonts w:cs="宋体"/>
          <w:sz w:val="24"/>
        </w:rPr>
      </w:pPr>
      <w:r>
        <w:rPr>
          <w:rFonts w:hint="eastAsia" w:cs="宋体"/>
          <w:sz w:val="24"/>
        </w:rPr>
        <w:t>（3）联合体各方应就合同约定的事项对招标人承担连带责任。</w:t>
      </w:r>
    </w:p>
    <w:p>
      <w:pPr>
        <w:tabs>
          <w:tab w:val="left" w:pos="425"/>
          <w:tab w:val="left" w:pos="964"/>
        </w:tabs>
        <w:spacing w:line="360" w:lineRule="auto"/>
        <w:ind w:firstLine="420" w:firstLineChars="175"/>
        <w:rPr>
          <w:rFonts w:cs="宋体"/>
          <w:sz w:val="24"/>
        </w:rPr>
      </w:pPr>
      <w:r>
        <w:rPr>
          <w:rFonts w:hint="eastAsia" w:cs="宋体"/>
          <w:sz w:val="24"/>
        </w:rPr>
        <w:t>（4）联合体各方均应遵守招标投标相关法律法规等有关规定，同时还应遵守有关法律、法规和规章的强制性规定。</w:t>
      </w:r>
    </w:p>
    <w:p>
      <w:pPr>
        <w:tabs>
          <w:tab w:val="left" w:pos="425"/>
          <w:tab w:val="left" w:pos="964"/>
        </w:tabs>
        <w:spacing w:line="360" w:lineRule="auto"/>
        <w:ind w:firstLine="420" w:firstLineChars="175"/>
        <w:rPr>
          <w:rFonts w:cs="宋体"/>
          <w:sz w:val="24"/>
        </w:rPr>
      </w:pPr>
      <w:r>
        <w:rPr>
          <w:rFonts w:hint="eastAsia" w:cs="宋体"/>
          <w:sz w:val="24"/>
        </w:rPr>
        <w:t>（5）联合体各方均应符合招标文件规定的一般资格要求。</w:t>
      </w:r>
    </w:p>
    <w:p>
      <w:pPr>
        <w:tabs>
          <w:tab w:val="left" w:pos="425"/>
          <w:tab w:val="left" w:pos="964"/>
        </w:tabs>
        <w:spacing w:line="360" w:lineRule="auto"/>
        <w:ind w:firstLine="420" w:firstLineChars="175"/>
        <w:rPr>
          <w:rFonts w:cs="宋体"/>
          <w:sz w:val="24"/>
        </w:rPr>
      </w:pPr>
      <w:r>
        <w:rPr>
          <w:rFonts w:hint="eastAsia" w:cs="宋体"/>
          <w:sz w:val="24"/>
        </w:rPr>
        <w:t>（6）招标人根据招标项目的特殊要求规定投标人特定资格条件的，联合体各方中至少应当有一方符合招标人规定的特定条件。涉及特定资质要求的内容应由联合体中具有该资质的投标人承担，并在联合体协议中明确。联合体中有同类资质的投标人按联合体分工承担相同工作的，按照资质等级较低的投标人确定该联合体的资质等级。</w:t>
      </w:r>
    </w:p>
    <w:p>
      <w:pPr>
        <w:numPr>
          <w:ilvl w:val="1"/>
          <w:numId w:val="1"/>
        </w:numPr>
        <w:spacing w:line="360" w:lineRule="auto"/>
        <w:ind w:firstLine="480" w:firstLineChars="200"/>
        <w:rPr>
          <w:rFonts w:cs="宋体"/>
          <w:sz w:val="24"/>
        </w:rPr>
      </w:pPr>
      <w:r>
        <w:rPr>
          <w:rFonts w:hint="eastAsia" w:cs="宋体"/>
          <w:sz w:val="24"/>
        </w:rPr>
        <w:t>一个投标人只能提交一个投标文件。如果投标人或投标人之间存在下列情形之一的，其投标作无效投标处理：</w:t>
      </w:r>
    </w:p>
    <w:p>
      <w:pPr>
        <w:numPr>
          <w:ilvl w:val="2"/>
          <w:numId w:val="1"/>
        </w:numPr>
        <w:spacing w:line="360" w:lineRule="auto"/>
        <w:ind w:firstLine="480" w:firstLineChars="200"/>
        <w:rPr>
          <w:rFonts w:cs="宋体"/>
          <w:sz w:val="24"/>
        </w:rPr>
      </w:pPr>
      <w:r>
        <w:rPr>
          <w:rFonts w:hint="eastAsia" w:cs="宋体"/>
          <w:sz w:val="24"/>
        </w:rPr>
        <w:t>与招标人存在利害关系且可能影响招标公正性；</w:t>
      </w:r>
    </w:p>
    <w:p>
      <w:pPr>
        <w:numPr>
          <w:ilvl w:val="2"/>
          <w:numId w:val="1"/>
        </w:numPr>
        <w:spacing w:line="360" w:lineRule="auto"/>
        <w:ind w:firstLine="480" w:firstLineChars="200"/>
        <w:rPr>
          <w:rFonts w:cs="宋体"/>
          <w:sz w:val="24"/>
        </w:rPr>
      </w:pPr>
      <w:r>
        <w:rPr>
          <w:rFonts w:hint="eastAsia" w:cs="宋体"/>
          <w:sz w:val="24"/>
        </w:rPr>
        <w:t>法定代表人为同一人的两个及两个以上法人参与同一合同包的投标；</w:t>
      </w:r>
    </w:p>
    <w:p>
      <w:pPr>
        <w:numPr>
          <w:ilvl w:val="2"/>
          <w:numId w:val="1"/>
        </w:numPr>
        <w:spacing w:line="360" w:lineRule="auto"/>
        <w:ind w:firstLine="480" w:firstLineChars="200"/>
        <w:rPr>
          <w:rFonts w:cs="宋体"/>
          <w:sz w:val="24"/>
        </w:rPr>
      </w:pPr>
      <w:r>
        <w:rPr>
          <w:rFonts w:hint="eastAsia" w:cs="宋体"/>
          <w:sz w:val="24"/>
        </w:rPr>
        <w:t>母公司直接或间接持股50％及以上的被投资公司参与同一合同包的投标；</w:t>
      </w:r>
    </w:p>
    <w:p>
      <w:pPr>
        <w:numPr>
          <w:ilvl w:val="2"/>
          <w:numId w:val="1"/>
        </w:numPr>
        <w:spacing w:line="360" w:lineRule="auto"/>
        <w:ind w:firstLine="480" w:firstLineChars="200"/>
        <w:rPr>
          <w:rFonts w:cs="宋体"/>
          <w:sz w:val="24"/>
        </w:rPr>
      </w:pPr>
      <w:r>
        <w:rPr>
          <w:rFonts w:hint="eastAsia" w:cs="宋体"/>
          <w:sz w:val="24"/>
        </w:rPr>
        <w:t>单位负责人（董事长或总经理）为同一人的不同单位，参加同一合同包的投标。</w:t>
      </w:r>
    </w:p>
    <w:p>
      <w:pPr>
        <w:numPr>
          <w:ilvl w:val="2"/>
          <w:numId w:val="1"/>
        </w:numPr>
        <w:spacing w:line="360" w:lineRule="auto"/>
        <w:ind w:firstLine="480" w:firstLineChars="200"/>
        <w:rPr>
          <w:rFonts w:cs="宋体"/>
          <w:sz w:val="24"/>
        </w:rPr>
      </w:pPr>
      <w:r>
        <w:rPr>
          <w:rFonts w:hint="eastAsia" w:cs="宋体"/>
          <w:sz w:val="24"/>
        </w:rPr>
        <w:t>为本招标项目的整体设计单位、规范编制单位、监理单位、管理单位、检测单位或与前述单位同为一个法定代表人或存在控股、管理关系；</w:t>
      </w:r>
    </w:p>
    <w:p>
      <w:pPr>
        <w:numPr>
          <w:ilvl w:val="2"/>
          <w:numId w:val="1"/>
        </w:numPr>
        <w:spacing w:line="360" w:lineRule="auto"/>
        <w:ind w:firstLine="480" w:firstLineChars="200"/>
        <w:rPr>
          <w:rFonts w:cs="宋体"/>
          <w:sz w:val="24"/>
        </w:rPr>
      </w:pPr>
      <w:r>
        <w:rPr>
          <w:rFonts w:hint="eastAsia" w:cs="宋体"/>
          <w:sz w:val="24"/>
        </w:rPr>
        <w:t>被本招标项目的监管部门依法暂停或者取消投标资格；</w:t>
      </w:r>
    </w:p>
    <w:p>
      <w:pPr>
        <w:numPr>
          <w:ilvl w:val="2"/>
          <w:numId w:val="1"/>
        </w:numPr>
        <w:spacing w:line="360" w:lineRule="auto"/>
        <w:ind w:firstLine="480" w:firstLineChars="200"/>
        <w:rPr>
          <w:rFonts w:cs="宋体"/>
          <w:sz w:val="24"/>
        </w:rPr>
      </w:pPr>
      <w:r>
        <w:rPr>
          <w:rFonts w:hint="eastAsia" w:cs="宋体"/>
          <w:sz w:val="24"/>
        </w:rPr>
        <w:t>被责令停产停业、暂扣或者吊销许可证、暂扣或者吊销执照；</w:t>
      </w:r>
    </w:p>
    <w:p>
      <w:pPr>
        <w:numPr>
          <w:ilvl w:val="2"/>
          <w:numId w:val="1"/>
        </w:numPr>
        <w:spacing w:line="360" w:lineRule="auto"/>
        <w:ind w:firstLine="480" w:firstLineChars="200"/>
        <w:rPr>
          <w:rFonts w:cs="宋体"/>
          <w:sz w:val="24"/>
        </w:rPr>
      </w:pPr>
      <w:r>
        <w:rPr>
          <w:rFonts w:hint="eastAsia" w:cs="宋体"/>
          <w:sz w:val="24"/>
        </w:rPr>
        <w:t>进入清算程序，或被宣告破产，或其他丧失履约能力的情形；</w:t>
      </w:r>
    </w:p>
    <w:p>
      <w:pPr>
        <w:numPr>
          <w:ilvl w:val="2"/>
          <w:numId w:val="1"/>
        </w:numPr>
        <w:spacing w:line="360" w:lineRule="auto"/>
        <w:ind w:firstLine="480" w:firstLineChars="200"/>
        <w:rPr>
          <w:rFonts w:cs="宋体"/>
          <w:sz w:val="24"/>
        </w:rPr>
      </w:pPr>
      <w:r>
        <w:rPr>
          <w:rFonts w:hint="eastAsia" w:cs="宋体"/>
          <w:sz w:val="24"/>
        </w:rPr>
        <w:t>在最近三年内发生重大产品质量问题（以相关行业主管部门的行政处罚决定或司法机关出具的有关法律文书为准）；</w:t>
      </w:r>
    </w:p>
    <w:p>
      <w:pPr>
        <w:numPr>
          <w:ilvl w:val="2"/>
          <w:numId w:val="1"/>
        </w:numPr>
        <w:spacing w:line="360" w:lineRule="auto"/>
        <w:ind w:firstLine="480" w:firstLineChars="200"/>
        <w:rPr>
          <w:rFonts w:cs="宋体"/>
          <w:sz w:val="24"/>
        </w:rPr>
      </w:pPr>
      <w:r>
        <w:rPr>
          <w:rFonts w:hint="eastAsia" w:cs="宋体"/>
          <w:sz w:val="24"/>
        </w:rPr>
        <w:t>被工商行政管理机关在全国企业信用信息公示系统中列入严重违法失信企业名单；</w:t>
      </w:r>
    </w:p>
    <w:p>
      <w:pPr>
        <w:numPr>
          <w:ilvl w:val="2"/>
          <w:numId w:val="1"/>
        </w:numPr>
        <w:spacing w:line="360" w:lineRule="auto"/>
        <w:ind w:firstLine="480" w:firstLineChars="200"/>
        <w:rPr>
          <w:rFonts w:cs="宋体"/>
          <w:sz w:val="24"/>
        </w:rPr>
      </w:pPr>
      <w:r>
        <w:rPr>
          <w:rFonts w:hint="eastAsia" w:cs="宋体"/>
          <w:sz w:val="24"/>
        </w:rPr>
        <w:t xml:space="preserve"> 被最高人民法院在“信用中国”网站（www.creditchina.gov.cn）或各级信用信息共享平台中列入严重失信主体名单；</w:t>
      </w:r>
    </w:p>
    <w:p>
      <w:pPr>
        <w:numPr>
          <w:ilvl w:val="2"/>
          <w:numId w:val="1"/>
        </w:numPr>
        <w:spacing w:line="360" w:lineRule="auto"/>
        <w:ind w:firstLine="480" w:firstLineChars="200"/>
        <w:rPr>
          <w:rFonts w:cs="宋体"/>
          <w:sz w:val="24"/>
        </w:rPr>
      </w:pPr>
      <w:r>
        <w:rPr>
          <w:rFonts w:hint="eastAsia" w:cs="宋体"/>
          <w:sz w:val="24"/>
        </w:rPr>
        <w:t xml:space="preserve"> 以他人名义投标或者违反规定允许他人以自己名义投标。</w:t>
      </w:r>
    </w:p>
    <w:p>
      <w:pPr>
        <w:numPr>
          <w:ilvl w:val="2"/>
          <w:numId w:val="2"/>
        </w:numPr>
        <w:tabs>
          <w:tab w:val="left" w:pos="964"/>
        </w:tabs>
        <w:spacing w:line="360" w:lineRule="auto"/>
        <w:ind w:firstLine="480" w:firstLineChars="200"/>
      </w:pPr>
      <w:r>
        <w:rPr>
          <w:rFonts w:hint="eastAsia" w:cs="宋体"/>
          <w:sz w:val="24"/>
        </w:rPr>
        <w:t>存在法人代表限制高消费，投标方存在失信执行人情形的，存在税务处罚未能及时缴费的。</w:t>
      </w:r>
    </w:p>
    <w:p>
      <w:pPr>
        <w:numPr>
          <w:ilvl w:val="2"/>
          <w:numId w:val="2"/>
        </w:numPr>
        <w:tabs>
          <w:tab w:val="left" w:pos="964"/>
        </w:tabs>
        <w:spacing w:line="360" w:lineRule="auto"/>
        <w:ind w:firstLine="480" w:firstLineChars="200"/>
        <w:rPr>
          <w:rFonts w:cs="宋体"/>
          <w:sz w:val="24"/>
        </w:rPr>
      </w:pPr>
      <w:r>
        <w:rPr>
          <w:rFonts w:hint="eastAsia" w:cs="宋体"/>
          <w:sz w:val="24"/>
        </w:rPr>
        <w:t xml:space="preserve"> 法律法规或投标人须知前附表规定的其他情形。</w:t>
      </w:r>
    </w:p>
    <w:p>
      <w:pPr>
        <w:numPr>
          <w:ilvl w:val="1"/>
          <w:numId w:val="2"/>
        </w:numPr>
        <w:tabs>
          <w:tab w:val="left" w:pos="964"/>
        </w:tabs>
        <w:spacing w:line="360" w:lineRule="auto"/>
        <w:ind w:firstLine="480" w:firstLineChars="200"/>
        <w:rPr>
          <w:rFonts w:cs="宋体"/>
          <w:sz w:val="24"/>
        </w:rPr>
      </w:pPr>
      <w:r>
        <w:rPr>
          <w:rFonts w:hint="eastAsia" w:cs="宋体"/>
          <w:sz w:val="24"/>
        </w:rPr>
        <w:t>投标人存在下列情形之一的，将被认定为串通投标行为并作无效投标处理：</w:t>
      </w:r>
    </w:p>
    <w:p>
      <w:pPr>
        <w:numPr>
          <w:ilvl w:val="2"/>
          <w:numId w:val="2"/>
        </w:numPr>
        <w:tabs>
          <w:tab w:val="left" w:pos="964"/>
        </w:tabs>
        <w:spacing w:line="360" w:lineRule="auto"/>
        <w:ind w:firstLine="480" w:firstLineChars="200"/>
        <w:rPr>
          <w:rFonts w:cs="宋体"/>
          <w:sz w:val="24"/>
        </w:rPr>
      </w:pPr>
      <w:r>
        <w:rPr>
          <w:rFonts w:hint="eastAsia" w:cs="宋体"/>
          <w:sz w:val="24"/>
        </w:rPr>
        <w:t>不同投标人的投标文件错、漏之处一致或雷同，且不能合理解释的；</w:t>
      </w:r>
    </w:p>
    <w:p>
      <w:pPr>
        <w:numPr>
          <w:ilvl w:val="2"/>
          <w:numId w:val="2"/>
        </w:numPr>
        <w:tabs>
          <w:tab w:val="left" w:pos="964"/>
        </w:tabs>
        <w:spacing w:line="360" w:lineRule="auto"/>
        <w:ind w:firstLine="480" w:firstLineChars="200"/>
        <w:rPr>
          <w:rFonts w:cs="宋体"/>
          <w:sz w:val="24"/>
        </w:rPr>
      </w:pPr>
      <w:r>
        <w:rPr>
          <w:rFonts w:hint="eastAsia" w:cs="宋体"/>
          <w:sz w:val="24"/>
        </w:rPr>
        <w:t>不同的投标人的法定代表人、委托代理人等由同一个单位缴纳社会保险的；</w:t>
      </w:r>
    </w:p>
    <w:p>
      <w:pPr>
        <w:numPr>
          <w:ilvl w:val="2"/>
          <w:numId w:val="2"/>
        </w:numPr>
        <w:tabs>
          <w:tab w:val="left" w:pos="964"/>
        </w:tabs>
        <w:spacing w:line="360" w:lineRule="auto"/>
        <w:ind w:firstLine="480" w:firstLineChars="200"/>
        <w:rPr>
          <w:rFonts w:cs="宋体"/>
          <w:sz w:val="24"/>
        </w:rPr>
      </w:pPr>
      <w:r>
        <w:rPr>
          <w:rFonts w:hint="eastAsia" w:cs="宋体"/>
          <w:sz w:val="24"/>
        </w:rPr>
        <w:t>由同一人或分别由几个有利害关系的人携带两个以上（含两个）投标人的企业资料参与资格审查、领取招标资料，或代表两个以上（含两个）投标人参加招标答疑会、交纳或退还投标保证金、开标的；</w:t>
      </w:r>
    </w:p>
    <w:p>
      <w:pPr>
        <w:numPr>
          <w:ilvl w:val="2"/>
          <w:numId w:val="2"/>
        </w:numPr>
        <w:tabs>
          <w:tab w:val="left" w:pos="964"/>
        </w:tabs>
        <w:spacing w:line="360" w:lineRule="auto"/>
        <w:ind w:firstLine="480" w:firstLineChars="200"/>
        <w:rPr>
          <w:rFonts w:cs="宋体"/>
          <w:sz w:val="24"/>
        </w:rPr>
      </w:pPr>
      <w:r>
        <w:rPr>
          <w:rFonts w:hint="eastAsia" w:cs="宋体"/>
          <w:sz w:val="24"/>
        </w:rPr>
        <w:t>投标人之间协商投标报价等投标文件的实质性内容；</w:t>
      </w:r>
    </w:p>
    <w:p>
      <w:pPr>
        <w:numPr>
          <w:ilvl w:val="2"/>
          <w:numId w:val="2"/>
        </w:numPr>
        <w:tabs>
          <w:tab w:val="left" w:pos="964"/>
        </w:tabs>
        <w:spacing w:line="360" w:lineRule="auto"/>
        <w:ind w:firstLine="480" w:firstLineChars="200"/>
        <w:rPr>
          <w:rFonts w:cs="宋体"/>
          <w:sz w:val="24"/>
        </w:rPr>
      </w:pPr>
      <w:r>
        <w:rPr>
          <w:rFonts w:hint="eastAsia" w:cs="宋体"/>
          <w:sz w:val="24"/>
        </w:rPr>
        <w:t>投标人之间约定中标人；</w:t>
      </w:r>
    </w:p>
    <w:p>
      <w:pPr>
        <w:numPr>
          <w:ilvl w:val="2"/>
          <w:numId w:val="2"/>
        </w:numPr>
        <w:tabs>
          <w:tab w:val="left" w:pos="964"/>
        </w:tabs>
        <w:spacing w:line="360" w:lineRule="auto"/>
        <w:ind w:firstLine="480" w:firstLineChars="200"/>
        <w:rPr>
          <w:rFonts w:cs="宋体"/>
          <w:sz w:val="24"/>
        </w:rPr>
      </w:pPr>
      <w:r>
        <w:rPr>
          <w:rFonts w:hint="eastAsia" w:cs="宋体"/>
          <w:sz w:val="24"/>
        </w:rPr>
        <w:t>投标人之间约定部分投标人放弃投标或者中标；</w:t>
      </w:r>
    </w:p>
    <w:p>
      <w:pPr>
        <w:numPr>
          <w:ilvl w:val="2"/>
          <w:numId w:val="2"/>
        </w:numPr>
        <w:tabs>
          <w:tab w:val="left" w:pos="964"/>
        </w:tabs>
        <w:spacing w:line="360" w:lineRule="auto"/>
        <w:ind w:firstLine="480" w:firstLineChars="200"/>
        <w:rPr>
          <w:rFonts w:cs="宋体"/>
          <w:sz w:val="24"/>
        </w:rPr>
      </w:pPr>
      <w:r>
        <w:rPr>
          <w:rFonts w:hint="eastAsia" w:cs="宋体"/>
          <w:sz w:val="24"/>
        </w:rPr>
        <w:t>属于同一集团、协会、商会等组织成员的投标人按照该组织要求协同投标；</w:t>
      </w:r>
    </w:p>
    <w:p>
      <w:pPr>
        <w:numPr>
          <w:ilvl w:val="2"/>
          <w:numId w:val="2"/>
        </w:numPr>
        <w:tabs>
          <w:tab w:val="left" w:pos="964"/>
        </w:tabs>
        <w:spacing w:line="360" w:lineRule="auto"/>
        <w:ind w:firstLine="480" w:firstLineChars="200"/>
        <w:rPr>
          <w:rFonts w:cs="宋体"/>
          <w:sz w:val="24"/>
        </w:rPr>
      </w:pPr>
      <w:r>
        <w:rPr>
          <w:rFonts w:hint="eastAsia" w:cs="宋体"/>
          <w:sz w:val="24"/>
        </w:rPr>
        <w:t>投标人之间为谋取中标或者排斥特定投标人而采取的其他联合行动；</w:t>
      </w:r>
    </w:p>
    <w:p>
      <w:pPr>
        <w:numPr>
          <w:ilvl w:val="2"/>
          <w:numId w:val="2"/>
        </w:numPr>
        <w:tabs>
          <w:tab w:val="left" w:pos="964"/>
        </w:tabs>
        <w:spacing w:line="360" w:lineRule="auto"/>
        <w:ind w:firstLine="480" w:firstLineChars="200"/>
        <w:rPr>
          <w:rFonts w:cs="宋体"/>
          <w:sz w:val="24"/>
        </w:rPr>
      </w:pPr>
      <w:r>
        <w:rPr>
          <w:rFonts w:hint="eastAsia" w:cs="宋体"/>
          <w:sz w:val="24"/>
        </w:rPr>
        <w:t>不同投标人的投标文件由同一单位或者个人编制；</w:t>
      </w:r>
    </w:p>
    <w:p>
      <w:pPr>
        <w:numPr>
          <w:ilvl w:val="2"/>
          <w:numId w:val="2"/>
        </w:numPr>
        <w:tabs>
          <w:tab w:val="left" w:pos="964"/>
        </w:tabs>
        <w:spacing w:line="360" w:lineRule="auto"/>
        <w:ind w:firstLine="480" w:firstLineChars="200"/>
        <w:rPr>
          <w:rFonts w:cs="宋体"/>
          <w:sz w:val="24"/>
        </w:rPr>
      </w:pPr>
      <w:r>
        <w:rPr>
          <w:rFonts w:hint="eastAsia" w:cs="宋体"/>
          <w:sz w:val="24"/>
        </w:rPr>
        <w:t>不同投标人委托同一单位或者个人办理投标事宜；</w:t>
      </w:r>
    </w:p>
    <w:p>
      <w:pPr>
        <w:numPr>
          <w:ilvl w:val="2"/>
          <w:numId w:val="2"/>
        </w:numPr>
        <w:tabs>
          <w:tab w:val="left" w:pos="964"/>
        </w:tabs>
        <w:spacing w:line="360" w:lineRule="auto"/>
        <w:ind w:firstLine="480" w:firstLineChars="200"/>
        <w:rPr>
          <w:rFonts w:cs="宋体"/>
          <w:sz w:val="24"/>
        </w:rPr>
      </w:pPr>
      <w:r>
        <w:rPr>
          <w:rFonts w:hint="eastAsia" w:cs="宋体"/>
          <w:sz w:val="24"/>
        </w:rPr>
        <w:t>不同投标人的投标文件载明的项目管理成员为同一人；</w:t>
      </w:r>
    </w:p>
    <w:p>
      <w:pPr>
        <w:numPr>
          <w:ilvl w:val="2"/>
          <w:numId w:val="2"/>
        </w:numPr>
        <w:tabs>
          <w:tab w:val="left" w:pos="964"/>
        </w:tabs>
        <w:spacing w:line="360" w:lineRule="auto"/>
        <w:ind w:firstLine="480" w:firstLineChars="200"/>
        <w:rPr>
          <w:rFonts w:cs="宋体"/>
          <w:sz w:val="24"/>
        </w:rPr>
      </w:pPr>
      <w:r>
        <w:rPr>
          <w:rFonts w:hint="eastAsia" w:cs="宋体"/>
          <w:sz w:val="24"/>
        </w:rPr>
        <w:t>不同投标人的投标文件异常一致或者投标报价呈规律性差异；</w:t>
      </w:r>
    </w:p>
    <w:p>
      <w:pPr>
        <w:numPr>
          <w:ilvl w:val="2"/>
          <w:numId w:val="2"/>
        </w:numPr>
        <w:tabs>
          <w:tab w:val="left" w:pos="964"/>
        </w:tabs>
        <w:spacing w:line="360" w:lineRule="auto"/>
        <w:ind w:firstLine="480" w:firstLineChars="200"/>
        <w:rPr>
          <w:rFonts w:cs="宋体"/>
          <w:sz w:val="24"/>
        </w:rPr>
      </w:pPr>
      <w:r>
        <w:rPr>
          <w:rFonts w:hint="eastAsia" w:cs="宋体"/>
          <w:sz w:val="24"/>
        </w:rPr>
        <w:t>不同投标人的投标文件相互混装；</w:t>
      </w:r>
    </w:p>
    <w:p>
      <w:pPr>
        <w:numPr>
          <w:ilvl w:val="2"/>
          <w:numId w:val="2"/>
        </w:numPr>
        <w:tabs>
          <w:tab w:val="left" w:pos="964"/>
        </w:tabs>
        <w:spacing w:line="360" w:lineRule="auto"/>
        <w:ind w:firstLine="480" w:firstLineChars="200"/>
        <w:rPr>
          <w:rFonts w:cs="宋体"/>
          <w:sz w:val="24"/>
        </w:rPr>
      </w:pPr>
      <w:r>
        <w:rPr>
          <w:rFonts w:hint="eastAsia" w:cs="宋体"/>
          <w:sz w:val="24"/>
        </w:rPr>
        <w:t>不同投标人的投标保证金从同一单位或者个人的账户转出；</w:t>
      </w:r>
    </w:p>
    <w:p>
      <w:pPr>
        <w:numPr>
          <w:ilvl w:val="2"/>
          <w:numId w:val="2"/>
        </w:numPr>
        <w:tabs>
          <w:tab w:val="left" w:pos="964"/>
        </w:tabs>
        <w:spacing w:line="360" w:lineRule="auto"/>
        <w:ind w:firstLine="480" w:firstLineChars="200"/>
        <w:rPr>
          <w:rFonts w:cs="宋体"/>
          <w:sz w:val="24"/>
        </w:rPr>
      </w:pPr>
      <w:r>
        <w:rPr>
          <w:rFonts w:hint="eastAsia" w:cs="宋体"/>
          <w:sz w:val="24"/>
        </w:rPr>
        <w:t>有关法律、法规或规章规定的其他串通投标行为。</w:t>
      </w:r>
    </w:p>
    <w:p>
      <w:pPr>
        <w:pStyle w:val="4"/>
        <w:numPr>
          <w:ilvl w:val="0"/>
          <w:numId w:val="2"/>
        </w:numPr>
        <w:tabs>
          <w:tab w:val="left" w:pos="425"/>
          <w:tab w:val="left" w:pos="720"/>
        </w:tabs>
        <w:spacing w:before="0" w:after="0" w:line="360" w:lineRule="auto"/>
        <w:ind w:left="720" w:hanging="360"/>
        <w:rPr>
          <w:rFonts w:ascii="宋体" w:hAnsi="宋体" w:cs="宋体"/>
          <w:sz w:val="24"/>
          <w:szCs w:val="24"/>
        </w:rPr>
      </w:pPr>
      <w:bookmarkStart w:id="178" w:name="_Toc13912"/>
      <w:bookmarkEnd w:id="178"/>
      <w:bookmarkStart w:id="179" w:name="_Toc29382"/>
      <w:bookmarkEnd w:id="179"/>
      <w:bookmarkStart w:id="180" w:name="_Toc32290"/>
      <w:bookmarkEnd w:id="180"/>
      <w:bookmarkStart w:id="181" w:name="_Toc10604"/>
      <w:bookmarkEnd w:id="181"/>
      <w:bookmarkStart w:id="182" w:name="_Toc31148"/>
      <w:bookmarkEnd w:id="182"/>
      <w:bookmarkStart w:id="183" w:name="_Toc7347"/>
      <w:bookmarkEnd w:id="183"/>
      <w:bookmarkStart w:id="184" w:name="_Toc13240"/>
      <w:bookmarkEnd w:id="184"/>
      <w:bookmarkStart w:id="185" w:name="_Toc34137382"/>
      <w:bookmarkEnd w:id="185"/>
      <w:bookmarkStart w:id="186" w:name="_Toc7198"/>
      <w:bookmarkStart w:id="187" w:name="_Toc20251"/>
      <w:bookmarkStart w:id="188" w:name="_Toc2897"/>
      <w:bookmarkStart w:id="189" w:name="_Toc20719"/>
      <w:bookmarkStart w:id="190" w:name="_Toc7175"/>
      <w:bookmarkStart w:id="191" w:name="_Toc1200"/>
      <w:bookmarkStart w:id="192" w:name="_Toc51751164"/>
      <w:bookmarkStart w:id="193" w:name="_Toc22272"/>
      <w:bookmarkStart w:id="194" w:name="_Toc10762"/>
      <w:r>
        <w:rPr>
          <w:rFonts w:hint="eastAsia" w:ascii="宋体" w:hAnsi="宋体" w:cs="宋体"/>
          <w:sz w:val="24"/>
          <w:szCs w:val="24"/>
        </w:rPr>
        <w:t>投标费用</w:t>
      </w:r>
      <w:bookmarkEnd w:id="186"/>
      <w:bookmarkEnd w:id="187"/>
      <w:bookmarkEnd w:id="188"/>
      <w:bookmarkEnd w:id="189"/>
      <w:bookmarkEnd w:id="190"/>
      <w:bookmarkEnd w:id="191"/>
      <w:bookmarkEnd w:id="192"/>
      <w:bookmarkEnd w:id="193"/>
      <w:bookmarkEnd w:id="194"/>
    </w:p>
    <w:p>
      <w:pPr>
        <w:numPr>
          <w:ilvl w:val="1"/>
          <w:numId w:val="2"/>
        </w:numPr>
        <w:tabs>
          <w:tab w:val="left" w:pos="964"/>
        </w:tabs>
        <w:spacing w:line="360" w:lineRule="auto"/>
        <w:ind w:firstLine="480" w:firstLineChars="200"/>
        <w:rPr>
          <w:rFonts w:cs="宋体"/>
          <w:sz w:val="24"/>
        </w:rPr>
      </w:pPr>
      <w:r>
        <w:rPr>
          <w:rFonts w:hint="eastAsia" w:cs="宋体"/>
          <w:sz w:val="24"/>
        </w:rPr>
        <w:t>投标人自行承担其参加投标所涉及的一切费用。</w:t>
      </w:r>
    </w:p>
    <w:p>
      <w:pPr>
        <w:pStyle w:val="65"/>
      </w:pPr>
    </w:p>
    <w:p>
      <w:pPr>
        <w:pStyle w:val="65"/>
      </w:pPr>
    </w:p>
    <w:p>
      <w:pPr>
        <w:pStyle w:val="2"/>
        <w:spacing w:before="0" w:after="0" w:line="360" w:lineRule="auto"/>
        <w:jc w:val="center"/>
        <w:rPr>
          <w:rFonts w:ascii="宋体" w:hAnsi="宋体"/>
          <w:sz w:val="28"/>
          <w:szCs w:val="28"/>
        </w:rPr>
      </w:pPr>
      <w:bookmarkStart w:id="195" w:name="_Toc4789"/>
      <w:bookmarkEnd w:id="195"/>
      <w:bookmarkStart w:id="196" w:name="_Toc34137383"/>
      <w:bookmarkEnd w:id="196"/>
      <w:bookmarkStart w:id="197" w:name="_Toc18417"/>
      <w:bookmarkEnd w:id="197"/>
      <w:bookmarkStart w:id="198" w:name="_Toc7868"/>
      <w:bookmarkEnd w:id="198"/>
      <w:bookmarkStart w:id="199" w:name="_Toc31295"/>
      <w:bookmarkEnd w:id="199"/>
      <w:bookmarkStart w:id="200" w:name="_Toc14434"/>
      <w:bookmarkEnd w:id="200"/>
      <w:bookmarkStart w:id="201" w:name="_Toc6492"/>
      <w:bookmarkEnd w:id="201"/>
      <w:bookmarkStart w:id="202" w:name="_Toc27590_WPSOffice_Level2"/>
      <w:bookmarkEnd w:id="202"/>
      <w:bookmarkStart w:id="203" w:name="_Toc181"/>
      <w:bookmarkEnd w:id="203"/>
      <w:bookmarkStart w:id="204" w:name="_Toc51751165"/>
      <w:bookmarkStart w:id="205" w:name="_Toc4613"/>
      <w:bookmarkStart w:id="206" w:name="_Toc148459126"/>
      <w:bookmarkStart w:id="207" w:name="_Toc18063"/>
      <w:bookmarkStart w:id="208" w:name="_Toc4458"/>
      <w:bookmarkStart w:id="209" w:name="_Toc2843"/>
      <w:bookmarkStart w:id="210" w:name="_Toc29483"/>
      <w:bookmarkStart w:id="211" w:name="_Toc32423"/>
      <w:bookmarkStart w:id="212" w:name="_Toc19945"/>
      <w:bookmarkStart w:id="213" w:name="_Toc15340"/>
      <w:bookmarkStart w:id="214" w:name="_Toc20469"/>
      <w:bookmarkStart w:id="215" w:name="_Toc9648"/>
      <w:bookmarkStart w:id="216" w:name="_Toc5115"/>
      <w:r>
        <w:rPr>
          <w:rFonts w:hint="eastAsia" w:ascii="宋体" w:hAnsi="宋体"/>
          <w:sz w:val="28"/>
          <w:szCs w:val="28"/>
        </w:rPr>
        <w:t>第</w:t>
      </w:r>
      <w:bookmarkEnd w:id="204"/>
      <w:r>
        <w:rPr>
          <w:rFonts w:hint="eastAsia" w:ascii="宋体" w:hAnsi="宋体"/>
          <w:sz w:val="28"/>
          <w:szCs w:val="28"/>
        </w:rPr>
        <w:t>二节  招标文件</w:t>
      </w:r>
      <w:bookmarkEnd w:id="205"/>
      <w:bookmarkEnd w:id="206"/>
      <w:bookmarkEnd w:id="207"/>
      <w:bookmarkEnd w:id="208"/>
      <w:bookmarkEnd w:id="209"/>
      <w:bookmarkEnd w:id="210"/>
      <w:bookmarkEnd w:id="211"/>
      <w:bookmarkEnd w:id="212"/>
      <w:bookmarkEnd w:id="213"/>
      <w:bookmarkEnd w:id="214"/>
      <w:bookmarkEnd w:id="215"/>
      <w:bookmarkEnd w:id="216"/>
    </w:p>
    <w:p>
      <w:pPr>
        <w:pStyle w:val="4"/>
        <w:numPr>
          <w:ilvl w:val="0"/>
          <w:numId w:val="2"/>
        </w:numPr>
        <w:tabs>
          <w:tab w:val="left" w:pos="425"/>
          <w:tab w:val="left" w:pos="720"/>
        </w:tabs>
        <w:spacing w:before="0" w:after="0" w:line="360" w:lineRule="auto"/>
        <w:ind w:left="720" w:hanging="360"/>
        <w:rPr>
          <w:rFonts w:ascii="宋体" w:hAnsi="宋体" w:cs="宋体"/>
          <w:sz w:val="24"/>
          <w:szCs w:val="24"/>
        </w:rPr>
      </w:pPr>
      <w:bookmarkStart w:id="217" w:name="_Toc27067"/>
      <w:bookmarkEnd w:id="217"/>
      <w:bookmarkStart w:id="218" w:name="_Toc21352"/>
      <w:bookmarkEnd w:id="218"/>
      <w:bookmarkStart w:id="219" w:name="_Toc20745"/>
      <w:bookmarkEnd w:id="219"/>
      <w:bookmarkStart w:id="220" w:name="_Toc22723"/>
      <w:bookmarkEnd w:id="220"/>
      <w:bookmarkStart w:id="221" w:name="_Toc28526"/>
      <w:bookmarkEnd w:id="221"/>
      <w:bookmarkStart w:id="222" w:name="_Toc29478"/>
      <w:bookmarkEnd w:id="222"/>
      <w:bookmarkStart w:id="223" w:name="_Toc34137384"/>
      <w:bookmarkEnd w:id="223"/>
      <w:bookmarkStart w:id="224" w:name="_Toc5849"/>
      <w:bookmarkEnd w:id="224"/>
      <w:bookmarkStart w:id="225" w:name="_Toc6566"/>
      <w:bookmarkStart w:id="226" w:name="_Toc51751166"/>
      <w:bookmarkStart w:id="227" w:name="_Toc11767"/>
      <w:bookmarkStart w:id="228" w:name="_Toc16331"/>
      <w:bookmarkStart w:id="229" w:name="_Toc14722"/>
      <w:bookmarkStart w:id="230" w:name="_Toc8942"/>
      <w:bookmarkStart w:id="231" w:name="_Toc15115"/>
      <w:bookmarkStart w:id="232" w:name="_Toc8974"/>
      <w:bookmarkStart w:id="233" w:name="_Toc21584"/>
      <w:r>
        <w:rPr>
          <w:rFonts w:hint="eastAsia" w:ascii="宋体" w:hAnsi="宋体" w:cs="宋体"/>
          <w:sz w:val="24"/>
          <w:szCs w:val="24"/>
        </w:rPr>
        <w:t>招标文件的组成</w:t>
      </w:r>
      <w:bookmarkEnd w:id="225"/>
      <w:bookmarkEnd w:id="226"/>
      <w:bookmarkEnd w:id="227"/>
      <w:bookmarkEnd w:id="228"/>
      <w:bookmarkEnd w:id="229"/>
      <w:bookmarkEnd w:id="230"/>
      <w:bookmarkEnd w:id="231"/>
      <w:bookmarkEnd w:id="232"/>
      <w:bookmarkEnd w:id="233"/>
    </w:p>
    <w:p>
      <w:pPr>
        <w:numPr>
          <w:ilvl w:val="1"/>
          <w:numId w:val="2"/>
        </w:numPr>
        <w:tabs>
          <w:tab w:val="left" w:pos="964"/>
        </w:tabs>
        <w:spacing w:line="360" w:lineRule="auto"/>
        <w:ind w:firstLine="480" w:firstLineChars="200"/>
        <w:rPr>
          <w:rFonts w:cs="宋体"/>
          <w:sz w:val="24"/>
        </w:rPr>
      </w:pPr>
      <w:r>
        <w:rPr>
          <w:rFonts w:hint="eastAsia" w:cs="宋体"/>
          <w:sz w:val="24"/>
        </w:rPr>
        <w:t>招标文件用以阐明所需货物及服务招标程序、内容和合同主要条款。招标文件由下述部分组成：</w:t>
      </w:r>
    </w:p>
    <w:p>
      <w:pPr>
        <w:pStyle w:val="9"/>
        <w:numPr>
          <w:ilvl w:val="0"/>
          <w:numId w:val="3"/>
        </w:numPr>
        <w:snapToGrid w:val="0"/>
        <w:spacing w:line="360" w:lineRule="auto"/>
        <w:ind w:left="482" w:firstLine="0"/>
        <w:rPr>
          <w:rFonts w:cs="宋体"/>
          <w:sz w:val="24"/>
          <w:szCs w:val="24"/>
        </w:rPr>
      </w:pPr>
      <w:r>
        <w:rPr>
          <w:rFonts w:hint="eastAsia" w:cs="宋体"/>
          <w:sz w:val="24"/>
          <w:szCs w:val="24"/>
        </w:rPr>
        <w:t>投标邀请</w:t>
      </w:r>
    </w:p>
    <w:p>
      <w:pPr>
        <w:pStyle w:val="9"/>
        <w:numPr>
          <w:ilvl w:val="0"/>
          <w:numId w:val="3"/>
        </w:numPr>
        <w:snapToGrid w:val="0"/>
        <w:spacing w:line="360" w:lineRule="auto"/>
        <w:ind w:left="482" w:firstLine="0"/>
        <w:rPr>
          <w:rFonts w:cs="宋体"/>
          <w:sz w:val="24"/>
          <w:szCs w:val="24"/>
        </w:rPr>
      </w:pPr>
      <w:r>
        <w:rPr>
          <w:rFonts w:hint="eastAsia" w:cs="宋体"/>
          <w:sz w:val="24"/>
          <w:szCs w:val="24"/>
        </w:rPr>
        <w:t xml:space="preserve">投标人须知 </w:t>
      </w:r>
    </w:p>
    <w:p>
      <w:pPr>
        <w:pStyle w:val="9"/>
        <w:numPr>
          <w:ilvl w:val="0"/>
          <w:numId w:val="3"/>
        </w:numPr>
        <w:snapToGrid w:val="0"/>
        <w:spacing w:line="360" w:lineRule="auto"/>
        <w:ind w:left="482" w:firstLine="0"/>
        <w:rPr>
          <w:rFonts w:cs="宋体"/>
          <w:sz w:val="24"/>
          <w:szCs w:val="24"/>
        </w:rPr>
      </w:pPr>
      <w:r>
        <w:rPr>
          <w:rFonts w:hint="eastAsia" w:cs="宋体"/>
          <w:sz w:val="24"/>
          <w:szCs w:val="24"/>
        </w:rPr>
        <w:t>招标内容及要求</w:t>
      </w:r>
    </w:p>
    <w:p>
      <w:pPr>
        <w:pStyle w:val="9"/>
        <w:numPr>
          <w:ilvl w:val="0"/>
          <w:numId w:val="3"/>
        </w:numPr>
        <w:snapToGrid w:val="0"/>
        <w:spacing w:line="360" w:lineRule="auto"/>
        <w:ind w:left="482" w:firstLine="0"/>
        <w:rPr>
          <w:rFonts w:cs="宋体"/>
          <w:sz w:val="24"/>
          <w:szCs w:val="24"/>
        </w:rPr>
      </w:pPr>
      <w:r>
        <w:rPr>
          <w:rFonts w:hint="eastAsia" w:cs="宋体"/>
          <w:sz w:val="24"/>
          <w:szCs w:val="24"/>
        </w:rPr>
        <w:t>合同主要条款</w:t>
      </w:r>
    </w:p>
    <w:p>
      <w:pPr>
        <w:pStyle w:val="9"/>
        <w:numPr>
          <w:ilvl w:val="0"/>
          <w:numId w:val="3"/>
        </w:numPr>
        <w:snapToGrid w:val="0"/>
        <w:spacing w:line="360" w:lineRule="auto"/>
        <w:ind w:left="482" w:firstLine="0"/>
        <w:rPr>
          <w:rFonts w:cs="宋体"/>
          <w:sz w:val="24"/>
          <w:szCs w:val="24"/>
        </w:rPr>
      </w:pPr>
      <w:r>
        <w:rPr>
          <w:rFonts w:hint="eastAsia" w:cs="宋体"/>
          <w:sz w:val="24"/>
          <w:szCs w:val="24"/>
        </w:rPr>
        <w:t>投标文件格式</w:t>
      </w:r>
    </w:p>
    <w:p>
      <w:pPr>
        <w:pStyle w:val="9"/>
        <w:numPr>
          <w:ilvl w:val="0"/>
          <w:numId w:val="3"/>
        </w:numPr>
        <w:snapToGrid w:val="0"/>
        <w:spacing w:line="360" w:lineRule="auto"/>
        <w:ind w:left="482" w:firstLine="0"/>
        <w:rPr>
          <w:rFonts w:cs="宋体"/>
          <w:sz w:val="24"/>
          <w:szCs w:val="24"/>
        </w:rPr>
      </w:pPr>
      <w:r>
        <w:rPr>
          <w:rFonts w:hint="eastAsia" w:cs="宋体"/>
          <w:sz w:val="24"/>
          <w:szCs w:val="24"/>
        </w:rPr>
        <w:t>附件（若有的话，详见招标文件第四章）</w:t>
      </w:r>
    </w:p>
    <w:p>
      <w:pPr>
        <w:pStyle w:val="4"/>
        <w:numPr>
          <w:ilvl w:val="0"/>
          <w:numId w:val="2"/>
        </w:numPr>
        <w:tabs>
          <w:tab w:val="left" w:pos="425"/>
          <w:tab w:val="left" w:pos="720"/>
        </w:tabs>
        <w:spacing w:before="0" w:after="0" w:line="360" w:lineRule="auto"/>
        <w:ind w:left="720" w:hanging="360"/>
        <w:rPr>
          <w:rFonts w:ascii="宋体" w:hAnsi="宋体" w:cs="宋体"/>
          <w:sz w:val="24"/>
          <w:szCs w:val="24"/>
        </w:rPr>
      </w:pPr>
      <w:bookmarkStart w:id="234" w:name="_Toc10165"/>
      <w:bookmarkEnd w:id="234"/>
      <w:bookmarkStart w:id="235" w:name="_Toc10024"/>
      <w:bookmarkEnd w:id="235"/>
      <w:bookmarkStart w:id="236" w:name="_Toc34137385"/>
      <w:bookmarkEnd w:id="236"/>
      <w:bookmarkStart w:id="237" w:name="_Toc2009"/>
      <w:bookmarkEnd w:id="237"/>
      <w:bookmarkStart w:id="238" w:name="_Toc8561"/>
      <w:bookmarkEnd w:id="238"/>
      <w:bookmarkStart w:id="239" w:name="_Toc1619"/>
      <w:bookmarkEnd w:id="239"/>
      <w:bookmarkStart w:id="240" w:name="_Toc7134"/>
      <w:bookmarkEnd w:id="240"/>
      <w:bookmarkStart w:id="241" w:name="_Toc6085"/>
      <w:bookmarkEnd w:id="241"/>
      <w:bookmarkStart w:id="242" w:name="_Toc2953"/>
      <w:bookmarkStart w:id="243" w:name="_Toc19958"/>
      <w:bookmarkStart w:id="244" w:name="_Toc20824"/>
      <w:bookmarkStart w:id="245" w:name="_Toc51751167"/>
      <w:bookmarkStart w:id="246" w:name="_Toc10566"/>
      <w:bookmarkStart w:id="247" w:name="_Toc11509"/>
      <w:bookmarkStart w:id="248" w:name="_Toc3366"/>
      <w:bookmarkStart w:id="249" w:name="_Toc19508"/>
      <w:bookmarkStart w:id="250" w:name="_Toc32133"/>
      <w:r>
        <w:rPr>
          <w:rFonts w:hint="eastAsia" w:ascii="宋体" w:hAnsi="宋体" w:cs="宋体"/>
          <w:sz w:val="24"/>
          <w:szCs w:val="24"/>
        </w:rPr>
        <w:t>招标文件的澄清</w:t>
      </w:r>
      <w:bookmarkEnd w:id="242"/>
      <w:bookmarkEnd w:id="243"/>
      <w:bookmarkEnd w:id="244"/>
      <w:bookmarkEnd w:id="245"/>
      <w:bookmarkEnd w:id="246"/>
      <w:bookmarkEnd w:id="247"/>
      <w:bookmarkEnd w:id="248"/>
      <w:bookmarkEnd w:id="249"/>
      <w:bookmarkEnd w:id="250"/>
    </w:p>
    <w:p>
      <w:pPr>
        <w:numPr>
          <w:ilvl w:val="1"/>
          <w:numId w:val="2"/>
        </w:numPr>
        <w:tabs>
          <w:tab w:val="left" w:pos="964"/>
        </w:tabs>
        <w:spacing w:line="360" w:lineRule="auto"/>
        <w:ind w:firstLine="480" w:firstLineChars="200"/>
        <w:rPr>
          <w:rFonts w:cs="宋体"/>
          <w:sz w:val="24"/>
        </w:rPr>
      </w:pPr>
      <w:r>
        <w:rPr>
          <w:rFonts w:hint="eastAsia" w:cs="宋体"/>
          <w:sz w:val="24"/>
        </w:rPr>
        <w:t>投标人对招标文件如有疑点，可要求澄清。要求澄清应按投标邀请中载明的地址以书面形式（包括信函、电报或传真，下同）通知招标代理机构。</w:t>
      </w:r>
    </w:p>
    <w:p>
      <w:pPr>
        <w:numPr>
          <w:ilvl w:val="1"/>
          <w:numId w:val="2"/>
        </w:numPr>
        <w:tabs>
          <w:tab w:val="left" w:pos="964"/>
        </w:tabs>
        <w:spacing w:line="360" w:lineRule="auto"/>
        <w:ind w:firstLine="480" w:firstLineChars="200"/>
        <w:rPr>
          <w:rFonts w:cs="宋体"/>
          <w:sz w:val="24"/>
        </w:rPr>
      </w:pPr>
      <w:r>
        <w:rPr>
          <w:rFonts w:hint="eastAsia" w:cs="宋体"/>
          <w:sz w:val="24"/>
        </w:rPr>
        <w:t>招标人可以视情况对已发出的招标文件进行必要的澄清或者答复。澄清或者答复的内容影响投标文件编制的，招标人应当在投标截止时间至少15日前，在发布招标公告的媒体上发布公告（适用于公开招标项目）通知所有获取招标文件的潜在投标人；不足15日的，招标人应当顺延提交投标文件的截止时间。</w:t>
      </w:r>
    </w:p>
    <w:p>
      <w:pPr>
        <w:numPr>
          <w:ilvl w:val="1"/>
          <w:numId w:val="2"/>
        </w:numPr>
        <w:tabs>
          <w:tab w:val="left" w:pos="964"/>
        </w:tabs>
        <w:spacing w:line="360" w:lineRule="auto"/>
        <w:ind w:firstLine="480" w:firstLineChars="200"/>
        <w:rPr>
          <w:rFonts w:cs="宋体"/>
          <w:sz w:val="24"/>
        </w:rPr>
      </w:pPr>
      <w:r>
        <w:rPr>
          <w:rFonts w:hint="eastAsia" w:cs="宋体"/>
          <w:sz w:val="24"/>
        </w:rPr>
        <w:t>招标文件澄清或者答复的内容为招标文件的组成部分。</w:t>
      </w:r>
    </w:p>
    <w:p>
      <w:pPr>
        <w:pStyle w:val="4"/>
        <w:numPr>
          <w:ilvl w:val="0"/>
          <w:numId w:val="2"/>
        </w:numPr>
        <w:tabs>
          <w:tab w:val="left" w:pos="425"/>
          <w:tab w:val="left" w:pos="720"/>
        </w:tabs>
        <w:spacing w:before="0" w:after="0" w:line="360" w:lineRule="auto"/>
        <w:ind w:left="720" w:hanging="360"/>
        <w:rPr>
          <w:rFonts w:ascii="宋体" w:hAnsi="宋体" w:cs="宋体"/>
          <w:sz w:val="24"/>
          <w:szCs w:val="24"/>
        </w:rPr>
      </w:pPr>
      <w:bookmarkStart w:id="251" w:name="_Toc24084"/>
      <w:bookmarkEnd w:id="251"/>
      <w:bookmarkStart w:id="252" w:name="_Toc24529"/>
      <w:bookmarkEnd w:id="252"/>
      <w:bookmarkStart w:id="253" w:name="_Toc10326"/>
      <w:bookmarkEnd w:id="253"/>
      <w:bookmarkStart w:id="254" w:name="_Toc17497"/>
      <w:bookmarkEnd w:id="254"/>
      <w:bookmarkStart w:id="255" w:name="_Toc12916"/>
      <w:bookmarkEnd w:id="255"/>
      <w:bookmarkStart w:id="256" w:name="_Toc30857"/>
      <w:bookmarkEnd w:id="256"/>
      <w:bookmarkStart w:id="257" w:name="_Toc34137386"/>
      <w:bookmarkEnd w:id="257"/>
      <w:bookmarkStart w:id="258" w:name="_Toc26001"/>
      <w:bookmarkEnd w:id="258"/>
      <w:bookmarkStart w:id="259" w:name="_Toc21150"/>
      <w:bookmarkStart w:id="260" w:name="_Toc23174"/>
      <w:bookmarkStart w:id="261" w:name="_Toc14259"/>
      <w:bookmarkStart w:id="262" w:name="_Toc17317"/>
      <w:bookmarkStart w:id="263" w:name="_Toc22259"/>
      <w:bookmarkStart w:id="264" w:name="_Toc51751168"/>
      <w:bookmarkStart w:id="265" w:name="_Toc484"/>
      <w:bookmarkStart w:id="266" w:name="_Toc11351"/>
      <w:bookmarkStart w:id="267" w:name="_Toc424"/>
      <w:r>
        <w:rPr>
          <w:rFonts w:hint="eastAsia" w:ascii="宋体" w:hAnsi="宋体" w:cs="宋体"/>
          <w:sz w:val="24"/>
          <w:szCs w:val="24"/>
        </w:rPr>
        <w:t>招标文件的修改</w:t>
      </w:r>
      <w:bookmarkEnd w:id="259"/>
      <w:bookmarkEnd w:id="260"/>
      <w:bookmarkEnd w:id="261"/>
      <w:bookmarkEnd w:id="262"/>
      <w:bookmarkEnd w:id="263"/>
      <w:bookmarkEnd w:id="264"/>
      <w:bookmarkEnd w:id="265"/>
      <w:bookmarkEnd w:id="266"/>
      <w:bookmarkEnd w:id="267"/>
    </w:p>
    <w:p>
      <w:pPr>
        <w:numPr>
          <w:ilvl w:val="1"/>
          <w:numId w:val="2"/>
        </w:numPr>
        <w:tabs>
          <w:tab w:val="left" w:pos="964"/>
        </w:tabs>
        <w:spacing w:line="360" w:lineRule="auto"/>
        <w:ind w:firstLine="480" w:firstLineChars="200"/>
        <w:rPr>
          <w:rFonts w:cs="宋体"/>
          <w:sz w:val="24"/>
        </w:rPr>
      </w:pPr>
      <w:r>
        <w:rPr>
          <w:rFonts w:hint="eastAsia" w:cs="宋体"/>
          <w:sz w:val="24"/>
        </w:rPr>
        <w:t>招标人或者招标代理机构可以主动或依投标人要求澄清的问题对已发出的招标文件进行必要的补充或修改。补充或修改的内容影响投标文件编制的，招标人或者招标代理机构应当在投标截止时间至少15日前，在发布招标公告的媒体上发布公告（适用于公开招标项目）通知所有获取招标文件的潜在投标人；不足15日的，顺延提交投标文件的截止时间。该补充或修改内容为招标文件的组成部分，对投标人具有约束力。但本招标文件第7.2条规定的推迟投标截止时间和开标时间情形不受本条约束。</w:t>
      </w:r>
    </w:p>
    <w:p>
      <w:pPr>
        <w:numPr>
          <w:ilvl w:val="1"/>
          <w:numId w:val="2"/>
        </w:numPr>
        <w:tabs>
          <w:tab w:val="left" w:pos="964"/>
        </w:tabs>
        <w:spacing w:line="360" w:lineRule="auto"/>
        <w:ind w:firstLine="480" w:firstLineChars="200"/>
        <w:rPr>
          <w:rFonts w:cs="宋体"/>
          <w:sz w:val="24"/>
        </w:rPr>
      </w:pPr>
      <w:r>
        <w:rPr>
          <w:rFonts w:hint="eastAsia" w:cs="宋体"/>
          <w:sz w:val="24"/>
        </w:rPr>
        <w:t>为使投标人在准备投标文件时有合理的时间考虑投标文件的修改，招标代理机构可酌情推迟投标截止时间和开标时间，但应当至少在投标截止时间3个日历日前在发布招标公告的媒体上发布公告（适用于公开招标项目）通知所有获取招标文件的潜在投标人，请投标人关注。在此情况下，招标人和投标人受投标截止期制约的所有权利和义务均应延长至新的截止日期。</w:t>
      </w:r>
    </w:p>
    <w:p>
      <w:pPr>
        <w:numPr>
          <w:ilvl w:val="1"/>
          <w:numId w:val="2"/>
        </w:numPr>
        <w:tabs>
          <w:tab w:val="left" w:pos="964"/>
        </w:tabs>
        <w:spacing w:line="360" w:lineRule="auto"/>
        <w:ind w:firstLine="480" w:firstLineChars="200"/>
        <w:rPr>
          <w:rFonts w:cs="宋体"/>
          <w:sz w:val="24"/>
        </w:rPr>
      </w:pPr>
      <w:r>
        <w:rPr>
          <w:rFonts w:hint="eastAsia" w:cs="宋体"/>
          <w:sz w:val="24"/>
        </w:rPr>
        <w:t>答疑文件、补充通知、延期通知、最高限价通知（控制价通知）等相关材料将构成招标文件的一部分，对招投标双方均具有约束力。招标文件、答疑文件、补充通知、延期通知、最高限价通知（控制价通知）等相关材料的内容不一致的，以发文时间在后的为准。</w:t>
      </w:r>
    </w:p>
    <w:p>
      <w:pPr>
        <w:pStyle w:val="2"/>
        <w:spacing w:before="0" w:after="0" w:line="360" w:lineRule="auto"/>
        <w:jc w:val="center"/>
        <w:rPr>
          <w:rFonts w:ascii="宋体" w:hAnsi="宋体"/>
          <w:sz w:val="28"/>
          <w:szCs w:val="28"/>
        </w:rPr>
      </w:pPr>
      <w:bookmarkStart w:id="268" w:name="_Toc31281"/>
      <w:bookmarkEnd w:id="268"/>
      <w:bookmarkStart w:id="269" w:name="_Toc587"/>
      <w:bookmarkEnd w:id="269"/>
      <w:bookmarkStart w:id="270" w:name="_Toc17024"/>
      <w:bookmarkEnd w:id="270"/>
      <w:bookmarkStart w:id="271" w:name="_Toc22182_WPSOffice_Level2"/>
      <w:bookmarkEnd w:id="271"/>
      <w:bookmarkStart w:id="272" w:name="_Toc1178"/>
      <w:bookmarkEnd w:id="272"/>
      <w:bookmarkStart w:id="273" w:name="_Toc19626"/>
      <w:bookmarkEnd w:id="273"/>
      <w:bookmarkStart w:id="274" w:name="_Toc7305"/>
      <w:bookmarkEnd w:id="274"/>
      <w:bookmarkStart w:id="275" w:name="_Toc6218"/>
      <w:bookmarkEnd w:id="275"/>
      <w:bookmarkStart w:id="276" w:name="_Toc34137387"/>
      <w:bookmarkEnd w:id="276"/>
      <w:bookmarkStart w:id="277" w:name="_Toc51751169"/>
      <w:bookmarkStart w:id="278" w:name="_Toc12361"/>
      <w:bookmarkStart w:id="279" w:name="_Toc29599"/>
      <w:bookmarkStart w:id="280" w:name="_Toc4623"/>
      <w:bookmarkStart w:id="281" w:name="_Toc12251"/>
      <w:bookmarkStart w:id="282" w:name="_Toc148459127"/>
      <w:bookmarkStart w:id="283" w:name="_Toc21382"/>
      <w:bookmarkStart w:id="284" w:name="_Toc5299"/>
      <w:bookmarkStart w:id="285" w:name="_Toc7707"/>
      <w:bookmarkStart w:id="286" w:name="_Toc5886"/>
      <w:bookmarkStart w:id="287" w:name="_Toc578"/>
      <w:bookmarkStart w:id="288" w:name="_Toc30193"/>
      <w:r>
        <w:rPr>
          <w:rFonts w:hint="eastAsia" w:ascii="宋体" w:hAnsi="宋体"/>
          <w:sz w:val="28"/>
          <w:szCs w:val="28"/>
        </w:rPr>
        <w:t>第</w:t>
      </w:r>
      <w:bookmarkEnd w:id="277"/>
      <w:r>
        <w:rPr>
          <w:rFonts w:hint="eastAsia" w:ascii="宋体" w:hAnsi="宋体"/>
          <w:sz w:val="28"/>
          <w:szCs w:val="28"/>
        </w:rPr>
        <w:t>三节  投标文件的编写</w:t>
      </w:r>
      <w:bookmarkEnd w:id="278"/>
      <w:bookmarkEnd w:id="279"/>
      <w:bookmarkEnd w:id="280"/>
      <w:bookmarkEnd w:id="281"/>
      <w:bookmarkEnd w:id="282"/>
      <w:bookmarkEnd w:id="283"/>
      <w:bookmarkEnd w:id="284"/>
      <w:bookmarkEnd w:id="285"/>
      <w:bookmarkEnd w:id="286"/>
      <w:bookmarkEnd w:id="287"/>
      <w:bookmarkEnd w:id="288"/>
    </w:p>
    <w:p>
      <w:pPr>
        <w:pStyle w:val="4"/>
        <w:numPr>
          <w:ilvl w:val="0"/>
          <w:numId w:val="2"/>
        </w:numPr>
        <w:tabs>
          <w:tab w:val="left" w:pos="425"/>
          <w:tab w:val="left" w:pos="720"/>
        </w:tabs>
        <w:spacing w:before="0" w:after="0" w:line="360" w:lineRule="auto"/>
        <w:ind w:left="720" w:hanging="360"/>
        <w:rPr>
          <w:rFonts w:ascii="宋体" w:hAnsi="宋体" w:cs="宋体"/>
          <w:sz w:val="24"/>
          <w:szCs w:val="24"/>
        </w:rPr>
      </w:pPr>
      <w:bookmarkStart w:id="289" w:name="_Toc30501"/>
      <w:bookmarkEnd w:id="289"/>
      <w:bookmarkStart w:id="290" w:name="_Toc18515"/>
      <w:bookmarkEnd w:id="290"/>
      <w:bookmarkStart w:id="291" w:name="_Toc34137388"/>
      <w:bookmarkEnd w:id="291"/>
      <w:bookmarkStart w:id="292" w:name="_Toc16053"/>
      <w:bookmarkEnd w:id="292"/>
      <w:bookmarkStart w:id="293" w:name="_Toc6215"/>
      <w:bookmarkEnd w:id="293"/>
      <w:bookmarkStart w:id="294" w:name="_Toc20760"/>
      <w:bookmarkEnd w:id="294"/>
      <w:bookmarkStart w:id="295" w:name="_Toc13203"/>
      <w:bookmarkEnd w:id="295"/>
      <w:bookmarkStart w:id="296" w:name="_Toc32180"/>
      <w:bookmarkEnd w:id="296"/>
      <w:bookmarkStart w:id="297" w:name="_Toc17251"/>
      <w:bookmarkStart w:id="298" w:name="_Toc20577"/>
      <w:bookmarkStart w:id="299" w:name="_Toc11371"/>
      <w:bookmarkStart w:id="300" w:name="_Toc28807"/>
      <w:bookmarkStart w:id="301" w:name="_Toc16356"/>
      <w:bookmarkStart w:id="302" w:name="_Toc9710"/>
      <w:bookmarkStart w:id="303" w:name="_Toc51751170"/>
      <w:bookmarkStart w:id="304" w:name="_Toc18159"/>
      <w:bookmarkStart w:id="305" w:name="_Toc22319"/>
      <w:r>
        <w:rPr>
          <w:rFonts w:hint="eastAsia" w:ascii="宋体" w:hAnsi="宋体" w:cs="宋体"/>
          <w:sz w:val="24"/>
          <w:szCs w:val="24"/>
        </w:rPr>
        <w:t>投标要求</w:t>
      </w:r>
      <w:bookmarkEnd w:id="297"/>
      <w:bookmarkEnd w:id="298"/>
      <w:bookmarkEnd w:id="299"/>
      <w:bookmarkEnd w:id="300"/>
      <w:bookmarkEnd w:id="301"/>
      <w:bookmarkEnd w:id="302"/>
      <w:bookmarkEnd w:id="303"/>
      <w:bookmarkEnd w:id="304"/>
      <w:bookmarkEnd w:id="305"/>
    </w:p>
    <w:p>
      <w:pPr>
        <w:numPr>
          <w:ilvl w:val="1"/>
          <w:numId w:val="2"/>
        </w:numPr>
        <w:tabs>
          <w:tab w:val="left" w:pos="964"/>
        </w:tabs>
        <w:spacing w:line="360" w:lineRule="auto"/>
        <w:ind w:firstLine="480" w:firstLineChars="200"/>
        <w:rPr>
          <w:rFonts w:cs="宋体"/>
          <w:sz w:val="24"/>
        </w:rPr>
      </w:pPr>
      <w:r>
        <w:rPr>
          <w:rFonts w:hint="eastAsia" w:cs="宋体"/>
          <w:sz w:val="24"/>
        </w:rPr>
        <w:t>投标人应仔细阅读招标文件的所有内容，按照招标文件的要求提交投标文件。投标文件应对招标文件的要求作出实质性响应，并保证所提供的全部资料的真实性，否则其投标将被拒绝。</w:t>
      </w:r>
    </w:p>
    <w:p>
      <w:pPr>
        <w:numPr>
          <w:ilvl w:val="1"/>
          <w:numId w:val="2"/>
        </w:numPr>
        <w:tabs>
          <w:tab w:val="left" w:pos="964"/>
        </w:tabs>
        <w:spacing w:line="360" w:lineRule="auto"/>
        <w:ind w:firstLine="480" w:firstLineChars="200"/>
        <w:rPr>
          <w:rFonts w:cs="宋体"/>
          <w:sz w:val="24"/>
        </w:rPr>
      </w:pPr>
      <w:r>
        <w:rPr>
          <w:rFonts w:hint="eastAsia" w:cs="宋体"/>
          <w:sz w:val="24"/>
        </w:rPr>
        <w:t>除非有另外的规定，投标人可对招标项目一览表所列的全部合同包或部分合同包进行投标。招标代理机构不接受有任何可选择性的报价，每个合同包只能有一个报价。</w:t>
      </w:r>
    </w:p>
    <w:p>
      <w:pPr>
        <w:numPr>
          <w:ilvl w:val="1"/>
          <w:numId w:val="2"/>
        </w:numPr>
        <w:tabs>
          <w:tab w:val="left" w:pos="964"/>
        </w:tabs>
        <w:spacing w:line="360" w:lineRule="auto"/>
        <w:ind w:firstLine="480" w:firstLineChars="200"/>
        <w:rPr>
          <w:rFonts w:cs="宋体"/>
          <w:sz w:val="24"/>
        </w:rPr>
      </w:pPr>
      <w:r>
        <w:rPr>
          <w:rFonts w:hint="eastAsia" w:cs="宋体"/>
          <w:sz w:val="24"/>
        </w:rPr>
        <w:t>分包</w:t>
      </w:r>
    </w:p>
    <w:p>
      <w:pPr>
        <w:tabs>
          <w:tab w:val="left" w:pos="425"/>
          <w:tab w:val="left" w:pos="964"/>
        </w:tabs>
        <w:spacing w:line="360" w:lineRule="auto"/>
        <w:ind w:firstLine="420" w:firstLineChars="175"/>
        <w:rPr>
          <w:rFonts w:cs="宋体"/>
          <w:sz w:val="24"/>
        </w:rPr>
      </w:pPr>
      <w:r>
        <w:rPr>
          <w:rFonts w:hint="eastAsia" w:cs="宋体"/>
          <w:sz w:val="24"/>
        </w:rPr>
        <w:t>8.3.1 是否允许中标人将本项目的非主体、非关键性工作进行分包：详见投标人须知前附表。</w:t>
      </w:r>
    </w:p>
    <w:p>
      <w:pPr>
        <w:tabs>
          <w:tab w:val="left" w:pos="425"/>
          <w:tab w:val="left" w:pos="964"/>
        </w:tabs>
        <w:spacing w:line="360" w:lineRule="auto"/>
        <w:ind w:firstLine="420" w:firstLineChars="175"/>
        <w:rPr>
          <w:rFonts w:cs="宋体"/>
          <w:sz w:val="24"/>
        </w:rPr>
      </w:pPr>
      <w:r>
        <w:rPr>
          <w:rFonts w:hint="eastAsia" w:cs="宋体"/>
          <w:sz w:val="24"/>
        </w:rPr>
        <w:t>8.3.2 招标文件允许中标人将非主体、非关键性工作进行分包的项目，有下列情形之一的，中标人不得分包：</w:t>
      </w:r>
    </w:p>
    <w:p>
      <w:pPr>
        <w:tabs>
          <w:tab w:val="left" w:pos="425"/>
          <w:tab w:val="left" w:pos="964"/>
        </w:tabs>
        <w:spacing w:line="360" w:lineRule="auto"/>
        <w:ind w:left="420" w:leftChars="200"/>
        <w:rPr>
          <w:rFonts w:cs="宋体"/>
          <w:sz w:val="24"/>
        </w:rPr>
      </w:pPr>
      <w:r>
        <w:rPr>
          <w:rFonts w:hint="eastAsia" w:cs="宋体"/>
          <w:sz w:val="24"/>
        </w:rPr>
        <w:t>①投标文件中未载明分包承担主体；</w:t>
      </w:r>
    </w:p>
    <w:p>
      <w:pPr>
        <w:tabs>
          <w:tab w:val="left" w:pos="425"/>
          <w:tab w:val="left" w:pos="964"/>
        </w:tabs>
        <w:spacing w:line="360" w:lineRule="auto"/>
        <w:ind w:left="420" w:leftChars="200"/>
        <w:rPr>
          <w:rFonts w:cs="宋体"/>
          <w:sz w:val="24"/>
        </w:rPr>
      </w:pPr>
      <w:r>
        <w:rPr>
          <w:rFonts w:hint="eastAsia" w:cs="宋体"/>
          <w:sz w:val="24"/>
        </w:rPr>
        <w:t>②投标文件载明的分包承担主体不具备相应资质条件；</w:t>
      </w:r>
    </w:p>
    <w:p>
      <w:pPr>
        <w:tabs>
          <w:tab w:val="left" w:pos="425"/>
          <w:tab w:val="left" w:pos="964"/>
        </w:tabs>
        <w:spacing w:line="360" w:lineRule="auto"/>
        <w:ind w:left="420" w:leftChars="200"/>
        <w:rPr>
          <w:rFonts w:cs="宋体"/>
          <w:sz w:val="24"/>
        </w:rPr>
      </w:pPr>
      <w:r>
        <w:rPr>
          <w:rFonts w:hint="eastAsia" w:cs="宋体"/>
          <w:sz w:val="24"/>
        </w:rPr>
        <w:t>③投标文件载明的分包承担主体拟再次分包。</w:t>
      </w:r>
    </w:p>
    <w:p>
      <w:pPr>
        <w:numPr>
          <w:ilvl w:val="1"/>
          <w:numId w:val="2"/>
        </w:numPr>
        <w:tabs>
          <w:tab w:val="left" w:pos="964"/>
        </w:tabs>
        <w:spacing w:line="360" w:lineRule="auto"/>
        <w:ind w:firstLine="480" w:firstLineChars="200"/>
        <w:rPr>
          <w:rFonts w:cs="宋体"/>
          <w:sz w:val="24"/>
          <w:szCs w:val="22"/>
        </w:rPr>
      </w:pPr>
      <w:r>
        <w:rPr>
          <w:rFonts w:hint="eastAsia" w:cs="宋体"/>
          <w:sz w:val="24"/>
          <w:szCs w:val="22"/>
        </w:rPr>
        <w:t>投标方须提供投标截止日前的全国企业信用信息公示系统和“信用中国”等其他企业认为应当提供的资信证明。</w:t>
      </w:r>
    </w:p>
    <w:p>
      <w:pPr>
        <w:pStyle w:val="4"/>
        <w:numPr>
          <w:ilvl w:val="0"/>
          <w:numId w:val="2"/>
        </w:numPr>
        <w:tabs>
          <w:tab w:val="left" w:pos="425"/>
          <w:tab w:val="left" w:pos="720"/>
        </w:tabs>
        <w:spacing w:before="0" w:after="0" w:line="360" w:lineRule="auto"/>
        <w:ind w:left="720" w:hanging="360"/>
        <w:rPr>
          <w:rFonts w:ascii="宋体" w:hAnsi="宋体" w:cs="宋体"/>
          <w:sz w:val="24"/>
          <w:szCs w:val="24"/>
        </w:rPr>
      </w:pPr>
      <w:bookmarkStart w:id="306" w:name="_Toc10257"/>
      <w:bookmarkEnd w:id="306"/>
      <w:bookmarkStart w:id="307" w:name="_Toc27070"/>
      <w:bookmarkEnd w:id="307"/>
      <w:bookmarkStart w:id="308" w:name="_Toc34137389"/>
      <w:bookmarkEnd w:id="308"/>
      <w:bookmarkStart w:id="309" w:name="_Toc14620"/>
      <w:bookmarkEnd w:id="309"/>
      <w:bookmarkStart w:id="310" w:name="_Toc10705"/>
      <w:bookmarkEnd w:id="310"/>
      <w:bookmarkStart w:id="311" w:name="_Toc9861"/>
      <w:bookmarkEnd w:id="311"/>
      <w:bookmarkStart w:id="312" w:name="_Toc3884"/>
      <w:bookmarkEnd w:id="312"/>
      <w:bookmarkStart w:id="313" w:name="_Toc15543"/>
      <w:bookmarkEnd w:id="313"/>
      <w:bookmarkStart w:id="314" w:name="_Toc22560"/>
      <w:bookmarkStart w:id="315" w:name="_Toc7656"/>
      <w:bookmarkStart w:id="316" w:name="_Toc27381"/>
      <w:bookmarkStart w:id="317" w:name="_Toc24386"/>
      <w:bookmarkStart w:id="318" w:name="_Toc3017"/>
      <w:bookmarkStart w:id="319" w:name="_Toc10564"/>
      <w:bookmarkStart w:id="320" w:name="_Toc51751171"/>
      <w:bookmarkStart w:id="321" w:name="_Toc10004"/>
      <w:bookmarkStart w:id="322" w:name="_Toc30874"/>
      <w:r>
        <w:rPr>
          <w:rFonts w:hint="eastAsia" w:ascii="宋体" w:hAnsi="宋体" w:cs="宋体"/>
          <w:sz w:val="24"/>
          <w:szCs w:val="24"/>
        </w:rPr>
        <w:t>投标文件语言</w:t>
      </w:r>
      <w:bookmarkEnd w:id="314"/>
      <w:bookmarkEnd w:id="315"/>
      <w:bookmarkEnd w:id="316"/>
      <w:bookmarkEnd w:id="317"/>
      <w:bookmarkEnd w:id="318"/>
      <w:bookmarkEnd w:id="319"/>
      <w:bookmarkEnd w:id="320"/>
      <w:bookmarkEnd w:id="321"/>
      <w:bookmarkEnd w:id="322"/>
    </w:p>
    <w:p>
      <w:pPr>
        <w:numPr>
          <w:ilvl w:val="1"/>
          <w:numId w:val="2"/>
        </w:numPr>
        <w:tabs>
          <w:tab w:val="left" w:pos="964"/>
        </w:tabs>
        <w:spacing w:line="360" w:lineRule="auto"/>
        <w:ind w:firstLine="480" w:firstLineChars="200"/>
        <w:rPr>
          <w:rFonts w:cs="宋体"/>
          <w:sz w:val="24"/>
        </w:rPr>
      </w:pPr>
      <w:r>
        <w:rPr>
          <w:rFonts w:hint="eastAsia" w:cs="宋体"/>
          <w:sz w:val="24"/>
        </w:rPr>
        <w:t>投标文件应用中文书写。投标文件中所附或所引用的原件不是中文时，应附中文译本。各种计量单位及符号应采用国际上统一使用的公制计量单位和符号。</w:t>
      </w:r>
    </w:p>
    <w:p>
      <w:pPr>
        <w:pStyle w:val="4"/>
        <w:numPr>
          <w:ilvl w:val="0"/>
          <w:numId w:val="2"/>
        </w:numPr>
        <w:tabs>
          <w:tab w:val="left" w:pos="425"/>
          <w:tab w:val="left" w:pos="630"/>
          <w:tab w:val="left" w:pos="720"/>
        </w:tabs>
        <w:spacing w:before="0" w:after="0" w:line="360" w:lineRule="auto"/>
        <w:ind w:left="720" w:hanging="360"/>
        <w:rPr>
          <w:rFonts w:ascii="宋体" w:hAnsi="宋体" w:cs="宋体"/>
          <w:sz w:val="24"/>
          <w:szCs w:val="24"/>
        </w:rPr>
      </w:pPr>
      <w:bookmarkStart w:id="323" w:name="_Toc7937"/>
      <w:bookmarkEnd w:id="323"/>
      <w:bookmarkStart w:id="324" w:name="_Toc3905"/>
      <w:bookmarkEnd w:id="324"/>
      <w:bookmarkStart w:id="325" w:name="_Toc17619"/>
      <w:bookmarkEnd w:id="325"/>
      <w:bookmarkStart w:id="326" w:name="_Toc34137390"/>
      <w:bookmarkEnd w:id="326"/>
      <w:bookmarkStart w:id="327" w:name="_Toc22427"/>
      <w:bookmarkEnd w:id="327"/>
      <w:bookmarkStart w:id="328" w:name="_Toc26737"/>
      <w:bookmarkEnd w:id="328"/>
      <w:bookmarkStart w:id="329" w:name="_Toc21493"/>
      <w:bookmarkEnd w:id="329"/>
      <w:bookmarkStart w:id="330" w:name="_Toc18208"/>
      <w:bookmarkEnd w:id="330"/>
      <w:bookmarkStart w:id="331" w:name="_Toc13457"/>
      <w:bookmarkStart w:id="332" w:name="_Toc30303"/>
      <w:bookmarkStart w:id="333" w:name="_Toc30033"/>
      <w:bookmarkStart w:id="334" w:name="_Toc31110"/>
      <w:bookmarkStart w:id="335" w:name="_Toc16669"/>
      <w:bookmarkStart w:id="336" w:name="_Toc6004"/>
      <w:bookmarkStart w:id="337" w:name="_Toc51751172"/>
      <w:bookmarkStart w:id="338" w:name="_Toc1482"/>
      <w:bookmarkStart w:id="339" w:name="_Toc1690"/>
      <w:r>
        <w:rPr>
          <w:rFonts w:hint="eastAsia" w:ascii="宋体" w:hAnsi="宋体" w:cs="宋体"/>
          <w:sz w:val="24"/>
          <w:szCs w:val="24"/>
        </w:rPr>
        <w:t>投标文件的组成</w:t>
      </w:r>
      <w:bookmarkEnd w:id="331"/>
      <w:bookmarkEnd w:id="332"/>
      <w:bookmarkEnd w:id="333"/>
      <w:bookmarkEnd w:id="334"/>
      <w:bookmarkEnd w:id="335"/>
      <w:bookmarkEnd w:id="336"/>
      <w:bookmarkEnd w:id="337"/>
      <w:bookmarkEnd w:id="338"/>
      <w:bookmarkEnd w:id="339"/>
    </w:p>
    <w:p>
      <w:pPr>
        <w:numPr>
          <w:ilvl w:val="1"/>
          <w:numId w:val="2"/>
        </w:numPr>
        <w:tabs>
          <w:tab w:val="left" w:pos="964"/>
        </w:tabs>
        <w:spacing w:line="360" w:lineRule="auto"/>
        <w:ind w:firstLine="480" w:firstLineChars="200"/>
        <w:rPr>
          <w:rFonts w:cs="宋体"/>
          <w:sz w:val="24"/>
        </w:rPr>
      </w:pPr>
      <w:r>
        <w:rPr>
          <w:rFonts w:hint="eastAsia" w:cs="宋体"/>
          <w:sz w:val="24"/>
        </w:rPr>
        <w:t>投标文件应包括但不限于下列部分：</w:t>
      </w:r>
    </w:p>
    <w:p>
      <w:pPr>
        <w:spacing w:line="360" w:lineRule="auto"/>
        <w:ind w:left="69" w:firstLine="470" w:firstLineChars="196"/>
        <w:rPr>
          <w:rFonts w:cs="宋体"/>
          <w:sz w:val="24"/>
        </w:rPr>
      </w:pPr>
      <w:r>
        <w:rPr>
          <w:rFonts w:hint="eastAsia" w:cs="宋体"/>
          <w:sz w:val="24"/>
        </w:rPr>
        <w:t>10.1.1资格文件</w:t>
      </w:r>
    </w:p>
    <w:p>
      <w:pPr>
        <w:spacing w:line="360" w:lineRule="auto"/>
        <w:ind w:left="69" w:firstLine="470" w:firstLineChars="196"/>
        <w:rPr>
          <w:rFonts w:cs="宋体"/>
          <w:sz w:val="24"/>
        </w:rPr>
      </w:pPr>
      <w:r>
        <w:rPr>
          <w:rFonts w:hint="eastAsia" w:cs="宋体"/>
          <w:sz w:val="24"/>
        </w:rPr>
        <w:t>10.1.2技术文件</w:t>
      </w:r>
    </w:p>
    <w:p>
      <w:pPr>
        <w:spacing w:line="360" w:lineRule="auto"/>
        <w:ind w:left="69" w:firstLine="470" w:firstLineChars="196"/>
        <w:rPr>
          <w:rFonts w:cs="宋体"/>
          <w:sz w:val="24"/>
        </w:rPr>
      </w:pPr>
      <w:r>
        <w:rPr>
          <w:rFonts w:hint="eastAsia" w:cs="宋体"/>
          <w:sz w:val="24"/>
        </w:rPr>
        <w:t>10.1.3商务文件</w:t>
      </w:r>
    </w:p>
    <w:p>
      <w:pPr>
        <w:pStyle w:val="4"/>
        <w:numPr>
          <w:ilvl w:val="0"/>
          <w:numId w:val="2"/>
        </w:numPr>
        <w:tabs>
          <w:tab w:val="left" w:pos="425"/>
          <w:tab w:val="left" w:pos="630"/>
          <w:tab w:val="left" w:pos="720"/>
        </w:tabs>
        <w:spacing w:before="0" w:after="0" w:line="360" w:lineRule="auto"/>
        <w:ind w:left="720" w:hanging="360"/>
        <w:rPr>
          <w:rFonts w:ascii="宋体" w:hAnsi="宋体" w:cs="宋体"/>
          <w:sz w:val="24"/>
          <w:szCs w:val="24"/>
        </w:rPr>
      </w:pPr>
      <w:bookmarkStart w:id="340" w:name="_Toc34137391"/>
      <w:bookmarkEnd w:id="340"/>
      <w:bookmarkStart w:id="341" w:name="_Toc11308"/>
      <w:bookmarkEnd w:id="341"/>
      <w:bookmarkStart w:id="342" w:name="_Toc6104"/>
      <w:bookmarkEnd w:id="342"/>
      <w:bookmarkStart w:id="343" w:name="_Toc13474"/>
      <w:bookmarkEnd w:id="343"/>
      <w:bookmarkStart w:id="344" w:name="_Toc26229"/>
      <w:bookmarkEnd w:id="344"/>
      <w:bookmarkStart w:id="345" w:name="_Toc20809"/>
      <w:bookmarkEnd w:id="345"/>
      <w:bookmarkStart w:id="346" w:name="_Toc2942"/>
      <w:bookmarkEnd w:id="346"/>
      <w:bookmarkStart w:id="347" w:name="_Toc5428"/>
      <w:bookmarkEnd w:id="347"/>
      <w:bookmarkStart w:id="348" w:name="_Toc20047"/>
      <w:bookmarkStart w:id="349" w:name="_Toc22781"/>
      <w:bookmarkStart w:id="350" w:name="_Toc9685"/>
      <w:bookmarkStart w:id="351" w:name="_Toc25424"/>
      <w:bookmarkStart w:id="352" w:name="_Toc4315"/>
      <w:bookmarkStart w:id="353" w:name="_Toc23108"/>
      <w:bookmarkStart w:id="354" w:name="_Toc24027"/>
      <w:bookmarkStart w:id="355" w:name="_Toc51751173"/>
      <w:bookmarkStart w:id="356" w:name="_Toc196"/>
      <w:r>
        <w:rPr>
          <w:rFonts w:hint="eastAsia" w:ascii="宋体" w:hAnsi="宋体" w:cs="宋体"/>
          <w:sz w:val="24"/>
          <w:szCs w:val="24"/>
        </w:rPr>
        <w:t>投标有效期</w:t>
      </w:r>
      <w:bookmarkEnd w:id="348"/>
      <w:bookmarkEnd w:id="349"/>
      <w:bookmarkEnd w:id="350"/>
      <w:bookmarkEnd w:id="351"/>
      <w:bookmarkEnd w:id="352"/>
      <w:bookmarkEnd w:id="353"/>
      <w:bookmarkEnd w:id="354"/>
      <w:bookmarkEnd w:id="355"/>
      <w:bookmarkEnd w:id="356"/>
    </w:p>
    <w:p>
      <w:pPr>
        <w:numPr>
          <w:ilvl w:val="1"/>
          <w:numId w:val="2"/>
        </w:numPr>
        <w:tabs>
          <w:tab w:val="left" w:pos="964"/>
        </w:tabs>
        <w:spacing w:line="360" w:lineRule="auto"/>
        <w:ind w:firstLine="480" w:firstLineChars="200"/>
        <w:rPr>
          <w:rFonts w:cs="宋体"/>
          <w:sz w:val="24"/>
        </w:rPr>
      </w:pPr>
      <w:r>
        <w:rPr>
          <w:rFonts w:hint="eastAsia" w:cs="宋体"/>
          <w:sz w:val="24"/>
        </w:rPr>
        <w:t>投标文件从招标文件所规定的投标截止期之后开始生效，在《投标人须知前附表1》所规定的期限内保持有效。有效期不足将导致其投标文件被拒绝。</w:t>
      </w:r>
    </w:p>
    <w:p>
      <w:pPr>
        <w:numPr>
          <w:ilvl w:val="1"/>
          <w:numId w:val="2"/>
        </w:numPr>
        <w:tabs>
          <w:tab w:val="left" w:pos="964"/>
        </w:tabs>
        <w:spacing w:line="360" w:lineRule="auto"/>
        <w:ind w:firstLine="480" w:firstLineChars="200"/>
        <w:rPr>
          <w:rFonts w:cs="宋体"/>
          <w:sz w:val="24"/>
        </w:rPr>
      </w:pPr>
      <w:r>
        <w:rPr>
          <w:rFonts w:hint="eastAsia" w:cs="宋体"/>
          <w:sz w:val="24"/>
        </w:rPr>
        <w:t>特殊情况下招标代理机构可于投标有效期满之前书面要求投标人同意延长有效期，投标人应在招标代理机构规定的期限内以书面形式予以答复。投标人可以拒绝上述要求而其投标保证金可按规定予以退还。投标人答复不明确或者逾期未答复的，均视为拒绝上述要求。对于接受该要求的投标人，既不要求也不允许其修改投标文件，但将要求其相应延长投标保证金有效期，有关退还和不予退还投标保证金的规定在投标有效期延长期内继续有效。</w:t>
      </w:r>
    </w:p>
    <w:p>
      <w:pPr>
        <w:pStyle w:val="4"/>
        <w:numPr>
          <w:ilvl w:val="0"/>
          <w:numId w:val="2"/>
        </w:numPr>
        <w:tabs>
          <w:tab w:val="left" w:pos="425"/>
          <w:tab w:val="left" w:pos="630"/>
          <w:tab w:val="left" w:pos="720"/>
        </w:tabs>
        <w:spacing w:before="0" w:after="0" w:line="360" w:lineRule="auto"/>
        <w:ind w:left="720" w:hanging="360"/>
        <w:rPr>
          <w:rFonts w:ascii="宋体" w:hAnsi="宋体" w:cs="宋体"/>
          <w:sz w:val="24"/>
          <w:szCs w:val="24"/>
        </w:rPr>
      </w:pPr>
      <w:bookmarkStart w:id="357" w:name="_Toc9651"/>
      <w:bookmarkEnd w:id="357"/>
      <w:bookmarkStart w:id="358" w:name="_Toc3486"/>
      <w:bookmarkEnd w:id="358"/>
      <w:bookmarkStart w:id="359" w:name="_Toc2387"/>
      <w:bookmarkEnd w:id="359"/>
      <w:bookmarkStart w:id="360" w:name="_Toc28495"/>
      <w:bookmarkEnd w:id="360"/>
      <w:bookmarkStart w:id="361" w:name="_Toc18300"/>
      <w:bookmarkEnd w:id="361"/>
      <w:bookmarkStart w:id="362" w:name="_Toc2664"/>
      <w:bookmarkEnd w:id="362"/>
      <w:bookmarkStart w:id="363" w:name="_Toc34137392"/>
      <w:bookmarkEnd w:id="363"/>
      <w:bookmarkStart w:id="364" w:name="_Toc32096"/>
      <w:bookmarkEnd w:id="364"/>
      <w:bookmarkStart w:id="365" w:name="_Toc30782"/>
      <w:bookmarkStart w:id="366" w:name="_Toc5741"/>
      <w:bookmarkStart w:id="367" w:name="_Toc25391"/>
      <w:bookmarkStart w:id="368" w:name="_Toc51751174"/>
      <w:bookmarkStart w:id="369" w:name="_Toc9521"/>
      <w:bookmarkStart w:id="370" w:name="_Toc26527"/>
      <w:bookmarkStart w:id="371" w:name="_Toc25701"/>
      <w:bookmarkStart w:id="372" w:name="_Toc31397"/>
      <w:bookmarkStart w:id="373" w:name="_Toc17078"/>
      <w:r>
        <w:rPr>
          <w:rFonts w:hint="eastAsia" w:ascii="宋体" w:hAnsi="宋体" w:cs="宋体"/>
          <w:sz w:val="24"/>
          <w:szCs w:val="24"/>
        </w:rPr>
        <w:t>投标保证金</w:t>
      </w:r>
      <w:bookmarkEnd w:id="365"/>
      <w:bookmarkEnd w:id="366"/>
      <w:bookmarkEnd w:id="367"/>
      <w:bookmarkEnd w:id="368"/>
      <w:bookmarkEnd w:id="369"/>
      <w:bookmarkEnd w:id="370"/>
      <w:bookmarkEnd w:id="371"/>
      <w:bookmarkEnd w:id="372"/>
      <w:bookmarkEnd w:id="373"/>
    </w:p>
    <w:p>
      <w:pPr>
        <w:numPr>
          <w:ilvl w:val="1"/>
          <w:numId w:val="2"/>
        </w:numPr>
        <w:tabs>
          <w:tab w:val="left" w:pos="964"/>
        </w:tabs>
        <w:spacing w:line="360" w:lineRule="auto"/>
        <w:ind w:firstLine="480" w:firstLineChars="200"/>
        <w:rPr>
          <w:rFonts w:cs="宋体"/>
          <w:sz w:val="24"/>
        </w:rPr>
      </w:pPr>
      <w:r>
        <w:rPr>
          <w:rFonts w:hint="eastAsia" w:cs="宋体"/>
          <w:sz w:val="24"/>
        </w:rPr>
        <w:t xml:space="preserve"> 投标保证金</w:t>
      </w:r>
    </w:p>
    <w:p>
      <w:pPr>
        <w:numPr>
          <w:ilvl w:val="2"/>
          <w:numId w:val="2"/>
        </w:numPr>
        <w:tabs>
          <w:tab w:val="left" w:pos="964"/>
        </w:tabs>
        <w:spacing w:line="360" w:lineRule="auto"/>
        <w:ind w:firstLine="480" w:firstLineChars="200"/>
        <w:rPr>
          <w:rFonts w:cs="宋体"/>
          <w:sz w:val="24"/>
        </w:rPr>
      </w:pPr>
      <w:r>
        <w:rPr>
          <w:rFonts w:hint="eastAsia" w:cs="宋体"/>
          <w:sz w:val="24"/>
        </w:rPr>
        <w:t>投标保证金为投标文件的组成部分之一。</w:t>
      </w:r>
    </w:p>
    <w:p>
      <w:pPr>
        <w:numPr>
          <w:ilvl w:val="2"/>
          <w:numId w:val="2"/>
        </w:numPr>
        <w:tabs>
          <w:tab w:val="left" w:pos="964"/>
        </w:tabs>
        <w:spacing w:line="360" w:lineRule="auto"/>
        <w:ind w:firstLine="480" w:firstLineChars="200"/>
        <w:rPr>
          <w:rFonts w:cs="宋体"/>
          <w:sz w:val="24"/>
        </w:rPr>
      </w:pPr>
      <w:r>
        <w:rPr>
          <w:rFonts w:hint="eastAsia" w:cs="宋体"/>
          <w:sz w:val="24"/>
        </w:rPr>
        <w:t>投标人应在提交投标文件之前向招标人或招标代理机构指定的保证金专户缴交《投标人须知前附表1》要求的投标保证金。</w:t>
      </w:r>
    </w:p>
    <w:p>
      <w:pPr>
        <w:numPr>
          <w:ilvl w:val="2"/>
          <w:numId w:val="2"/>
        </w:numPr>
        <w:tabs>
          <w:tab w:val="left" w:pos="964"/>
        </w:tabs>
        <w:spacing w:line="360" w:lineRule="auto"/>
        <w:ind w:firstLine="480" w:firstLineChars="200"/>
        <w:rPr>
          <w:rFonts w:cs="宋体"/>
          <w:sz w:val="24"/>
        </w:rPr>
      </w:pPr>
      <w:r>
        <w:rPr>
          <w:rFonts w:hint="eastAsia" w:cs="宋体"/>
          <w:sz w:val="24"/>
        </w:rPr>
        <w:t>投标保证金用于保护本次招标活动免受投标人的行为而引起的风险。</w:t>
      </w:r>
    </w:p>
    <w:p>
      <w:pPr>
        <w:numPr>
          <w:ilvl w:val="2"/>
          <w:numId w:val="2"/>
        </w:numPr>
        <w:tabs>
          <w:tab w:val="left" w:pos="964"/>
        </w:tabs>
        <w:spacing w:line="360" w:lineRule="auto"/>
        <w:ind w:firstLine="480" w:firstLineChars="200"/>
        <w:rPr>
          <w:rFonts w:cs="宋体"/>
          <w:sz w:val="24"/>
        </w:rPr>
      </w:pPr>
      <w:r>
        <w:rPr>
          <w:rFonts w:hint="eastAsia" w:cs="宋体"/>
          <w:sz w:val="24"/>
        </w:rPr>
        <w:t>投标保证金采用转账方式提交，须从投标人账户转出，必须在投标截止时间前到达指定账户。</w:t>
      </w:r>
    </w:p>
    <w:p>
      <w:pPr>
        <w:numPr>
          <w:ilvl w:val="2"/>
          <w:numId w:val="2"/>
        </w:numPr>
        <w:tabs>
          <w:tab w:val="left" w:pos="964"/>
        </w:tabs>
        <w:spacing w:line="360" w:lineRule="auto"/>
        <w:ind w:firstLine="480" w:firstLineChars="200"/>
        <w:rPr>
          <w:rFonts w:cs="宋体"/>
          <w:sz w:val="24"/>
        </w:rPr>
      </w:pPr>
      <w:r>
        <w:rPr>
          <w:rFonts w:hint="eastAsia" w:cs="宋体"/>
          <w:sz w:val="24"/>
        </w:rPr>
        <w:t>未按规定缴交投标保证金的投标，将被视为无效投标。</w:t>
      </w:r>
    </w:p>
    <w:p>
      <w:pPr>
        <w:numPr>
          <w:ilvl w:val="2"/>
          <w:numId w:val="2"/>
        </w:numPr>
        <w:tabs>
          <w:tab w:val="left" w:pos="964"/>
        </w:tabs>
        <w:spacing w:line="360" w:lineRule="auto"/>
        <w:ind w:firstLine="480" w:firstLineChars="200"/>
        <w:rPr>
          <w:rFonts w:cs="宋体"/>
          <w:sz w:val="24"/>
        </w:rPr>
      </w:pPr>
      <w:r>
        <w:rPr>
          <w:rFonts w:hint="eastAsia" w:cs="宋体"/>
          <w:sz w:val="24"/>
        </w:rPr>
        <w:t>招标单位将在招标人与中标人签订书面合同后5个日历日内向未中标的投标人退还投标保证金。</w:t>
      </w:r>
    </w:p>
    <w:p>
      <w:pPr>
        <w:numPr>
          <w:ilvl w:val="2"/>
          <w:numId w:val="2"/>
        </w:numPr>
        <w:tabs>
          <w:tab w:val="left" w:pos="964"/>
        </w:tabs>
        <w:spacing w:line="360" w:lineRule="auto"/>
        <w:ind w:firstLine="480" w:firstLineChars="200"/>
        <w:rPr>
          <w:rFonts w:cs="宋体"/>
          <w:sz w:val="24"/>
        </w:rPr>
      </w:pPr>
      <w:r>
        <w:rPr>
          <w:rFonts w:hint="eastAsia" w:cs="宋体"/>
          <w:sz w:val="24"/>
        </w:rPr>
        <w:t>招标单位将在中标人签订书面合同（招标人如有要求中标人支付履约保证金的，则增加：并向招标人支付履约保证金）后，且中标人提交采购合同等有关资料之日起的5个日历日内向中标人退还投标保证金。</w:t>
      </w:r>
    </w:p>
    <w:p>
      <w:pPr>
        <w:numPr>
          <w:ilvl w:val="2"/>
          <w:numId w:val="2"/>
        </w:numPr>
        <w:tabs>
          <w:tab w:val="left" w:pos="964"/>
        </w:tabs>
        <w:spacing w:line="360" w:lineRule="auto"/>
        <w:ind w:firstLine="480" w:firstLineChars="200"/>
        <w:rPr>
          <w:rFonts w:cs="宋体"/>
          <w:sz w:val="24"/>
        </w:rPr>
      </w:pPr>
      <w:r>
        <w:rPr>
          <w:rFonts w:hint="eastAsia" w:cs="宋体"/>
          <w:sz w:val="24"/>
        </w:rPr>
        <w:t>投标保证金有效期与投标有效期一致。</w:t>
      </w:r>
    </w:p>
    <w:p>
      <w:pPr>
        <w:numPr>
          <w:ilvl w:val="2"/>
          <w:numId w:val="2"/>
        </w:numPr>
        <w:tabs>
          <w:tab w:val="left" w:pos="964"/>
        </w:tabs>
        <w:spacing w:line="360" w:lineRule="auto"/>
        <w:ind w:firstLine="480" w:firstLineChars="200"/>
        <w:rPr>
          <w:rFonts w:cs="宋体"/>
          <w:sz w:val="24"/>
        </w:rPr>
      </w:pPr>
      <w:r>
        <w:rPr>
          <w:rFonts w:hint="eastAsia" w:cs="宋体"/>
          <w:sz w:val="24"/>
        </w:rPr>
        <w:t>发生以下情形之一的，投标保证金将不予退还：</w:t>
      </w:r>
    </w:p>
    <w:p>
      <w:pPr>
        <w:numPr>
          <w:ilvl w:val="3"/>
          <w:numId w:val="2"/>
        </w:numPr>
        <w:tabs>
          <w:tab w:val="left" w:pos="964"/>
        </w:tabs>
        <w:spacing w:line="360" w:lineRule="auto"/>
        <w:ind w:firstLine="480" w:firstLineChars="200"/>
        <w:rPr>
          <w:rFonts w:cs="宋体"/>
          <w:sz w:val="24"/>
        </w:rPr>
      </w:pPr>
      <w:r>
        <w:rPr>
          <w:rFonts w:hint="eastAsia" w:cs="宋体"/>
          <w:sz w:val="24"/>
        </w:rPr>
        <w:t>投标人在投标截止时间后，投标有效期内撤回投标；</w:t>
      </w:r>
    </w:p>
    <w:p>
      <w:pPr>
        <w:numPr>
          <w:ilvl w:val="3"/>
          <w:numId w:val="2"/>
        </w:numPr>
        <w:tabs>
          <w:tab w:val="left" w:pos="964"/>
        </w:tabs>
        <w:spacing w:line="360" w:lineRule="auto"/>
        <w:ind w:firstLine="480" w:firstLineChars="200"/>
        <w:rPr>
          <w:rFonts w:cs="宋体"/>
          <w:sz w:val="24"/>
        </w:rPr>
      </w:pPr>
      <w:r>
        <w:rPr>
          <w:rFonts w:hint="eastAsia" w:cs="宋体"/>
          <w:sz w:val="24"/>
        </w:rPr>
        <w:t>中标人未能按本须知第22条规定签订合同；</w:t>
      </w:r>
    </w:p>
    <w:p>
      <w:pPr>
        <w:numPr>
          <w:ilvl w:val="3"/>
          <w:numId w:val="2"/>
        </w:numPr>
        <w:tabs>
          <w:tab w:val="left" w:pos="964"/>
        </w:tabs>
        <w:spacing w:line="360" w:lineRule="auto"/>
        <w:ind w:firstLine="480" w:firstLineChars="200"/>
        <w:rPr>
          <w:rFonts w:cs="宋体"/>
          <w:sz w:val="24"/>
        </w:rPr>
      </w:pPr>
      <w:r>
        <w:rPr>
          <w:rFonts w:hint="eastAsia" w:cs="宋体"/>
          <w:sz w:val="24"/>
        </w:rPr>
        <w:t>以他人名义投标或者以其他方式弄虚作假，骗取中标；</w:t>
      </w:r>
    </w:p>
    <w:p>
      <w:pPr>
        <w:numPr>
          <w:ilvl w:val="3"/>
          <w:numId w:val="2"/>
        </w:numPr>
        <w:tabs>
          <w:tab w:val="left" w:pos="964"/>
        </w:tabs>
        <w:spacing w:line="360" w:lineRule="auto"/>
        <w:ind w:firstLine="480" w:firstLineChars="200"/>
        <w:rPr>
          <w:rFonts w:cs="宋体"/>
          <w:sz w:val="24"/>
        </w:rPr>
      </w:pPr>
      <w:r>
        <w:rPr>
          <w:rFonts w:hint="eastAsia" w:cs="宋体"/>
          <w:sz w:val="24"/>
        </w:rPr>
        <w:t>本招标文件或法律法规中规定的其他没收投标保证金的情形。</w:t>
      </w:r>
    </w:p>
    <w:p>
      <w:pPr>
        <w:spacing w:line="360" w:lineRule="auto"/>
        <w:ind w:firstLine="480" w:firstLineChars="200"/>
        <w:rPr>
          <w:rFonts w:cs="宋体"/>
          <w:sz w:val="24"/>
        </w:rPr>
      </w:pPr>
      <w:r>
        <w:rPr>
          <w:rFonts w:hint="eastAsia" w:cs="宋体"/>
          <w:sz w:val="24"/>
        </w:rPr>
        <w:t>上述不予退还投标保证金的情形给招标采购单位造成损失的，相关责任人还应当承担赔偿责任。</w:t>
      </w:r>
    </w:p>
    <w:p>
      <w:pPr>
        <w:pStyle w:val="4"/>
        <w:numPr>
          <w:ilvl w:val="0"/>
          <w:numId w:val="2"/>
        </w:numPr>
        <w:tabs>
          <w:tab w:val="left" w:pos="425"/>
          <w:tab w:val="left" w:pos="630"/>
          <w:tab w:val="left" w:pos="720"/>
        </w:tabs>
        <w:spacing w:before="0" w:after="0" w:line="360" w:lineRule="auto"/>
        <w:ind w:left="720" w:hanging="360"/>
        <w:rPr>
          <w:rFonts w:ascii="宋体" w:hAnsi="宋体" w:cs="宋体"/>
          <w:sz w:val="24"/>
          <w:szCs w:val="24"/>
        </w:rPr>
      </w:pPr>
      <w:bookmarkStart w:id="374" w:name="_Toc34137393"/>
      <w:bookmarkEnd w:id="374"/>
      <w:bookmarkStart w:id="375" w:name="_Toc22911"/>
      <w:bookmarkEnd w:id="375"/>
      <w:bookmarkStart w:id="376" w:name="_Toc21132"/>
      <w:bookmarkEnd w:id="376"/>
      <w:bookmarkStart w:id="377" w:name="_Toc11748"/>
      <w:bookmarkEnd w:id="377"/>
      <w:bookmarkStart w:id="378" w:name="_Toc26679"/>
      <w:bookmarkEnd w:id="378"/>
      <w:bookmarkStart w:id="379" w:name="_Toc23777"/>
      <w:bookmarkEnd w:id="379"/>
      <w:bookmarkStart w:id="380" w:name="_Toc4995"/>
      <w:bookmarkEnd w:id="380"/>
      <w:bookmarkStart w:id="381" w:name="_Toc14221"/>
      <w:bookmarkEnd w:id="381"/>
      <w:bookmarkStart w:id="382" w:name="_Toc26444"/>
      <w:bookmarkStart w:id="383" w:name="_Toc8580"/>
      <w:bookmarkStart w:id="384" w:name="_Toc19919"/>
      <w:bookmarkStart w:id="385" w:name="_Toc51751175"/>
      <w:bookmarkStart w:id="386" w:name="_Toc23386"/>
      <w:bookmarkStart w:id="387" w:name="_Toc32635"/>
      <w:bookmarkStart w:id="388" w:name="_Toc25373"/>
      <w:bookmarkStart w:id="389" w:name="_Toc12911"/>
      <w:bookmarkStart w:id="390" w:name="_Toc8988"/>
      <w:r>
        <w:rPr>
          <w:rFonts w:hint="eastAsia" w:ascii="宋体" w:hAnsi="宋体" w:cs="宋体"/>
          <w:sz w:val="24"/>
          <w:szCs w:val="24"/>
        </w:rPr>
        <w:t>投标文件的格式</w:t>
      </w:r>
      <w:bookmarkEnd w:id="382"/>
      <w:bookmarkEnd w:id="383"/>
      <w:bookmarkEnd w:id="384"/>
      <w:bookmarkEnd w:id="385"/>
      <w:bookmarkEnd w:id="386"/>
      <w:bookmarkEnd w:id="387"/>
      <w:bookmarkEnd w:id="388"/>
      <w:bookmarkEnd w:id="389"/>
      <w:bookmarkEnd w:id="390"/>
    </w:p>
    <w:p>
      <w:pPr>
        <w:numPr>
          <w:ilvl w:val="1"/>
          <w:numId w:val="2"/>
        </w:numPr>
        <w:tabs>
          <w:tab w:val="left" w:pos="964"/>
        </w:tabs>
        <w:spacing w:line="360" w:lineRule="auto"/>
        <w:ind w:firstLine="480" w:firstLineChars="200"/>
        <w:rPr>
          <w:rFonts w:cs="宋体"/>
          <w:sz w:val="24"/>
        </w:rPr>
      </w:pPr>
      <w:r>
        <w:rPr>
          <w:rFonts w:hint="eastAsia" w:cs="宋体"/>
          <w:sz w:val="24"/>
          <w:szCs w:val="24"/>
        </w:rPr>
        <w:t>投标人须编制由本须知第10条规定文件组成的投标文件正本一份，副本一份，正本必须用A4幅面纸张打印装订，副本可以用正本的完整复印件。图纸可用A3幅面纸打印并单独装订（一正一副）。并在封面标明“正本”、“副本”字样。正本、副本、电子档如有不一致，则以正本为准。</w:t>
      </w:r>
    </w:p>
    <w:p>
      <w:pPr>
        <w:numPr>
          <w:ilvl w:val="1"/>
          <w:numId w:val="2"/>
        </w:numPr>
        <w:tabs>
          <w:tab w:val="left" w:pos="964"/>
        </w:tabs>
        <w:spacing w:line="360" w:lineRule="auto"/>
        <w:ind w:firstLine="480" w:firstLineChars="200"/>
        <w:rPr>
          <w:rFonts w:cs="宋体"/>
          <w:sz w:val="24"/>
        </w:rPr>
      </w:pPr>
      <w:r>
        <w:rPr>
          <w:rFonts w:hint="eastAsia" w:cs="宋体"/>
          <w:sz w:val="24"/>
        </w:rPr>
        <w:t>投标文件应由投标人的法定代表人或者其授权代表签字并加盖公章，如由后者签字，应提供“法定代表人授权委托书”。</w:t>
      </w:r>
    </w:p>
    <w:p>
      <w:pPr>
        <w:numPr>
          <w:ilvl w:val="1"/>
          <w:numId w:val="2"/>
        </w:numPr>
        <w:tabs>
          <w:tab w:val="left" w:pos="964"/>
        </w:tabs>
        <w:spacing w:line="360" w:lineRule="auto"/>
        <w:ind w:firstLine="480" w:firstLineChars="200"/>
        <w:rPr>
          <w:rFonts w:cs="宋体"/>
          <w:sz w:val="24"/>
        </w:rPr>
      </w:pPr>
      <w:r>
        <w:rPr>
          <w:rFonts w:hint="eastAsia" w:cs="宋体"/>
          <w:sz w:val="24"/>
        </w:rPr>
        <w:t>除非有另外的规定或许可，投标使用货币为人民币。</w:t>
      </w:r>
    </w:p>
    <w:p>
      <w:pPr>
        <w:numPr>
          <w:ilvl w:val="1"/>
          <w:numId w:val="2"/>
        </w:numPr>
        <w:tabs>
          <w:tab w:val="left" w:pos="964"/>
        </w:tabs>
        <w:spacing w:line="360" w:lineRule="auto"/>
        <w:ind w:firstLine="480" w:firstLineChars="200"/>
        <w:rPr>
          <w:rFonts w:cs="宋体"/>
          <w:sz w:val="24"/>
        </w:rPr>
      </w:pPr>
      <w:r>
        <w:rPr>
          <w:rFonts w:hint="eastAsia" w:cs="宋体"/>
          <w:sz w:val="24"/>
        </w:rPr>
        <w:t>投标人应提交证明其拟供货物符合招标文件要求的技术响应文件，该文件可以是文字资料、图纸和数据，并须提供货物主要技术性能的详细描述。</w:t>
      </w:r>
    </w:p>
    <w:p>
      <w:pPr>
        <w:numPr>
          <w:ilvl w:val="1"/>
          <w:numId w:val="2"/>
        </w:numPr>
        <w:tabs>
          <w:tab w:val="left" w:pos="964"/>
        </w:tabs>
        <w:spacing w:line="360" w:lineRule="auto"/>
        <w:ind w:firstLine="480" w:firstLineChars="200"/>
        <w:rPr>
          <w:rFonts w:cs="宋体"/>
          <w:sz w:val="24"/>
        </w:rPr>
      </w:pPr>
      <w:r>
        <w:rPr>
          <w:rFonts w:hint="eastAsia" w:cs="宋体"/>
          <w:sz w:val="24"/>
        </w:rPr>
        <w:t>未按本须知规定的格式填写投标文件、投标文件字迹模糊不清的，其投标可能被承担不利的评标结果。</w:t>
      </w:r>
    </w:p>
    <w:p>
      <w:pPr>
        <w:numPr>
          <w:ilvl w:val="1"/>
          <w:numId w:val="2"/>
        </w:numPr>
        <w:tabs>
          <w:tab w:val="left" w:pos="964"/>
        </w:tabs>
        <w:spacing w:line="360" w:lineRule="auto"/>
        <w:ind w:firstLine="480" w:firstLineChars="200"/>
        <w:rPr>
          <w:rFonts w:cs="宋体"/>
          <w:sz w:val="24"/>
        </w:rPr>
      </w:pPr>
      <w:r>
        <w:rPr>
          <w:rFonts w:hint="eastAsia" w:cs="宋体"/>
          <w:sz w:val="24"/>
        </w:rPr>
        <w:t>项目为多个合同包的，每个合同包均须单独递交投标文件。</w:t>
      </w:r>
    </w:p>
    <w:p>
      <w:pPr>
        <w:pStyle w:val="2"/>
        <w:spacing w:before="0" w:after="0" w:line="360" w:lineRule="auto"/>
        <w:jc w:val="center"/>
        <w:rPr>
          <w:rFonts w:ascii="宋体" w:hAnsi="宋体"/>
          <w:sz w:val="28"/>
          <w:szCs w:val="28"/>
        </w:rPr>
      </w:pPr>
      <w:bookmarkStart w:id="391" w:name="_Toc15725"/>
      <w:bookmarkEnd w:id="391"/>
      <w:bookmarkStart w:id="392" w:name="_Toc5230"/>
      <w:bookmarkEnd w:id="392"/>
      <w:bookmarkStart w:id="393" w:name="_Toc34137394"/>
      <w:bookmarkEnd w:id="393"/>
      <w:bookmarkStart w:id="394" w:name="_Toc20673"/>
      <w:bookmarkEnd w:id="394"/>
      <w:bookmarkStart w:id="395" w:name="_Toc17421"/>
      <w:bookmarkEnd w:id="395"/>
      <w:bookmarkStart w:id="396" w:name="_Toc8993"/>
      <w:bookmarkEnd w:id="396"/>
      <w:bookmarkStart w:id="397" w:name="_Toc2289"/>
      <w:bookmarkEnd w:id="397"/>
      <w:bookmarkStart w:id="398" w:name="_Toc29250"/>
      <w:bookmarkEnd w:id="398"/>
      <w:bookmarkStart w:id="399" w:name="_Toc4782_WPSOffice_Level2"/>
      <w:bookmarkEnd w:id="399"/>
      <w:bookmarkStart w:id="400" w:name="_Toc51751176"/>
      <w:bookmarkStart w:id="401" w:name="_Toc15662"/>
      <w:bookmarkStart w:id="402" w:name="_Toc27945"/>
      <w:bookmarkStart w:id="403" w:name="_Toc4277"/>
      <w:bookmarkStart w:id="404" w:name="_Toc4409"/>
      <w:bookmarkStart w:id="405" w:name="_Toc29678"/>
      <w:bookmarkStart w:id="406" w:name="_Toc19845"/>
      <w:bookmarkStart w:id="407" w:name="_Toc148459128"/>
      <w:bookmarkStart w:id="408" w:name="_Toc16116"/>
      <w:bookmarkStart w:id="409" w:name="_Toc22412"/>
      <w:bookmarkStart w:id="410" w:name="_Toc20019"/>
      <w:bookmarkStart w:id="411" w:name="_Toc2807"/>
      <w:r>
        <w:rPr>
          <w:rFonts w:hint="eastAsia" w:ascii="宋体" w:hAnsi="宋体"/>
          <w:sz w:val="28"/>
          <w:szCs w:val="28"/>
        </w:rPr>
        <w:t>第</w:t>
      </w:r>
      <w:bookmarkEnd w:id="400"/>
      <w:r>
        <w:rPr>
          <w:rFonts w:hint="eastAsia" w:ascii="宋体" w:hAnsi="宋体"/>
          <w:sz w:val="28"/>
          <w:szCs w:val="28"/>
        </w:rPr>
        <w:t>四节  投标文件的提交</w:t>
      </w:r>
      <w:bookmarkEnd w:id="401"/>
      <w:bookmarkEnd w:id="402"/>
      <w:bookmarkEnd w:id="403"/>
      <w:bookmarkEnd w:id="404"/>
      <w:bookmarkEnd w:id="405"/>
      <w:bookmarkEnd w:id="406"/>
      <w:bookmarkEnd w:id="407"/>
      <w:bookmarkEnd w:id="408"/>
      <w:bookmarkEnd w:id="409"/>
      <w:bookmarkEnd w:id="410"/>
      <w:bookmarkEnd w:id="411"/>
    </w:p>
    <w:p>
      <w:pPr>
        <w:pStyle w:val="4"/>
        <w:numPr>
          <w:ilvl w:val="0"/>
          <w:numId w:val="2"/>
        </w:numPr>
        <w:tabs>
          <w:tab w:val="left" w:pos="425"/>
          <w:tab w:val="left" w:pos="630"/>
          <w:tab w:val="left" w:pos="720"/>
        </w:tabs>
        <w:spacing w:before="0" w:after="0" w:line="360" w:lineRule="auto"/>
        <w:ind w:left="720" w:hanging="360"/>
        <w:rPr>
          <w:rFonts w:ascii="宋体" w:hAnsi="宋体" w:cs="宋体"/>
          <w:sz w:val="24"/>
          <w:szCs w:val="24"/>
        </w:rPr>
      </w:pPr>
      <w:bookmarkStart w:id="412" w:name="_Toc11589"/>
      <w:bookmarkEnd w:id="412"/>
      <w:bookmarkStart w:id="413" w:name="_Toc875"/>
      <w:bookmarkEnd w:id="413"/>
      <w:bookmarkStart w:id="414" w:name="_Toc34137395"/>
      <w:bookmarkEnd w:id="414"/>
      <w:bookmarkStart w:id="415" w:name="_Toc10347"/>
      <w:bookmarkEnd w:id="415"/>
      <w:bookmarkStart w:id="416" w:name="_Toc25023"/>
      <w:bookmarkEnd w:id="416"/>
      <w:bookmarkStart w:id="417" w:name="_Toc30030"/>
      <w:bookmarkEnd w:id="417"/>
      <w:bookmarkStart w:id="418" w:name="_Toc26401"/>
      <w:bookmarkEnd w:id="418"/>
      <w:bookmarkStart w:id="419" w:name="_Toc6276"/>
      <w:bookmarkEnd w:id="419"/>
      <w:bookmarkStart w:id="420" w:name="_Toc23404"/>
      <w:bookmarkStart w:id="421" w:name="_Toc7673"/>
      <w:bookmarkStart w:id="422" w:name="_Toc51751177"/>
      <w:bookmarkStart w:id="423" w:name="_Toc4621"/>
      <w:bookmarkStart w:id="424" w:name="_Toc31869"/>
      <w:bookmarkStart w:id="425" w:name="_Toc27803"/>
      <w:bookmarkStart w:id="426" w:name="_Toc138"/>
      <w:bookmarkStart w:id="427" w:name="_Toc4953"/>
      <w:bookmarkStart w:id="428" w:name="_Toc22664"/>
      <w:bookmarkStart w:id="429" w:name="_Toc18030"/>
      <w:r>
        <w:rPr>
          <w:rFonts w:hint="eastAsia" w:ascii="宋体" w:hAnsi="宋体" w:cs="宋体"/>
          <w:sz w:val="24"/>
          <w:szCs w:val="24"/>
        </w:rPr>
        <w:t>投标文件的密封、标记和递交</w:t>
      </w:r>
      <w:bookmarkEnd w:id="420"/>
      <w:bookmarkEnd w:id="421"/>
      <w:bookmarkEnd w:id="422"/>
      <w:bookmarkEnd w:id="423"/>
      <w:bookmarkEnd w:id="424"/>
      <w:bookmarkEnd w:id="425"/>
      <w:bookmarkEnd w:id="426"/>
      <w:bookmarkEnd w:id="427"/>
      <w:bookmarkEnd w:id="428"/>
      <w:bookmarkEnd w:id="429"/>
    </w:p>
    <w:p>
      <w:pPr>
        <w:numPr>
          <w:ilvl w:val="1"/>
          <w:numId w:val="2"/>
        </w:numPr>
        <w:tabs>
          <w:tab w:val="left" w:pos="964"/>
        </w:tabs>
        <w:spacing w:line="360" w:lineRule="auto"/>
        <w:ind w:firstLine="480" w:firstLineChars="200"/>
        <w:rPr>
          <w:rFonts w:cs="宋体"/>
          <w:sz w:val="24"/>
        </w:rPr>
      </w:pPr>
      <w:r>
        <w:rPr>
          <w:rFonts w:hint="eastAsia" w:cs="宋体"/>
          <w:sz w:val="24"/>
        </w:rPr>
        <w:t>投标人应将投标文件正本和全部副本分别用信封密封，标明招标编号、投标人名称、投标货物名称及“正本”或“副本”字样，并在封口处加盖投标人公章。投标文件未密封将导致其投标被拒绝。</w:t>
      </w:r>
    </w:p>
    <w:p>
      <w:pPr>
        <w:numPr>
          <w:ilvl w:val="1"/>
          <w:numId w:val="2"/>
        </w:numPr>
        <w:tabs>
          <w:tab w:val="left" w:pos="964"/>
        </w:tabs>
        <w:spacing w:line="360" w:lineRule="auto"/>
        <w:ind w:firstLine="480" w:firstLineChars="200"/>
        <w:rPr>
          <w:rFonts w:cs="宋体"/>
          <w:sz w:val="24"/>
        </w:rPr>
      </w:pPr>
      <w:r>
        <w:rPr>
          <w:rFonts w:hint="eastAsia" w:cs="宋体"/>
          <w:sz w:val="24"/>
        </w:rPr>
        <w:t>每一信封密封处应加盖投标人公章。</w:t>
      </w:r>
    </w:p>
    <w:p>
      <w:pPr>
        <w:numPr>
          <w:ilvl w:val="1"/>
          <w:numId w:val="2"/>
        </w:numPr>
        <w:tabs>
          <w:tab w:val="left" w:pos="964"/>
        </w:tabs>
        <w:spacing w:line="360" w:lineRule="auto"/>
        <w:ind w:firstLine="480" w:firstLineChars="200"/>
        <w:rPr>
          <w:rFonts w:cs="宋体"/>
          <w:sz w:val="24"/>
        </w:rPr>
      </w:pPr>
      <w:r>
        <w:rPr>
          <w:rFonts w:hint="eastAsia" w:cs="宋体"/>
          <w:sz w:val="24"/>
        </w:rPr>
        <w:t>如果投标文件由邮局或专人送交，投标人应将投标文件按照本须知第14.1条至第14.2条的规定进行密封和标记后，按投标人须知前附表1注明的地址送至接收人。</w:t>
      </w:r>
    </w:p>
    <w:p>
      <w:pPr>
        <w:numPr>
          <w:ilvl w:val="1"/>
          <w:numId w:val="2"/>
        </w:numPr>
        <w:tabs>
          <w:tab w:val="left" w:pos="964"/>
        </w:tabs>
        <w:spacing w:line="360" w:lineRule="auto"/>
        <w:ind w:firstLine="480" w:firstLineChars="200"/>
        <w:rPr>
          <w:rFonts w:cs="宋体"/>
          <w:sz w:val="24"/>
        </w:rPr>
      </w:pPr>
      <w:r>
        <w:rPr>
          <w:rFonts w:hint="eastAsia" w:cs="宋体"/>
          <w:sz w:val="24"/>
        </w:rPr>
        <w:t>如果未按上述规定进行密封和标记，招标单位将不承担由此造成的对投标文件的误投或提前拆封的责任。</w:t>
      </w:r>
    </w:p>
    <w:p>
      <w:pPr>
        <w:numPr>
          <w:ilvl w:val="1"/>
          <w:numId w:val="2"/>
        </w:numPr>
        <w:tabs>
          <w:tab w:val="left" w:pos="964"/>
        </w:tabs>
        <w:spacing w:line="360" w:lineRule="auto"/>
        <w:ind w:firstLine="480" w:firstLineChars="200"/>
        <w:rPr>
          <w:rFonts w:cs="宋体"/>
          <w:sz w:val="24"/>
        </w:rPr>
      </w:pPr>
      <w:r>
        <w:rPr>
          <w:rFonts w:hint="eastAsia" w:cs="宋体"/>
          <w:sz w:val="24"/>
        </w:rPr>
        <w:t>投标文件应在投标邀请中规定的截止时间前送达，迟到的投标文件为无效投标文件, 将被拒收。</w:t>
      </w:r>
    </w:p>
    <w:p>
      <w:pPr>
        <w:numPr>
          <w:ilvl w:val="1"/>
          <w:numId w:val="2"/>
        </w:numPr>
        <w:tabs>
          <w:tab w:val="left" w:pos="964"/>
        </w:tabs>
        <w:spacing w:line="360" w:lineRule="auto"/>
        <w:ind w:firstLine="480" w:firstLineChars="200"/>
        <w:rPr>
          <w:rFonts w:cs="宋体"/>
          <w:sz w:val="24"/>
        </w:rPr>
      </w:pPr>
      <w:r>
        <w:rPr>
          <w:rFonts w:hint="eastAsia" w:cs="宋体"/>
          <w:sz w:val="24"/>
        </w:rPr>
        <w:t>投标人在投标截止时间前，可以对所提交的投标文件进行修改或者撤回，并书面通知招标单位。修改的内容和撤回通知应当按本须知要求签署、盖章、密封，并作为投标文件的组成部分。</w:t>
      </w:r>
    </w:p>
    <w:p>
      <w:pPr>
        <w:numPr>
          <w:ilvl w:val="1"/>
          <w:numId w:val="2"/>
        </w:numPr>
        <w:tabs>
          <w:tab w:val="left" w:pos="964"/>
        </w:tabs>
        <w:spacing w:line="360" w:lineRule="auto"/>
        <w:ind w:firstLine="480" w:firstLineChars="200"/>
        <w:rPr>
          <w:rFonts w:cs="宋体"/>
          <w:sz w:val="24"/>
        </w:rPr>
      </w:pPr>
      <w:r>
        <w:rPr>
          <w:rFonts w:hint="eastAsia" w:cs="宋体"/>
          <w:sz w:val="24"/>
        </w:rPr>
        <w:t>投标人在投标截止时间后不得修改、撤回投标文件。投标人在投标截止时间后修改投标文件的，其投标将被拒绝。</w:t>
      </w:r>
    </w:p>
    <w:p>
      <w:pPr>
        <w:numPr>
          <w:ilvl w:val="1"/>
          <w:numId w:val="2"/>
        </w:numPr>
        <w:tabs>
          <w:tab w:val="left" w:pos="964"/>
        </w:tabs>
        <w:spacing w:line="360" w:lineRule="auto"/>
        <w:ind w:firstLine="480" w:firstLineChars="200"/>
        <w:rPr>
          <w:rFonts w:cs="宋体"/>
          <w:sz w:val="24"/>
        </w:rPr>
      </w:pPr>
      <w:r>
        <w:rPr>
          <w:rFonts w:hint="eastAsia" w:cs="宋体"/>
          <w:sz w:val="24"/>
        </w:rPr>
        <w:t>投标截止时间结束后参加投标的投标人不足3家的，除采购任务取消情形外，招标采购单位将依法重新组织招标或者采用其他方式进行采购。</w:t>
      </w:r>
    </w:p>
    <w:p>
      <w:pPr>
        <w:pStyle w:val="2"/>
        <w:spacing w:before="0" w:after="0" w:line="360" w:lineRule="auto"/>
        <w:jc w:val="center"/>
        <w:rPr>
          <w:rFonts w:ascii="宋体" w:hAnsi="宋体"/>
          <w:sz w:val="28"/>
          <w:szCs w:val="28"/>
        </w:rPr>
      </w:pPr>
      <w:bookmarkStart w:id="430" w:name="_Toc13887"/>
      <w:bookmarkEnd w:id="430"/>
      <w:bookmarkStart w:id="431" w:name="_Toc15703"/>
      <w:bookmarkEnd w:id="431"/>
      <w:bookmarkStart w:id="432" w:name="_Toc13422"/>
      <w:bookmarkEnd w:id="432"/>
      <w:bookmarkStart w:id="433" w:name="_Toc28609"/>
      <w:bookmarkEnd w:id="433"/>
      <w:bookmarkStart w:id="434" w:name="_Toc15566_WPSOffice_Level2"/>
      <w:bookmarkEnd w:id="434"/>
      <w:bookmarkStart w:id="435" w:name="_Toc24549"/>
      <w:bookmarkEnd w:id="435"/>
      <w:bookmarkStart w:id="436" w:name="_Toc34137396"/>
      <w:bookmarkEnd w:id="436"/>
      <w:bookmarkStart w:id="437" w:name="_Toc22725"/>
      <w:bookmarkEnd w:id="437"/>
      <w:bookmarkStart w:id="438" w:name="_Toc5693"/>
      <w:bookmarkEnd w:id="438"/>
      <w:bookmarkStart w:id="439" w:name="_Toc51751178"/>
      <w:bookmarkStart w:id="440" w:name="_Toc13662"/>
      <w:bookmarkStart w:id="441" w:name="_Toc2382"/>
      <w:bookmarkStart w:id="442" w:name="_Toc26981"/>
      <w:bookmarkStart w:id="443" w:name="_Toc28496"/>
      <w:bookmarkStart w:id="444" w:name="_Toc1750"/>
      <w:bookmarkStart w:id="445" w:name="_Toc7255"/>
      <w:bookmarkStart w:id="446" w:name="_Toc28377"/>
      <w:bookmarkStart w:id="447" w:name="_Toc148459129"/>
      <w:bookmarkStart w:id="448" w:name="_Toc32137"/>
      <w:bookmarkStart w:id="449" w:name="_Toc17736"/>
      <w:bookmarkStart w:id="450" w:name="_Toc20581"/>
      <w:r>
        <w:rPr>
          <w:rFonts w:hint="eastAsia" w:ascii="宋体" w:hAnsi="宋体"/>
          <w:sz w:val="28"/>
          <w:szCs w:val="28"/>
        </w:rPr>
        <w:t>第</w:t>
      </w:r>
      <w:bookmarkEnd w:id="439"/>
      <w:r>
        <w:rPr>
          <w:rFonts w:hint="eastAsia" w:ascii="宋体" w:hAnsi="宋体"/>
          <w:sz w:val="28"/>
          <w:szCs w:val="28"/>
        </w:rPr>
        <w:t xml:space="preserve">五节  </w:t>
      </w:r>
      <w:bookmarkEnd w:id="440"/>
      <w:bookmarkEnd w:id="441"/>
      <w:r>
        <w:rPr>
          <w:rFonts w:hint="eastAsia" w:ascii="宋体" w:hAnsi="宋体"/>
          <w:sz w:val="28"/>
          <w:szCs w:val="28"/>
        </w:rPr>
        <w:t>开标和评标</w:t>
      </w:r>
      <w:bookmarkEnd w:id="442"/>
      <w:bookmarkEnd w:id="443"/>
      <w:bookmarkEnd w:id="444"/>
      <w:bookmarkEnd w:id="445"/>
      <w:bookmarkEnd w:id="446"/>
      <w:bookmarkEnd w:id="447"/>
      <w:bookmarkEnd w:id="448"/>
      <w:bookmarkEnd w:id="449"/>
      <w:bookmarkEnd w:id="450"/>
    </w:p>
    <w:p>
      <w:pPr>
        <w:pStyle w:val="4"/>
        <w:numPr>
          <w:ilvl w:val="0"/>
          <w:numId w:val="2"/>
        </w:numPr>
        <w:tabs>
          <w:tab w:val="left" w:pos="425"/>
          <w:tab w:val="left" w:pos="630"/>
          <w:tab w:val="left" w:pos="720"/>
        </w:tabs>
        <w:spacing w:before="0" w:after="0" w:line="360" w:lineRule="auto"/>
        <w:ind w:left="720" w:hanging="360"/>
        <w:rPr>
          <w:rFonts w:ascii="宋体" w:hAnsi="宋体" w:cs="宋体"/>
          <w:sz w:val="24"/>
          <w:szCs w:val="24"/>
        </w:rPr>
      </w:pPr>
      <w:bookmarkStart w:id="451" w:name="_Toc34137397"/>
      <w:bookmarkEnd w:id="451"/>
      <w:bookmarkStart w:id="452" w:name="_Toc8342"/>
      <w:bookmarkEnd w:id="452"/>
      <w:bookmarkStart w:id="453" w:name="_Toc26681"/>
      <w:bookmarkEnd w:id="453"/>
      <w:bookmarkStart w:id="454" w:name="_Toc10864"/>
      <w:bookmarkEnd w:id="454"/>
      <w:bookmarkStart w:id="455" w:name="_Toc32132"/>
      <w:bookmarkEnd w:id="455"/>
      <w:bookmarkStart w:id="456" w:name="_Toc2770"/>
      <w:bookmarkEnd w:id="456"/>
      <w:bookmarkStart w:id="457" w:name="_Toc13648"/>
      <w:bookmarkEnd w:id="457"/>
      <w:bookmarkStart w:id="458" w:name="_Toc28109"/>
      <w:bookmarkEnd w:id="458"/>
      <w:bookmarkStart w:id="459" w:name="_Toc8969"/>
      <w:bookmarkStart w:id="460" w:name="_Toc22014"/>
      <w:bookmarkStart w:id="461" w:name="_Toc11757"/>
      <w:bookmarkStart w:id="462" w:name="_Toc20633"/>
      <w:bookmarkStart w:id="463" w:name="_Toc30275"/>
      <w:bookmarkStart w:id="464" w:name="_Toc51751179"/>
      <w:bookmarkStart w:id="465" w:name="_Toc5479"/>
      <w:bookmarkStart w:id="466" w:name="_Toc25615"/>
      <w:bookmarkStart w:id="467" w:name="_Toc18342"/>
      <w:bookmarkStart w:id="468" w:name="_Toc32028"/>
      <w:r>
        <w:rPr>
          <w:rFonts w:hint="eastAsia" w:ascii="宋体" w:hAnsi="宋体" w:cs="宋体"/>
          <w:sz w:val="24"/>
          <w:szCs w:val="24"/>
        </w:rPr>
        <w:t>开标、评标时间</w:t>
      </w:r>
      <w:bookmarkEnd w:id="459"/>
      <w:bookmarkEnd w:id="460"/>
      <w:bookmarkEnd w:id="461"/>
      <w:bookmarkEnd w:id="462"/>
      <w:bookmarkEnd w:id="463"/>
      <w:bookmarkEnd w:id="464"/>
      <w:bookmarkEnd w:id="465"/>
      <w:bookmarkEnd w:id="466"/>
      <w:bookmarkEnd w:id="467"/>
      <w:bookmarkEnd w:id="468"/>
    </w:p>
    <w:p>
      <w:pPr>
        <w:numPr>
          <w:ilvl w:val="1"/>
          <w:numId w:val="2"/>
        </w:numPr>
        <w:tabs>
          <w:tab w:val="left" w:pos="964"/>
        </w:tabs>
        <w:spacing w:line="360" w:lineRule="auto"/>
        <w:ind w:firstLine="480" w:firstLineChars="200"/>
        <w:rPr>
          <w:rFonts w:cs="宋体"/>
          <w:sz w:val="24"/>
        </w:rPr>
      </w:pPr>
      <w:r>
        <w:rPr>
          <w:rFonts w:hint="eastAsia" w:cs="宋体"/>
          <w:sz w:val="24"/>
        </w:rPr>
        <w:t>在《投标人须知前附表1》中所规定的时间、地点开标（如有推迟情形，以推迟后的时间、地点为准）。</w:t>
      </w:r>
    </w:p>
    <w:p>
      <w:pPr>
        <w:numPr>
          <w:ilvl w:val="1"/>
          <w:numId w:val="2"/>
        </w:numPr>
        <w:tabs>
          <w:tab w:val="left" w:pos="964"/>
        </w:tabs>
        <w:spacing w:line="360" w:lineRule="auto"/>
        <w:ind w:firstLine="480" w:firstLineChars="200"/>
        <w:rPr>
          <w:rFonts w:cs="宋体"/>
          <w:sz w:val="24"/>
        </w:rPr>
      </w:pPr>
      <w:r>
        <w:rPr>
          <w:rFonts w:hint="eastAsia" w:cs="宋体"/>
          <w:sz w:val="24"/>
        </w:rPr>
        <w:t>开标由招标单位主持，邀请有关方面代表参加。投标人一般应派授权代表参加开标会，并办理签到手续（如有需要的话）。</w:t>
      </w:r>
    </w:p>
    <w:p>
      <w:pPr>
        <w:pStyle w:val="4"/>
        <w:numPr>
          <w:ilvl w:val="0"/>
          <w:numId w:val="2"/>
        </w:numPr>
        <w:tabs>
          <w:tab w:val="left" w:pos="425"/>
          <w:tab w:val="left" w:pos="630"/>
          <w:tab w:val="left" w:pos="720"/>
        </w:tabs>
        <w:spacing w:before="0" w:after="0" w:line="360" w:lineRule="auto"/>
        <w:ind w:left="720" w:hanging="360"/>
        <w:rPr>
          <w:rFonts w:ascii="宋体" w:hAnsi="宋体" w:cs="宋体"/>
          <w:sz w:val="24"/>
          <w:szCs w:val="24"/>
        </w:rPr>
      </w:pPr>
      <w:bookmarkStart w:id="469" w:name="_Toc18646"/>
      <w:bookmarkEnd w:id="469"/>
      <w:bookmarkStart w:id="470" w:name="_Toc32327"/>
      <w:bookmarkEnd w:id="470"/>
      <w:bookmarkStart w:id="471" w:name="_Toc21170"/>
      <w:bookmarkEnd w:id="471"/>
      <w:bookmarkStart w:id="472" w:name="_Toc12182"/>
      <w:bookmarkEnd w:id="472"/>
      <w:bookmarkStart w:id="473" w:name="_Toc20604"/>
      <w:bookmarkEnd w:id="473"/>
      <w:bookmarkStart w:id="474" w:name="_Toc34137398"/>
      <w:bookmarkEnd w:id="474"/>
      <w:bookmarkStart w:id="475" w:name="_Toc22784"/>
      <w:bookmarkEnd w:id="475"/>
      <w:bookmarkStart w:id="476" w:name="_Toc9773"/>
      <w:bookmarkEnd w:id="476"/>
      <w:bookmarkStart w:id="477" w:name="_Toc5936"/>
      <w:bookmarkStart w:id="478" w:name="_Toc18464"/>
      <w:bookmarkStart w:id="479" w:name="_Toc13309"/>
      <w:bookmarkStart w:id="480" w:name="_Toc18710"/>
      <w:bookmarkStart w:id="481" w:name="_Toc21960"/>
      <w:bookmarkStart w:id="482" w:name="_Toc25290"/>
      <w:bookmarkStart w:id="483" w:name="_Toc22547"/>
      <w:r>
        <w:rPr>
          <w:rFonts w:hint="eastAsia" w:ascii="宋体" w:hAnsi="宋体" w:cs="宋体"/>
          <w:sz w:val="24"/>
          <w:szCs w:val="24"/>
        </w:rPr>
        <w:t>评标</w:t>
      </w:r>
      <w:bookmarkEnd w:id="477"/>
      <w:bookmarkEnd w:id="478"/>
      <w:bookmarkEnd w:id="479"/>
      <w:bookmarkEnd w:id="480"/>
      <w:bookmarkEnd w:id="481"/>
      <w:bookmarkEnd w:id="482"/>
      <w:bookmarkEnd w:id="483"/>
    </w:p>
    <w:p>
      <w:pPr>
        <w:numPr>
          <w:ilvl w:val="1"/>
          <w:numId w:val="2"/>
        </w:numPr>
        <w:tabs>
          <w:tab w:val="left" w:pos="964"/>
        </w:tabs>
        <w:spacing w:line="360" w:lineRule="auto"/>
        <w:ind w:firstLine="480" w:firstLineChars="200"/>
        <w:rPr>
          <w:rFonts w:cs="宋体"/>
          <w:sz w:val="24"/>
        </w:rPr>
      </w:pPr>
      <w:r>
        <w:rPr>
          <w:rFonts w:hint="eastAsia" w:cs="宋体"/>
          <w:sz w:val="24"/>
        </w:rPr>
        <w:t>评标委员会将按照招标文件第三章“评标办法”的规定进行评标。</w:t>
      </w:r>
    </w:p>
    <w:p>
      <w:pPr>
        <w:pStyle w:val="66"/>
        <w:ind w:firstLine="261"/>
        <w:rPr>
          <w:rFonts w:ascii="宋体" w:hAnsi="宋体"/>
        </w:rPr>
      </w:pPr>
    </w:p>
    <w:p>
      <w:pPr>
        <w:pStyle w:val="2"/>
        <w:spacing w:before="0" w:after="0" w:line="360" w:lineRule="auto"/>
        <w:jc w:val="center"/>
        <w:rPr>
          <w:rFonts w:ascii="宋体" w:hAnsi="宋体"/>
          <w:sz w:val="28"/>
          <w:szCs w:val="28"/>
        </w:rPr>
      </w:pPr>
      <w:bookmarkStart w:id="484" w:name="_Toc18457"/>
      <w:bookmarkEnd w:id="484"/>
      <w:bookmarkStart w:id="485" w:name="_Toc20398"/>
      <w:bookmarkEnd w:id="485"/>
      <w:bookmarkStart w:id="486" w:name="_Toc19423"/>
      <w:bookmarkEnd w:id="486"/>
      <w:bookmarkStart w:id="487" w:name="_Toc19702"/>
      <w:bookmarkEnd w:id="487"/>
      <w:bookmarkStart w:id="488" w:name="_Toc34137402"/>
      <w:bookmarkEnd w:id="488"/>
      <w:bookmarkStart w:id="489" w:name="_Toc18240"/>
      <w:bookmarkEnd w:id="489"/>
      <w:bookmarkStart w:id="490" w:name="_Toc7940"/>
      <w:bookmarkEnd w:id="490"/>
      <w:bookmarkStart w:id="491" w:name="_Toc16858"/>
      <w:bookmarkEnd w:id="491"/>
      <w:bookmarkStart w:id="492" w:name="_Toc26416_WPSOffice_Level2"/>
      <w:bookmarkEnd w:id="492"/>
      <w:bookmarkStart w:id="493" w:name="_Toc51751184"/>
      <w:bookmarkStart w:id="494" w:name="_Toc6692"/>
      <w:bookmarkStart w:id="495" w:name="_Toc513"/>
      <w:bookmarkStart w:id="496" w:name="_Toc5792"/>
      <w:bookmarkStart w:id="497" w:name="_Toc7375"/>
      <w:bookmarkStart w:id="498" w:name="_Toc26466"/>
      <w:bookmarkStart w:id="499" w:name="_Toc148459130"/>
      <w:bookmarkStart w:id="500" w:name="_Toc23159"/>
      <w:bookmarkStart w:id="501" w:name="_Toc26166"/>
      <w:bookmarkStart w:id="502" w:name="_Toc26192"/>
      <w:bookmarkStart w:id="503" w:name="_Toc6588"/>
      <w:bookmarkStart w:id="504" w:name="_Toc8455"/>
      <w:r>
        <w:rPr>
          <w:rFonts w:hint="eastAsia" w:ascii="宋体" w:hAnsi="宋体"/>
          <w:sz w:val="28"/>
          <w:szCs w:val="28"/>
        </w:rPr>
        <w:t>第</w:t>
      </w:r>
      <w:bookmarkEnd w:id="493"/>
      <w:r>
        <w:rPr>
          <w:rFonts w:hint="eastAsia" w:ascii="宋体" w:hAnsi="宋体"/>
          <w:sz w:val="28"/>
          <w:szCs w:val="28"/>
        </w:rPr>
        <w:t>六节  定标与签订合同</w:t>
      </w:r>
      <w:bookmarkEnd w:id="494"/>
      <w:bookmarkEnd w:id="495"/>
      <w:bookmarkEnd w:id="496"/>
      <w:bookmarkEnd w:id="497"/>
      <w:bookmarkEnd w:id="498"/>
      <w:bookmarkEnd w:id="499"/>
      <w:bookmarkEnd w:id="500"/>
      <w:bookmarkEnd w:id="501"/>
      <w:bookmarkEnd w:id="502"/>
      <w:bookmarkEnd w:id="503"/>
      <w:bookmarkEnd w:id="504"/>
    </w:p>
    <w:p>
      <w:pPr>
        <w:pStyle w:val="4"/>
        <w:numPr>
          <w:ilvl w:val="0"/>
          <w:numId w:val="2"/>
        </w:numPr>
        <w:tabs>
          <w:tab w:val="left" w:pos="425"/>
          <w:tab w:val="left" w:pos="630"/>
          <w:tab w:val="left" w:pos="720"/>
        </w:tabs>
        <w:spacing w:before="0" w:after="0" w:line="360" w:lineRule="auto"/>
        <w:ind w:left="720" w:hanging="360"/>
        <w:rPr>
          <w:rFonts w:ascii="宋体" w:hAnsi="宋体" w:cs="宋体"/>
          <w:sz w:val="24"/>
          <w:szCs w:val="24"/>
        </w:rPr>
      </w:pPr>
      <w:bookmarkStart w:id="505" w:name="_Toc16610"/>
      <w:bookmarkEnd w:id="505"/>
      <w:bookmarkStart w:id="506" w:name="_Toc13322"/>
      <w:bookmarkEnd w:id="506"/>
      <w:bookmarkStart w:id="507" w:name="_Toc22708"/>
      <w:bookmarkEnd w:id="507"/>
      <w:bookmarkStart w:id="508" w:name="_Toc34137403"/>
      <w:bookmarkEnd w:id="508"/>
      <w:bookmarkStart w:id="509" w:name="_Toc29944"/>
      <w:bookmarkEnd w:id="509"/>
      <w:bookmarkStart w:id="510" w:name="_Toc3332"/>
      <w:bookmarkEnd w:id="510"/>
      <w:bookmarkStart w:id="511" w:name="_Toc28843"/>
      <w:bookmarkEnd w:id="511"/>
      <w:bookmarkStart w:id="512" w:name="_Toc1470"/>
      <w:bookmarkEnd w:id="512"/>
      <w:bookmarkStart w:id="513" w:name="_Toc23155"/>
      <w:bookmarkStart w:id="514" w:name="_Toc25375"/>
      <w:bookmarkStart w:id="515" w:name="_Toc2796"/>
      <w:bookmarkStart w:id="516" w:name="_Toc10"/>
      <w:bookmarkStart w:id="517" w:name="_Toc10856"/>
      <w:bookmarkStart w:id="518" w:name="_Toc745"/>
      <w:bookmarkStart w:id="519" w:name="_Toc13793"/>
      <w:bookmarkStart w:id="520" w:name="_Toc51751185"/>
      <w:bookmarkStart w:id="521" w:name="_Toc277"/>
      <w:r>
        <w:rPr>
          <w:rFonts w:hint="eastAsia" w:ascii="宋体" w:hAnsi="宋体" w:cs="宋体"/>
          <w:sz w:val="24"/>
          <w:szCs w:val="24"/>
        </w:rPr>
        <w:t>定标准则</w:t>
      </w:r>
      <w:bookmarkEnd w:id="513"/>
      <w:bookmarkEnd w:id="514"/>
      <w:bookmarkEnd w:id="515"/>
      <w:bookmarkEnd w:id="516"/>
      <w:bookmarkEnd w:id="517"/>
      <w:bookmarkEnd w:id="518"/>
      <w:bookmarkEnd w:id="519"/>
      <w:bookmarkEnd w:id="520"/>
      <w:bookmarkEnd w:id="521"/>
    </w:p>
    <w:p>
      <w:pPr>
        <w:numPr>
          <w:ilvl w:val="1"/>
          <w:numId w:val="2"/>
        </w:numPr>
        <w:tabs>
          <w:tab w:val="left" w:pos="964"/>
        </w:tabs>
        <w:spacing w:line="360" w:lineRule="auto"/>
        <w:ind w:firstLine="480" w:firstLineChars="200"/>
        <w:rPr>
          <w:rFonts w:cs="宋体"/>
          <w:sz w:val="24"/>
        </w:rPr>
      </w:pPr>
      <w:r>
        <w:rPr>
          <w:rFonts w:hint="eastAsia" w:cs="宋体"/>
          <w:sz w:val="24"/>
        </w:rPr>
        <w:t>最低投标价不作为中标的保证。</w:t>
      </w:r>
    </w:p>
    <w:p>
      <w:pPr>
        <w:numPr>
          <w:ilvl w:val="1"/>
          <w:numId w:val="2"/>
        </w:numPr>
        <w:tabs>
          <w:tab w:val="left" w:pos="964"/>
        </w:tabs>
        <w:spacing w:line="360" w:lineRule="auto"/>
        <w:ind w:firstLine="480" w:firstLineChars="200"/>
        <w:rPr>
          <w:rFonts w:cs="宋体"/>
          <w:sz w:val="24"/>
          <w:szCs w:val="22"/>
        </w:rPr>
      </w:pPr>
      <w:r>
        <w:rPr>
          <w:rFonts w:hint="eastAsia" w:cs="宋体"/>
          <w:sz w:val="24"/>
          <w:szCs w:val="22"/>
        </w:rPr>
        <w:t>投标人的投标文件符合招标文件要求，按招标文件确定评标方法、标准，经评委评审并推荐中标候选人。</w:t>
      </w:r>
    </w:p>
    <w:p>
      <w:pPr>
        <w:numPr>
          <w:ilvl w:val="1"/>
          <w:numId w:val="2"/>
        </w:numPr>
        <w:tabs>
          <w:tab w:val="left" w:pos="964"/>
        </w:tabs>
        <w:spacing w:line="360" w:lineRule="auto"/>
        <w:ind w:firstLine="480" w:firstLineChars="200"/>
        <w:rPr>
          <w:rFonts w:cs="宋体"/>
          <w:sz w:val="24"/>
          <w:szCs w:val="22"/>
        </w:rPr>
      </w:pPr>
      <w:r>
        <w:rPr>
          <w:rFonts w:hint="eastAsia" w:cs="宋体"/>
          <w:sz w:val="24"/>
          <w:szCs w:val="22"/>
        </w:rPr>
        <w:t>若出现以下情况，招标人有权要求投标人进行二次报价：</w:t>
      </w:r>
    </w:p>
    <w:p>
      <w:pPr>
        <w:numPr>
          <w:ilvl w:val="2"/>
          <w:numId w:val="2"/>
        </w:numPr>
        <w:tabs>
          <w:tab w:val="left" w:pos="964"/>
        </w:tabs>
        <w:spacing w:line="360" w:lineRule="auto"/>
        <w:ind w:firstLine="480" w:firstLineChars="200"/>
        <w:rPr>
          <w:rFonts w:cs="宋体"/>
          <w:sz w:val="24"/>
          <w:szCs w:val="22"/>
        </w:rPr>
      </w:pPr>
      <w:r>
        <w:rPr>
          <w:rFonts w:hint="eastAsia" w:cs="宋体"/>
          <w:sz w:val="24"/>
          <w:szCs w:val="22"/>
        </w:rPr>
        <w:t>所有有效投标人的初次报价均超出项目预算；</w:t>
      </w:r>
    </w:p>
    <w:p>
      <w:pPr>
        <w:numPr>
          <w:ilvl w:val="2"/>
          <w:numId w:val="2"/>
        </w:numPr>
        <w:tabs>
          <w:tab w:val="left" w:pos="964"/>
        </w:tabs>
        <w:spacing w:line="360" w:lineRule="auto"/>
        <w:ind w:firstLine="480" w:firstLineChars="200"/>
        <w:rPr>
          <w:rFonts w:cs="宋体"/>
          <w:sz w:val="24"/>
          <w:szCs w:val="22"/>
        </w:rPr>
      </w:pPr>
      <w:r>
        <w:rPr>
          <w:rFonts w:hint="eastAsia" w:cs="宋体"/>
          <w:sz w:val="24"/>
          <w:szCs w:val="22"/>
        </w:rPr>
        <w:t>评标小组认为报价存在不合理或需进一步澄清的情况；</w:t>
      </w:r>
    </w:p>
    <w:p>
      <w:pPr>
        <w:numPr>
          <w:ilvl w:val="2"/>
          <w:numId w:val="2"/>
        </w:numPr>
        <w:tabs>
          <w:tab w:val="left" w:pos="964"/>
        </w:tabs>
        <w:spacing w:line="360" w:lineRule="auto"/>
        <w:ind w:firstLine="480" w:firstLineChars="200"/>
        <w:rPr>
          <w:rFonts w:cs="宋体"/>
          <w:sz w:val="24"/>
          <w:szCs w:val="22"/>
        </w:rPr>
      </w:pPr>
      <w:r>
        <w:rPr>
          <w:rFonts w:hint="eastAsia" w:cs="宋体"/>
          <w:sz w:val="24"/>
          <w:szCs w:val="22"/>
        </w:rPr>
        <w:t>二次报价不得高于初次报价，且需基于相同的技术方案和服务承诺。未收到二次报价通知的投标人，其初次报价仍为最终报价。</w:t>
      </w:r>
    </w:p>
    <w:p>
      <w:pPr>
        <w:pStyle w:val="4"/>
        <w:numPr>
          <w:ilvl w:val="0"/>
          <w:numId w:val="2"/>
        </w:numPr>
        <w:tabs>
          <w:tab w:val="left" w:pos="425"/>
          <w:tab w:val="left" w:pos="630"/>
          <w:tab w:val="left" w:pos="720"/>
        </w:tabs>
        <w:spacing w:before="0" w:after="0" w:line="360" w:lineRule="auto"/>
        <w:ind w:left="720" w:hanging="360"/>
        <w:rPr>
          <w:rFonts w:ascii="宋体" w:hAnsi="宋体" w:cs="宋体"/>
          <w:sz w:val="24"/>
          <w:szCs w:val="24"/>
        </w:rPr>
      </w:pPr>
      <w:bookmarkStart w:id="522" w:name="_Toc28404"/>
      <w:bookmarkStart w:id="523" w:name="_Toc14059"/>
      <w:bookmarkStart w:id="524" w:name="_Toc19512"/>
      <w:bookmarkStart w:id="525" w:name="_Toc7062"/>
      <w:bookmarkStart w:id="526" w:name="_Toc7697"/>
      <w:bookmarkStart w:id="527" w:name="_Toc22934"/>
      <w:bookmarkStart w:id="528" w:name="_Toc5853"/>
      <w:r>
        <w:rPr>
          <w:rFonts w:hint="eastAsia" w:ascii="宋体" w:hAnsi="宋体" w:cs="宋体"/>
          <w:sz w:val="24"/>
          <w:szCs w:val="24"/>
        </w:rPr>
        <w:t>接受和拒绝任何或所有投标的权利</w:t>
      </w:r>
      <w:bookmarkEnd w:id="522"/>
      <w:bookmarkEnd w:id="523"/>
      <w:bookmarkEnd w:id="524"/>
      <w:bookmarkEnd w:id="525"/>
      <w:bookmarkEnd w:id="526"/>
      <w:bookmarkEnd w:id="527"/>
      <w:bookmarkEnd w:id="528"/>
    </w:p>
    <w:p>
      <w:pPr>
        <w:numPr>
          <w:ilvl w:val="1"/>
          <w:numId w:val="2"/>
        </w:numPr>
        <w:tabs>
          <w:tab w:val="left" w:pos="964"/>
        </w:tabs>
        <w:spacing w:line="360" w:lineRule="auto"/>
        <w:ind w:firstLine="480" w:firstLineChars="200"/>
        <w:rPr>
          <w:rFonts w:cs="宋体"/>
          <w:sz w:val="24"/>
        </w:rPr>
      </w:pPr>
      <w:r>
        <w:rPr>
          <w:rFonts w:hint="eastAsia" w:cs="宋体"/>
          <w:sz w:val="24"/>
        </w:rPr>
        <w:t>招标单位保留在定标之前任何时候接受或拒绝任何投标，以及宣布招标程序无效或拒绝所有投标的权利，对受影响的投标人不承担任何责任，也无义务向受影响的投标人解释采取这一行动的理由。</w:t>
      </w:r>
    </w:p>
    <w:p>
      <w:pPr>
        <w:pStyle w:val="64"/>
        <w:rPr>
          <w:rFonts w:cs="宋体"/>
        </w:rPr>
      </w:pPr>
    </w:p>
    <w:p>
      <w:pPr>
        <w:pStyle w:val="4"/>
        <w:numPr>
          <w:ilvl w:val="0"/>
          <w:numId w:val="2"/>
        </w:numPr>
        <w:tabs>
          <w:tab w:val="left" w:pos="425"/>
          <w:tab w:val="left" w:pos="630"/>
          <w:tab w:val="left" w:pos="720"/>
        </w:tabs>
        <w:spacing w:before="0" w:after="0" w:line="360" w:lineRule="auto"/>
        <w:ind w:left="720" w:hanging="360"/>
        <w:rPr>
          <w:rFonts w:ascii="宋体" w:hAnsi="宋体" w:cs="宋体"/>
          <w:sz w:val="24"/>
          <w:szCs w:val="24"/>
        </w:rPr>
      </w:pPr>
      <w:bookmarkStart w:id="529" w:name="_Toc3739"/>
      <w:bookmarkEnd w:id="529"/>
      <w:bookmarkStart w:id="530" w:name="_Toc19932"/>
      <w:bookmarkEnd w:id="530"/>
      <w:bookmarkStart w:id="531" w:name="_Toc12366"/>
      <w:bookmarkEnd w:id="531"/>
      <w:bookmarkStart w:id="532" w:name="_Toc707"/>
      <w:bookmarkEnd w:id="532"/>
      <w:bookmarkStart w:id="533" w:name="_Toc34137404"/>
      <w:bookmarkEnd w:id="533"/>
      <w:bookmarkStart w:id="534" w:name="_Toc3543"/>
      <w:bookmarkEnd w:id="534"/>
      <w:bookmarkStart w:id="535" w:name="_Toc28490"/>
      <w:bookmarkEnd w:id="535"/>
      <w:bookmarkStart w:id="536" w:name="_Toc5627"/>
      <w:bookmarkEnd w:id="536"/>
      <w:bookmarkStart w:id="537" w:name="_Toc15013"/>
      <w:bookmarkStart w:id="538" w:name="_Toc51751186"/>
      <w:bookmarkStart w:id="539" w:name="_Toc15514"/>
      <w:bookmarkStart w:id="540" w:name="_Toc5151"/>
      <w:bookmarkStart w:id="541" w:name="_Toc9803"/>
      <w:bookmarkStart w:id="542" w:name="_Toc8146"/>
      <w:bookmarkStart w:id="543" w:name="_Toc16151"/>
      <w:bookmarkStart w:id="544" w:name="_Toc32700"/>
      <w:bookmarkStart w:id="545" w:name="_Toc16286"/>
      <w:r>
        <w:rPr>
          <w:rFonts w:hint="eastAsia" w:ascii="宋体" w:hAnsi="宋体" w:cs="宋体"/>
          <w:sz w:val="24"/>
          <w:szCs w:val="24"/>
        </w:rPr>
        <w:t>中标通知</w:t>
      </w:r>
      <w:bookmarkEnd w:id="537"/>
      <w:bookmarkEnd w:id="538"/>
      <w:bookmarkEnd w:id="539"/>
      <w:bookmarkEnd w:id="540"/>
      <w:bookmarkEnd w:id="541"/>
      <w:bookmarkEnd w:id="542"/>
      <w:bookmarkEnd w:id="543"/>
      <w:bookmarkEnd w:id="544"/>
      <w:bookmarkEnd w:id="545"/>
    </w:p>
    <w:p>
      <w:pPr>
        <w:numPr>
          <w:ilvl w:val="1"/>
          <w:numId w:val="2"/>
        </w:numPr>
        <w:tabs>
          <w:tab w:val="left" w:pos="964"/>
        </w:tabs>
        <w:spacing w:line="360" w:lineRule="auto"/>
        <w:ind w:firstLine="480" w:firstLineChars="200"/>
        <w:rPr>
          <w:rFonts w:cs="宋体"/>
          <w:sz w:val="24"/>
        </w:rPr>
      </w:pPr>
      <w:r>
        <w:rPr>
          <w:rFonts w:hint="eastAsia" w:cs="宋体"/>
          <w:sz w:val="24"/>
        </w:rPr>
        <w:t>评标结束后，评标结果经招标人确认后，招标单位应在刊登本采购项目招标公告的媒介上对中标结果进行公示，公示期满后，招标单位向中标人发出中标通知书。《中标通知书》对招标人和中标人具有同等法律效力。《中标通知书》发出后，招标人改变中标结果，或者中标人放弃中标，应当承担相应的法律责任。</w:t>
      </w:r>
    </w:p>
    <w:p>
      <w:pPr>
        <w:numPr>
          <w:ilvl w:val="1"/>
          <w:numId w:val="2"/>
        </w:numPr>
        <w:tabs>
          <w:tab w:val="left" w:pos="964"/>
        </w:tabs>
        <w:spacing w:line="360" w:lineRule="auto"/>
        <w:ind w:firstLine="480" w:firstLineChars="200"/>
        <w:rPr>
          <w:rFonts w:cs="宋体"/>
          <w:sz w:val="24"/>
        </w:rPr>
      </w:pPr>
      <w:r>
        <w:rPr>
          <w:rFonts w:hint="eastAsia" w:cs="宋体"/>
          <w:sz w:val="24"/>
        </w:rPr>
        <w:t>投标人对评标结果有异议的，应当在中标公示期内，以书面形式向招标代理机构提出质疑。</w:t>
      </w:r>
    </w:p>
    <w:p>
      <w:pPr>
        <w:numPr>
          <w:ilvl w:val="1"/>
          <w:numId w:val="2"/>
        </w:numPr>
        <w:tabs>
          <w:tab w:val="left" w:pos="964"/>
        </w:tabs>
        <w:spacing w:line="360" w:lineRule="auto"/>
        <w:ind w:firstLine="480" w:firstLineChars="200"/>
        <w:rPr>
          <w:rFonts w:cs="宋体"/>
          <w:sz w:val="24"/>
        </w:rPr>
      </w:pPr>
      <w:r>
        <w:rPr>
          <w:rFonts w:hint="eastAsia" w:cs="宋体"/>
          <w:sz w:val="24"/>
        </w:rPr>
        <w:t>《中标通知书》将作为签订合同的依据。合同签订后，《中标通知书》成为合同的一部分。</w:t>
      </w:r>
    </w:p>
    <w:p>
      <w:pPr>
        <w:pStyle w:val="4"/>
        <w:numPr>
          <w:ilvl w:val="0"/>
          <w:numId w:val="2"/>
        </w:numPr>
        <w:tabs>
          <w:tab w:val="left" w:pos="425"/>
          <w:tab w:val="left" w:pos="630"/>
          <w:tab w:val="left" w:pos="720"/>
        </w:tabs>
        <w:spacing w:before="0" w:after="0" w:line="360" w:lineRule="auto"/>
        <w:ind w:left="720" w:hanging="360"/>
        <w:rPr>
          <w:rFonts w:ascii="宋体" w:hAnsi="宋体" w:cs="宋体"/>
          <w:sz w:val="24"/>
          <w:szCs w:val="24"/>
        </w:rPr>
      </w:pPr>
      <w:bookmarkStart w:id="546" w:name="_Toc11570"/>
      <w:bookmarkEnd w:id="546"/>
      <w:bookmarkStart w:id="547" w:name="_Toc20573"/>
      <w:bookmarkEnd w:id="547"/>
      <w:bookmarkStart w:id="548" w:name="_Toc19582"/>
      <w:bookmarkEnd w:id="548"/>
      <w:bookmarkStart w:id="549" w:name="_Toc34137405"/>
      <w:bookmarkEnd w:id="549"/>
      <w:bookmarkStart w:id="550" w:name="_Toc1783"/>
      <w:bookmarkEnd w:id="550"/>
      <w:bookmarkStart w:id="551" w:name="_Toc24171"/>
      <w:bookmarkEnd w:id="551"/>
      <w:bookmarkStart w:id="552" w:name="_Toc32562"/>
      <w:bookmarkEnd w:id="552"/>
      <w:bookmarkStart w:id="553" w:name="_Toc10106"/>
      <w:bookmarkEnd w:id="553"/>
      <w:bookmarkStart w:id="554" w:name="_Toc51751187"/>
      <w:bookmarkStart w:id="555" w:name="_Toc21795"/>
      <w:bookmarkStart w:id="556" w:name="_Toc3776"/>
      <w:bookmarkStart w:id="557" w:name="_Toc28678"/>
      <w:bookmarkStart w:id="558" w:name="_Toc31503"/>
      <w:bookmarkStart w:id="559" w:name="_Toc9576"/>
      <w:bookmarkStart w:id="560" w:name="_Toc20980"/>
      <w:bookmarkStart w:id="561" w:name="_Toc16839"/>
      <w:bookmarkStart w:id="562" w:name="_Toc9024"/>
      <w:r>
        <w:rPr>
          <w:rFonts w:hint="eastAsia" w:ascii="宋体" w:hAnsi="宋体" w:cs="宋体"/>
          <w:sz w:val="24"/>
          <w:szCs w:val="24"/>
        </w:rPr>
        <w:t>签订合同</w:t>
      </w:r>
      <w:bookmarkEnd w:id="554"/>
      <w:bookmarkEnd w:id="555"/>
      <w:bookmarkEnd w:id="556"/>
      <w:bookmarkEnd w:id="557"/>
      <w:bookmarkEnd w:id="558"/>
      <w:bookmarkEnd w:id="559"/>
      <w:bookmarkEnd w:id="560"/>
      <w:bookmarkEnd w:id="561"/>
      <w:bookmarkEnd w:id="562"/>
    </w:p>
    <w:p>
      <w:pPr>
        <w:numPr>
          <w:ilvl w:val="1"/>
          <w:numId w:val="2"/>
        </w:numPr>
        <w:tabs>
          <w:tab w:val="left" w:pos="964"/>
        </w:tabs>
        <w:spacing w:line="360" w:lineRule="auto"/>
        <w:ind w:firstLine="480" w:firstLineChars="200"/>
        <w:rPr>
          <w:rFonts w:cs="宋体"/>
          <w:sz w:val="24"/>
        </w:rPr>
      </w:pPr>
      <w:r>
        <w:rPr>
          <w:rFonts w:hint="eastAsia" w:cs="宋体"/>
          <w:sz w:val="24"/>
        </w:rPr>
        <w:t>招标人（或招标人指定的合同签订单位）、中标人应当在《中标通知书》发出之日起7日内，根据招标文件确定的事项和中标人的投标文件，参照本招标文件第五章的《合同》文本签订合同。逾期未签订合同，按照有关法律规定承担相应的法律责任。属中标人责任的，招标单位将没收其投标保证金，以抵偿对招标人造成的损失。</w:t>
      </w:r>
    </w:p>
    <w:p>
      <w:pPr>
        <w:numPr>
          <w:ilvl w:val="1"/>
          <w:numId w:val="2"/>
        </w:numPr>
        <w:tabs>
          <w:tab w:val="left" w:pos="964"/>
        </w:tabs>
        <w:spacing w:line="360" w:lineRule="auto"/>
        <w:ind w:firstLine="480" w:firstLineChars="200"/>
        <w:rPr>
          <w:rFonts w:cs="宋体"/>
          <w:sz w:val="24"/>
        </w:rPr>
      </w:pPr>
      <w:r>
        <w:rPr>
          <w:rFonts w:hint="eastAsia" w:cs="宋体"/>
          <w:sz w:val="24"/>
        </w:rPr>
        <w:t>招标文件、招标文件的修改文件、中标人的投标文件、补充或修改的文件及澄清或承诺文件等，均为双方签订采购合同的组成部分，并与合同一并作为本招标文件所列采购项目的互补性法律文件，与合同具有同等法律效力。</w:t>
      </w:r>
    </w:p>
    <w:p>
      <w:pPr>
        <w:numPr>
          <w:ilvl w:val="1"/>
          <w:numId w:val="2"/>
        </w:numPr>
        <w:tabs>
          <w:tab w:val="left" w:pos="964"/>
        </w:tabs>
        <w:spacing w:line="360" w:lineRule="auto"/>
        <w:ind w:firstLine="480" w:firstLineChars="200"/>
        <w:rPr>
          <w:rFonts w:cs="宋体"/>
          <w:sz w:val="24"/>
        </w:rPr>
      </w:pPr>
      <w:r>
        <w:rPr>
          <w:rFonts w:hint="eastAsia" w:cs="宋体"/>
          <w:sz w:val="24"/>
        </w:rPr>
        <w:t>中标人因不可抗力或者自身原因不能履行合同的，招标人可以与其他中标候选人签订合同，或重新组织采购。</w:t>
      </w:r>
    </w:p>
    <w:p>
      <w:pPr>
        <w:pStyle w:val="2"/>
        <w:spacing w:line="360" w:lineRule="auto"/>
        <w:jc w:val="center"/>
        <w:rPr>
          <w:rFonts w:ascii="宋体" w:hAnsi="宋体"/>
          <w:sz w:val="28"/>
          <w:szCs w:val="28"/>
        </w:rPr>
      </w:pPr>
      <w:bookmarkStart w:id="563" w:name="_Toc23835"/>
      <w:bookmarkStart w:id="564" w:name="_Toc29529"/>
      <w:bookmarkStart w:id="565" w:name="_Toc30627"/>
      <w:bookmarkStart w:id="566" w:name="_Toc148459131"/>
      <w:bookmarkStart w:id="567" w:name="_Toc12412"/>
      <w:bookmarkStart w:id="568" w:name="_Toc11150"/>
      <w:bookmarkStart w:id="569" w:name="_Toc15137"/>
      <w:bookmarkStart w:id="570" w:name="_Toc17876"/>
      <w:bookmarkStart w:id="571" w:name="_Toc18973"/>
      <w:r>
        <w:rPr>
          <w:rFonts w:hint="eastAsia" w:ascii="宋体" w:hAnsi="宋体"/>
          <w:sz w:val="28"/>
          <w:szCs w:val="28"/>
        </w:rPr>
        <w:t>第七节  询问与异议</w:t>
      </w:r>
      <w:bookmarkEnd w:id="563"/>
      <w:bookmarkEnd w:id="564"/>
      <w:bookmarkEnd w:id="565"/>
      <w:bookmarkEnd w:id="566"/>
      <w:bookmarkEnd w:id="567"/>
      <w:bookmarkEnd w:id="568"/>
      <w:bookmarkEnd w:id="569"/>
      <w:bookmarkEnd w:id="570"/>
      <w:bookmarkEnd w:id="571"/>
    </w:p>
    <w:p>
      <w:pPr>
        <w:pStyle w:val="4"/>
        <w:numPr>
          <w:ilvl w:val="0"/>
          <w:numId w:val="2"/>
        </w:numPr>
        <w:tabs>
          <w:tab w:val="left" w:pos="425"/>
          <w:tab w:val="left" w:pos="630"/>
          <w:tab w:val="left" w:pos="720"/>
        </w:tabs>
        <w:spacing w:before="0" w:after="0" w:line="360" w:lineRule="auto"/>
        <w:ind w:left="720" w:hanging="360"/>
        <w:rPr>
          <w:rFonts w:ascii="宋体" w:hAnsi="宋体" w:cs="宋体"/>
          <w:sz w:val="24"/>
          <w:szCs w:val="24"/>
        </w:rPr>
      </w:pPr>
      <w:bookmarkStart w:id="572" w:name="_Toc1971"/>
      <w:bookmarkStart w:id="573" w:name="_Toc10388"/>
      <w:bookmarkStart w:id="574" w:name="_Toc31426"/>
      <w:bookmarkStart w:id="575" w:name="_Toc3341"/>
      <w:bookmarkStart w:id="576" w:name="_Toc23518"/>
      <w:bookmarkStart w:id="577" w:name="_Toc20160"/>
      <w:bookmarkStart w:id="578" w:name="_Toc24044"/>
      <w:r>
        <w:rPr>
          <w:rFonts w:hint="eastAsia" w:ascii="宋体" w:hAnsi="宋体" w:cs="宋体"/>
          <w:sz w:val="24"/>
          <w:szCs w:val="24"/>
        </w:rPr>
        <w:t>询问</w:t>
      </w:r>
      <w:bookmarkEnd w:id="572"/>
      <w:bookmarkEnd w:id="573"/>
      <w:bookmarkEnd w:id="574"/>
      <w:bookmarkEnd w:id="575"/>
      <w:bookmarkEnd w:id="576"/>
      <w:bookmarkEnd w:id="577"/>
      <w:bookmarkEnd w:id="578"/>
    </w:p>
    <w:p>
      <w:pPr>
        <w:numPr>
          <w:ilvl w:val="1"/>
          <w:numId w:val="2"/>
        </w:numPr>
        <w:tabs>
          <w:tab w:val="left" w:pos="964"/>
        </w:tabs>
        <w:spacing w:line="360" w:lineRule="auto"/>
        <w:ind w:firstLine="480" w:firstLineChars="200"/>
        <w:rPr>
          <w:rFonts w:cs="宋体"/>
          <w:sz w:val="24"/>
          <w:szCs w:val="24"/>
        </w:rPr>
      </w:pPr>
      <w:r>
        <w:rPr>
          <w:rFonts w:hint="eastAsia" w:cs="宋体"/>
          <w:sz w:val="24"/>
        </w:rPr>
        <w:t xml:space="preserve"> 潜在投标人或投标人对本次招标活动的有关事项若有疑问，可向招标单位提出询问，招标单位将按照有关规定进行答复。</w:t>
      </w:r>
    </w:p>
    <w:p>
      <w:pPr>
        <w:pStyle w:val="4"/>
        <w:numPr>
          <w:ilvl w:val="0"/>
          <w:numId w:val="2"/>
        </w:numPr>
        <w:tabs>
          <w:tab w:val="left" w:pos="425"/>
          <w:tab w:val="left" w:pos="630"/>
          <w:tab w:val="left" w:pos="720"/>
        </w:tabs>
        <w:spacing w:before="0" w:after="0" w:line="360" w:lineRule="auto"/>
        <w:ind w:left="720" w:hanging="360"/>
        <w:rPr>
          <w:rFonts w:ascii="宋体" w:hAnsi="宋体" w:cs="宋体"/>
          <w:sz w:val="24"/>
          <w:szCs w:val="24"/>
        </w:rPr>
      </w:pPr>
      <w:bookmarkStart w:id="579" w:name="_Toc26349"/>
      <w:bookmarkStart w:id="580" w:name="_Toc30261"/>
      <w:bookmarkStart w:id="581" w:name="_Toc9881"/>
      <w:bookmarkStart w:id="582" w:name="_Toc18675"/>
      <w:bookmarkStart w:id="583" w:name="_Toc26883"/>
      <w:bookmarkStart w:id="584" w:name="_Toc24339"/>
      <w:bookmarkStart w:id="585" w:name="_Toc20543"/>
      <w:r>
        <w:rPr>
          <w:rFonts w:hint="eastAsia" w:ascii="宋体" w:hAnsi="宋体" w:cs="宋体"/>
          <w:sz w:val="24"/>
          <w:szCs w:val="24"/>
        </w:rPr>
        <w:t>异议</w:t>
      </w:r>
      <w:bookmarkEnd w:id="579"/>
      <w:bookmarkEnd w:id="580"/>
      <w:bookmarkEnd w:id="581"/>
      <w:bookmarkEnd w:id="582"/>
      <w:bookmarkEnd w:id="583"/>
      <w:bookmarkEnd w:id="584"/>
      <w:bookmarkEnd w:id="585"/>
    </w:p>
    <w:p>
      <w:pPr>
        <w:numPr>
          <w:ilvl w:val="1"/>
          <w:numId w:val="2"/>
        </w:numPr>
        <w:tabs>
          <w:tab w:val="left" w:pos="964"/>
        </w:tabs>
        <w:spacing w:line="360" w:lineRule="auto"/>
        <w:ind w:firstLine="480" w:firstLineChars="200"/>
        <w:rPr>
          <w:rFonts w:cs="宋体"/>
          <w:sz w:val="24"/>
        </w:rPr>
      </w:pPr>
      <w:r>
        <w:rPr>
          <w:rFonts w:hint="eastAsia" w:cs="宋体"/>
          <w:sz w:val="24"/>
        </w:rPr>
        <w:t>投标人对本项目提出的异议应符合招标投标相关法律法规的规定。超过法定期限提出的异议，招标人可不予受理。</w:t>
      </w:r>
    </w:p>
    <w:p>
      <w:pPr>
        <w:numPr>
          <w:ilvl w:val="1"/>
          <w:numId w:val="2"/>
        </w:numPr>
        <w:tabs>
          <w:tab w:val="left" w:pos="964"/>
        </w:tabs>
        <w:spacing w:line="360" w:lineRule="auto"/>
        <w:ind w:firstLine="480" w:firstLineChars="200"/>
        <w:rPr>
          <w:rFonts w:cs="宋体"/>
          <w:sz w:val="24"/>
        </w:rPr>
      </w:pPr>
      <w:r>
        <w:rPr>
          <w:rFonts w:hint="eastAsia" w:cs="宋体"/>
          <w:sz w:val="24"/>
        </w:rPr>
        <w:t>除针对开标提出的异议外，针对招标文件、招标过程、结果的异议应符合下列条件：</w:t>
      </w:r>
    </w:p>
    <w:p>
      <w:pPr>
        <w:spacing w:line="360" w:lineRule="auto"/>
        <w:ind w:firstLine="420" w:firstLineChars="175"/>
        <w:rPr>
          <w:rFonts w:cs="宋体"/>
          <w:sz w:val="24"/>
        </w:rPr>
      </w:pPr>
      <w:r>
        <w:rPr>
          <w:rFonts w:hint="eastAsia" w:cs="宋体"/>
          <w:sz w:val="24"/>
        </w:rPr>
        <w:t>（1）对招标文件提出异议的，异议人应为潜在投标人或者其他利害关系人。对招标过程、结果提出异议的，异议人应为投标人或者其他利害关系人。</w:t>
      </w:r>
    </w:p>
    <w:p>
      <w:pPr>
        <w:spacing w:line="360" w:lineRule="auto"/>
        <w:ind w:firstLine="420" w:firstLineChars="175"/>
        <w:rPr>
          <w:rFonts w:cs="宋体"/>
          <w:sz w:val="24"/>
        </w:rPr>
      </w:pPr>
      <w:r>
        <w:rPr>
          <w:rFonts w:hint="eastAsia" w:cs="宋体"/>
          <w:sz w:val="24"/>
        </w:rPr>
        <w:t>（2）异议人应按照招标文件规定的方式递交异议函。</w:t>
      </w:r>
    </w:p>
    <w:p>
      <w:pPr>
        <w:spacing w:line="360" w:lineRule="auto"/>
        <w:ind w:firstLine="420" w:firstLineChars="175"/>
        <w:rPr>
          <w:rFonts w:cs="宋体"/>
          <w:sz w:val="24"/>
        </w:rPr>
      </w:pPr>
      <w:r>
        <w:rPr>
          <w:rFonts w:hint="eastAsia" w:cs="宋体"/>
          <w:sz w:val="24"/>
        </w:rPr>
        <w:t>（3）异议函应包括下列主要内容：</w:t>
      </w:r>
    </w:p>
    <w:p>
      <w:pPr>
        <w:spacing w:line="360" w:lineRule="auto"/>
        <w:ind w:firstLine="480" w:firstLineChars="200"/>
        <w:rPr>
          <w:rFonts w:cs="宋体"/>
          <w:sz w:val="24"/>
        </w:rPr>
      </w:pPr>
      <w:r>
        <w:rPr>
          <w:rFonts w:hint="eastAsia" w:cs="宋体"/>
          <w:sz w:val="24"/>
        </w:rPr>
        <w:t>①异议人的基本信息，联系方式；</w:t>
      </w:r>
    </w:p>
    <w:p>
      <w:pPr>
        <w:spacing w:line="360" w:lineRule="auto"/>
        <w:ind w:firstLine="480" w:firstLineChars="200"/>
        <w:rPr>
          <w:rFonts w:cs="宋体"/>
          <w:sz w:val="24"/>
        </w:rPr>
      </w:pPr>
      <w:r>
        <w:rPr>
          <w:rFonts w:hint="eastAsia" w:cs="宋体"/>
          <w:sz w:val="24"/>
        </w:rPr>
        <w:t>②所异议项目的基本信息，至少包括：招标编号、项目名称等；</w:t>
      </w:r>
    </w:p>
    <w:p>
      <w:pPr>
        <w:spacing w:line="360" w:lineRule="auto"/>
        <w:ind w:firstLine="480" w:firstLineChars="200"/>
        <w:rPr>
          <w:rFonts w:cs="宋体"/>
          <w:sz w:val="24"/>
        </w:rPr>
      </w:pPr>
      <w:r>
        <w:rPr>
          <w:rFonts w:hint="eastAsia" w:cs="宋体"/>
          <w:sz w:val="24"/>
        </w:rPr>
        <w:t>③所异议的具体事项；</w:t>
      </w:r>
    </w:p>
    <w:p>
      <w:pPr>
        <w:spacing w:line="360" w:lineRule="auto"/>
        <w:ind w:firstLine="480" w:firstLineChars="200"/>
        <w:rPr>
          <w:rFonts w:cs="宋体"/>
          <w:sz w:val="24"/>
        </w:rPr>
      </w:pPr>
      <w:r>
        <w:rPr>
          <w:rFonts w:hint="eastAsia" w:cs="宋体"/>
          <w:sz w:val="24"/>
        </w:rPr>
        <w:t>④针对异议事项提出的明确请求；</w:t>
      </w:r>
    </w:p>
    <w:p>
      <w:pPr>
        <w:spacing w:line="360" w:lineRule="auto"/>
        <w:ind w:firstLine="480" w:firstLineChars="200"/>
        <w:rPr>
          <w:rFonts w:cs="宋体"/>
          <w:sz w:val="24"/>
        </w:rPr>
      </w:pPr>
      <w:r>
        <w:rPr>
          <w:rFonts w:hint="eastAsia" w:cs="宋体"/>
          <w:sz w:val="24"/>
        </w:rPr>
        <w:t>⑤相关证明材料：</w:t>
      </w:r>
    </w:p>
    <w:p>
      <w:pPr>
        <w:spacing w:line="360" w:lineRule="auto"/>
        <w:ind w:firstLine="480" w:firstLineChars="200"/>
        <w:rPr>
          <w:rFonts w:cs="宋体"/>
          <w:sz w:val="24"/>
        </w:rPr>
      </w:pPr>
      <w:r>
        <w:rPr>
          <w:rFonts w:hint="eastAsia" w:cs="宋体"/>
          <w:sz w:val="24"/>
        </w:rPr>
        <w:t>⑥提出异议的日期。</w:t>
      </w:r>
    </w:p>
    <w:p>
      <w:pPr>
        <w:spacing w:line="360" w:lineRule="auto"/>
        <w:ind w:firstLine="480" w:firstLineChars="200"/>
        <w:rPr>
          <w:rFonts w:cs="宋体"/>
          <w:sz w:val="24"/>
        </w:rPr>
      </w:pPr>
      <w:r>
        <w:rPr>
          <w:rFonts w:hint="eastAsia" w:cs="宋体"/>
          <w:sz w:val="24"/>
        </w:rPr>
        <w:t>注：异议人为法人或其他组织的，异议函应由单位负责人或委托代理人签字或盖章，并加盖投标人的单位公章。异议人为自然人的，异议函应由本人签字。</w:t>
      </w:r>
    </w:p>
    <w:p>
      <w:pPr>
        <w:numPr>
          <w:ilvl w:val="1"/>
          <w:numId w:val="2"/>
        </w:numPr>
        <w:tabs>
          <w:tab w:val="left" w:pos="964"/>
        </w:tabs>
        <w:spacing w:line="360" w:lineRule="auto"/>
        <w:ind w:firstLine="480" w:firstLineChars="200"/>
        <w:rPr>
          <w:rFonts w:cs="宋体"/>
          <w:sz w:val="24"/>
        </w:rPr>
      </w:pPr>
      <w:r>
        <w:rPr>
          <w:rFonts w:hint="eastAsia" w:cs="宋体"/>
          <w:sz w:val="24"/>
        </w:rPr>
        <w:t>对符合本章第22.1、22.2条规定的异议，招标人将按照有关规定进行答复。</w:t>
      </w:r>
    </w:p>
    <w:p>
      <w:pPr>
        <w:pStyle w:val="15"/>
        <w:spacing w:line="360" w:lineRule="auto"/>
        <w:jc w:val="center"/>
        <w:outlineLvl w:val="0"/>
        <w:rPr>
          <w:rFonts w:hAnsi="宋体"/>
          <w:sz w:val="28"/>
        </w:rPr>
      </w:pPr>
      <w:r>
        <w:rPr>
          <w:rFonts w:hint="eastAsia" w:hAnsi="宋体"/>
          <w:b/>
          <w:bCs/>
          <w:sz w:val="36"/>
          <w:szCs w:val="36"/>
        </w:rPr>
        <w:br w:type="page"/>
      </w:r>
      <w:bookmarkStart w:id="586" w:name="_Toc7630"/>
      <w:bookmarkEnd w:id="586"/>
      <w:bookmarkStart w:id="587" w:name="_Toc3919"/>
      <w:bookmarkEnd w:id="587"/>
      <w:bookmarkStart w:id="588" w:name="_Toc10340"/>
      <w:bookmarkEnd w:id="588"/>
      <w:bookmarkStart w:id="589" w:name="_Toc25462_WPSOffice_Level1"/>
      <w:bookmarkEnd w:id="589"/>
      <w:bookmarkStart w:id="590" w:name="_Toc34137406"/>
      <w:bookmarkEnd w:id="590"/>
      <w:bookmarkStart w:id="591" w:name="_Toc27195"/>
      <w:bookmarkEnd w:id="591"/>
      <w:bookmarkStart w:id="592" w:name="_Toc23183"/>
      <w:bookmarkEnd w:id="592"/>
      <w:bookmarkStart w:id="593" w:name="_Toc3310"/>
      <w:bookmarkEnd w:id="593"/>
      <w:bookmarkStart w:id="594" w:name="_Toc23385"/>
      <w:bookmarkEnd w:id="594"/>
      <w:bookmarkStart w:id="595" w:name="_Toc5774"/>
      <w:bookmarkEnd w:id="595"/>
      <w:bookmarkStart w:id="596" w:name="_Toc19560"/>
      <w:bookmarkStart w:id="597" w:name="_Toc4005"/>
      <w:bookmarkStart w:id="598" w:name="_Toc148459132"/>
      <w:bookmarkStart w:id="599" w:name="_Toc26764"/>
      <w:bookmarkStart w:id="600" w:name="_Toc21075"/>
      <w:bookmarkStart w:id="601" w:name="_Toc18908"/>
      <w:bookmarkStart w:id="602" w:name="_Toc22696"/>
      <w:bookmarkStart w:id="603" w:name="_Toc17985"/>
      <w:bookmarkStart w:id="604" w:name="_Toc23348"/>
      <w:r>
        <w:rPr>
          <w:rFonts w:hint="eastAsia" w:hAnsi="宋体"/>
          <w:b/>
          <w:bCs/>
          <w:sz w:val="36"/>
          <w:szCs w:val="36"/>
        </w:rPr>
        <w:t>第三章  评标办法</w:t>
      </w:r>
      <w:bookmarkEnd w:id="596"/>
      <w:bookmarkEnd w:id="597"/>
      <w:bookmarkEnd w:id="598"/>
      <w:bookmarkEnd w:id="599"/>
      <w:bookmarkEnd w:id="600"/>
      <w:bookmarkEnd w:id="601"/>
      <w:bookmarkEnd w:id="602"/>
      <w:bookmarkEnd w:id="603"/>
      <w:bookmarkEnd w:id="604"/>
    </w:p>
    <w:p>
      <w:pPr>
        <w:pStyle w:val="2"/>
        <w:spacing w:before="0" w:after="0" w:line="360" w:lineRule="auto"/>
        <w:rPr>
          <w:rFonts w:ascii="宋体" w:hAnsi="宋体"/>
          <w:sz w:val="24"/>
          <w:szCs w:val="24"/>
        </w:rPr>
      </w:pPr>
      <w:bookmarkStart w:id="605" w:name="_Toc18750"/>
      <w:bookmarkStart w:id="606" w:name="_Toc37226784"/>
      <w:bookmarkStart w:id="607" w:name="_Toc14310"/>
      <w:bookmarkStart w:id="608" w:name="_Toc77862888"/>
      <w:bookmarkStart w:id="609" w:name="_Toc9544"/>
      <w:bookmarkStart w:id="610" w:name="_Toc148459133"/>
      <w:bookmarkStart w:id="611" w:name="_Toc23037"/>
      <w:bookmarkStart w:id="612" w:name="_Toc9731"/>
      <w:bookmarkStart w:id="613" w:name="_Toc27960"/>
      <w:bookmarkStart w:id="614" w:name="_Toc26677"/>
      <w:bookmarkStart w:id="615" w:name="_Toc520722221"/>
      <w:bookmarkStart w:id="616" w:name="_Toc8449"/>
      <w:bookmarkStart w:id="617" w:name="_Toc455125365"/>
      <w:bookmarkStart w:id="618" w:name="_Toc7717"/>
      <w:bookmarkStart w:id="619" w:name="_Toc32572"/>
      <w:bookmarkStart w:id="620" w:name="_Toc31239"/>
      <w:bookmarkStart w:id="621" w:name="_Toc17617"/>
      <w:bookmarkStart w:id="622" w:name="_Toc4861"/>
      <w:r>
        <w:rPr>
          <w:rFonts w:hint="eastAsia" w:ascii="宋体" w:hAnsi="宋体"/>
          <w:sz w:val="24"/>
          <w:szCs w:val="24"/>
        </w:rPr>
        <w:t>1、总则</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pPr>
        <w:spacing w:line="360" w:lineRule="auto"/>
        <w:ind w:firstLine="480" w:firstLineChars="200"/>
        <w:rPr>
          <w:rFonts w:cs="宋体"/>
          <w:sz w:val="24"/>
          <w:szCs w:val="24"/>
        </w:rPr>
      </w:pPr>
      <w:r>
        <w:rPr>
          <w:rFonts w:hint="eastAsia" w:cs="宋体"/>
          <w:sz w:val="24"/>
          <w:szCs w:val="24"/>
        </w:rPr>
        <w:t>1.1本评标办法为招标项目的招标文件的组成部分。评标委员会应当按照有关法律法规和招标文件的规定进行评标，招标文件没有规定的评标办法和标准不得作为评标依据。</w:t>
      </w:r>
    </w:p>
    <w:p>
      <w:pPr>
        <w:spacing w:line="360" w:lineRule="auto"/>
        <w:ind w:firstLine="480" w:firstLineChars="200"/>
        <w:rPr>
          <w:rFonts w:cs="宋体"/>
          <w:sz w:val="24"/>
          <w:szCs w:val="24"/>
        </w:rPr>
      </w:pPr>
      <w:r>
        <w:rPr>
          <w:rFonts w:hint="eastAsia" w:cs="宋体"/>
          <w:sz w:val="24"/>
          <w:szCs w:val="24"/>
        </w:rPr>
        <w:t>1.2评标委员会对投标人递交的投标文件，按照本评标办法规定的评标程序及评标办法和标准进行评审，推荐中标候选人。招标人根据评标委员会的评标结果和推荐的中标候选人依法确定中标人。</w:t>
      </w:r>
    </w:p>
    <w:p>
      <w:pPr>
        <w:pStyle w:val="2"/>
        <w:spacing w:before="0" w:after="0" w:line="360" w:lineRule="auto"/>
        <w:rPr>
          <w:rFonts w:ascii="宋体" w:hAnsi="宋体"/>
          <w:sz w:val="24"/>
          <w:szCs w:val="24"/>
        </w:rPr>
      </w:pPr>
      <w:bookmarkStart w:id="623" w:name="_Toc30419"/>
      <w:bookmarkStart w:id="624" w:name="_Toc10476"/>
      <w:bookmarkStart w:id="625" w:name="_Toc5942"/>
      <w:bookmarkStart w:id="626" w:name="_Toc5526"/>
      <w:bookmarkStart w:id="627" w:name="_Toc65"/>
      <w:bookmarkStart w:id="628" w:name="_Toc478"/>
      <w:bookmarkStart w:id="629" w:name="_Toc15447"/>
      <w:bookmarkStart w:id="630" w:name="_Toc148459134"/>
      <w:bookmarkStart w:id="631" w:name="_Toc9813"/>
      <w:r>
        <w:rPr>
          <w:rFonts w:hint="eastAsia" w:ascii="宋体" w:hAnsi="宋体"/>
          <w:sz w:val="24"/>
          <w:szCs w:val="24"/>
        </w:rPr>
        <w:t>2、评标委员会的组建</w:t>
      </w:r>
      <w:bookmarkEnd w:id="623"/>
      <w:bookmarkEnd w:id="624"/>
      <w:bookmarkEnd w:id="625"/>
      <w:bookmarkEnd w:id="626"/>
      <w:bookmarkEnd w:id="627"/>
      <w:bookmarkEnd w:id="628"/>
      <w:bookmarkEnd w:id="629"/>
      <w:bookmarkEnd w:id="630"/>
      <w:bookmarkEnd w:id="631"/>
    </w:p>
    <w:p>
      <w:pPr>
        <w:spacing w:line="360" w:lineRule="auto"/>
        <w:ind w:left="69" w:firstLine="480" w:firstLineChars="200"/>
        <w:rPr>
          <w:rFonts w:cs="宋体"/>
          <w:sz w:val="24"/>
          <w:szCs w:val="24"/>
        </w:rPr>
      </w:pPr>
      <w:r>
        <w:rPr>
          <w:rFonts w:hint="eastAsia" w:cs="宋体"/>
          <w:sz w:val="24"/>
          <w:szCs w:val="24"/>
        </w:rPr>
        <w:t>2.1评标委员会由招标人依法组建，负责评标活动，在开标后的适当时间里由评标委员会对投标文件进行审查、质疑、评估和比较，并做出授予合同的建议。</w:t>
      </w:r>
    </w:p>
    <w:p>
      <w:pPr>
        <w:spacing w:line="360" w:lineRule="auto"/>
        <w:ind w:left="69" w:firstLine="480" w:firstLineChars="200"/>
        <w:rPr>
          <w:rFonts w:cs="宋体"/>
          <w:sz w:val="24"/>
          <w:szCs w:val="24"/>
        </w:rPr>
      </w:pPr>
      <w:r>
        <w:rPr>
          <w:rFonts w:hint="eastAsia" w:cs="宋体"/>
          <w:sz w:val="24"/>
          <w:szCs w:val="24"/>
        </w:rPr>
        <w:t>2.2评标委员会构成：评标委员会由有关专业的技术、经济专家和招标人等方面代表组成。</w:t>
      </w:r>
    </w:p>
    <w:p>
      <w:pPr>
        <w:pStyle w:val="2"/>
        <w:spacing w:before="0" w:after="0"/>
        <w:rPr>
          <w:rFonts w:ascii="宋体" w:hAnsi="宋体"/>
          <w:sz w:val="24"/>
          <w:szCs w:val="24"/>
        </w:rPr>
      </w:pPr>
      <w:bookmarkStart w:id="632" w:name="_Toc27856"/>
      <w:bookmarkStart w:id="633" w:name="_Toc148459135"/>
      <w:bookmarkStart w:id="634" w:name="_Toc16164"/>
      <w:bookmarkStart w:id="635" w:name="_Toc77862889"/>
      <w:bookmarkStart w:id="636" w:name="_Toc37226785"/>
      <w:bookmarkStart w:id="637" w:name="_Toc6934"/>
      <w:bookmarkStart w:id="638" w:name="_Toc7525"/>
      <w:bookmarkStart w:id="639" w:name="_Toc580"/>
      <w:bookmarkStart w:id="640" w:name="_Toc455125366"/>
      <w:bookmarkStart w:id="641" w:name="_Toc19659"/>
      <w:bookmarkStart w:id="642" w:name="_Toc2208"/>
      <w:bookmarkStart w:id="643" w:name="_Toc21878"/>
      <w:bookmarkStart w:id="644" w:name="_Toc32154"/>
      <w:bookmarkStart w:id="645" w:name="_Toc20387"/>
      <w:bookmarkStart w:id="646" w:name="_Toc2661"/>
      <w:bookmarkStart w:id="647" w:name="_Toc27017"/>
      <w:bookmarkStart w:id="648" w:name="_Toc520722222"/>
      <w:bookmarkStart w:id="649" w:name="_Toc11810"/>
      <w:r>
        <w:rPr>
          <w:rFonts w:hint="eastAsia" w:ascii="宋体" w:hAnsi="宋体"/>
          <w:sz w:val="24"/>
          <w:szCs w:val="24"/>
        </w:rPr>
        <w:t>3、评标原则和评标纪律</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pPr>
        <w:spacing w:line="360" w:lineRule="auto"/>
        <w:ind w:firstLine="540" w:firstLineChars="225"/>
        <w:rPr>
          <w:rFonts w:cs="宋体"/>
          <w:sz w:val="24"/>
          <w:szCs w:val="24"/>
        </w:rPr>
      </w:pPr>
      <w:r>
        <w:rPr>
          <w:rFonts w:hint="eastAsia" w:cs="宋体"/>
          <w:sz w:val="24"/>
          <w:szCs w:val="24"/>
        </w:rPr>
        <w:t>3.1 评标活动遵循公平、公正、科学和择优的原则。</w:t>
      </w:r>
    </w:p>
    <w:p>
      <w:pPr>
        <w:spacing w:line="360" w:lineRule="auto"/>
        <w:ind w:firstLine="540" w:firstLineChars="225"/>
        <w:rPr>
          <w:rFonts w:cs="宋体"/>
          <w:sz w:val="24"/>
          <w:szCs w:val="24"/>
        </w:rPr>
      </w:pPr>
      <w:r>
        <w:rPr>
          <w:rFonts w:hint="eastAsia" w:cs="宋体"/>
          <w:sz w:val="24"/>
          <w:szCs w:val="24"/>
        </w:rPr>
        <w:t>3.2 评标委员会及其成员的权利、义务和评标纪律：</w:t>
      </w:r>
    </w:p>
    <w:p>
      <w:pPr>
        <w:spacing w:line="360" w:lineRule="auto"/>
        <w:ind w:firstLine="540" w:firstLineChars="225"/>
        <w:rPr>
          <w:rFonts w:cs="宋体"/>
          <w:sz w:val="24"/>
          <w:szCs w:val="24"/>
        </w:rPr>
      </w:pPr>
      <w:r>
        <w:rPr>
          <w:rFonts w:hint="eastAsia" w:cs="宋体"/>
          <w:sz w:val="24"/>
          <w:szCs w:val="24"/>
        </w:rPr>
        <w:t>3.2.1 评标委员会成员享有依据招标文件规定的评标办法和标准对投标文件进行评审、充分发表自己的评审意见或保留自己的评审意见的权利，但招标文件没有规定的评标办法和标准，不得作为评标依据。</w:t>
      </w:r>
    </w:p>
    <w:p>
      <w:pPr>
        <w:spacing w:line="360" w:lineRule="auto"/>
        <w:ind w:firstLine="540" w:firstLineChars="225"/>
        <w:rPr>
          <w:rFonts w:cs="宋体"/>
          <w:sz w:val="24"/>
          <w:szCs w:val="24"/>
        </w:rPr>
      </w:pPr>
      <w:r>
        <w:rPr>
          <w:rFonts w:hint="eastAsia" w:cs="宋体"/>
          <w:sz w:val="24"/>
          <w:szCs w:val="24"/>
        </w:rPr>
        <w:t>3.2.2 评标委员会主任与评标委员会其他成员享有同等的表决权。</w:t>
      </w:r>
    </w:p>
    <w:p>
      <w:pPr>
        <w:spacing w:line="360" w:lineRule="auto"/>
        <w:ind w:firstLine="540" w:firstLineChars="225"/>
        <w:rPr>
          <w:rFonts w:cs="宋体"/>
          <w:sz w:val="24"/>
          <w:szCs w:val="24"/>
        </w:rPr>
      </w:pPr>
      <w:r>
        <w:rPr>
          <w:rFonts w:hint="eastAsia" w:cs="宋体"/>
          <w:sz w:val="24"/>
          <w:szCs w:val="24"/>
        </w:rPr>
        <w:t>3.2.3 评标委员会成员应在评标前认真审阅招标文件。</w:t>
      </w:r>
    </w:p>
    <w:p>
      <w:pPr>
        <w:spacing w:line="360" w:lineRule="auto"/>
        <w:ind w:firstLine="540" w:firstLineChars="225"/>
        <w:rPr>
          <w:rFonts w:cs="宋体"/>
          <w:sz w:val="24"/>
          <w:szCs w:val="24"/>
        </w:rPr>
      </w:pPr>
      <w:r>
        <w:rPr>
          <w:rFonts w:hint="eastAsia" w:cs="宋体"/>
          <w:sz w:val="24"/>
          <w:szCs w:val="24"/>
        </w:rPr>
        <w:t>3.2.4 评标委员会对同一招标项目只能做出一种评标结论，评标委员会成员对评标结论如有异议，应按少数服从多数的原则投票表决。对评标结论持有异议的，评标委员会成员可以书面方式阐述其不同意见和理由。评标委员会成员拒绝在评标报告上签字且不陈述其不同意见和理由的，视为同意评标结论，并由评标委员会作出书面说明并存档。</w:t>
      </w:r>
    </w:p>
    <w:p>
      <w:pPr>
        <w:spacing w:line="360" w:lineRule="auto"/>
        <w:ind w:firstLine="540" w:firstLineChars="225"/>
        <w:rPr>
          <w:rFonts w:cs="宋体"/>
          <w:sz w:val="24"/>
          <w:szCs w:val="24"/>
        </w:rPr>
      </w:pPr>
      <w:r>
        <w:rPr>
          <w:rFonts w:hint="eastAsia" w:cs="宋体"/>
          <w:sz w:val="24"/>
          <w:szCs w:val="24"/>
        </w:rPr>
        <w:t>3.2.5 评标委员会成员应当客观公正地履行职责，遵守职业道德，并对所提出的评审意见承担个人责任。</w:t>
      </w:r>
    </w:p>
    <w:p>
      <w:pPr>
        <w:spacing w:line="360" w:lineRule="auto"/>
        <w:ind w:firstLine="540" w:firstLineChars="225"/>
        <w:rPr>
          <w:rFonts w:cs="宋体"/>
          <w:sz w:val="24"/>
          <w:szCs w:val="24"/>
        </w:rPr>
      </w:pPr>
      <w:r>
        <w:rPr>
          <w:rFonts w:hint="eastAsia" w:cs="宋体"/>
          <w:sz w:val="24"/>
          <w:szCs w:val="24"/>
        </w:rPr>
        <w:t>3.2.6 评标委员会成员不得与任何投标人或者与招标结果有利害关系的人进行私下接触，不得收受投标人、中介人、其他利害关系人的财物或者其他好处。</w:t>
      </w:r>
    </w:p>
    <w:p>
      <w:pPr>
        <w:spacing w:line="360" w:lineRule="auto"/>
        <w:ind w:firstLine="540" w:firstLineChars="225"/>
        <w:rPr>
          <w:rFonts w:cs="宋体"/>
          <w:sz w:val="24"/>
          <w:szCs w:val="24"/>
        </w:rPr>
      </w:pPr>
      <w:r>
        <w:rPr>
          <w:rFonts w:hint="eastAsia" w:cs="宋体"/>
          <w:sz w:val="24"/>
          <w:szCs w:val="24"/>
        </w:rPr>
        <w:t>3.2.7 评标委员会成员以及与评标活动有关的工作人员不得对外透露评标委员会对投标文件的评审和比较情况、中标候选人的推荐情况以及与评标有关的其他情况。</w:t>
      </w:r>
    </w:p>
    <w:p>
      <w:pPr>
        <w:spacing w:line="360" w:lineRule="auto"/>
        <w:ind w:firstLine="540" w:firstLineChars="225"/>
        <w:rPr>
          <w:rFonts w:cs="宋体"/>
          <w:sz w:val="24"/>
          <w:szCs w:val="24"/>
        </w:rPr>
      </w:pPr>
      <w:r>
        <w:rPr>
          <w:rFonts w:hint="eastAsia" w:cs="宋体"/>
          <w:sz w:val="24"/>
          <w:szCs w:val="24"/>
        </w:rPr>
        <w:t>3.2.8 评标委员会成员在评标过程中不得擅离职守影响评标程序正常进行，评审活动未结束，无正当理由不得中途退出评标委员会。</w:t>
      </w:r>
    </w:p>
    <w:p>
      <w:pPr>
        <w:spacing w:line="360" w:lineRule="auto"/>
        <w:ind w:firstLine="540" w:firstLineChars="225"/>
        <w:rPr>
          <w:rFonts w:cs="宋体"/>
          <w:sz w:val="24"/>
          <w:szCs w:val="24"/>
        </w:rPr>
      </w:pPr>
      <w:r>
        <w:rPr>
          <w:rFonts w:hint="eastAsia" w:cs="宋体"/>
          <w:sz w:val="24"/>
          <w:szCs w:val="24"/>
        </w:rPr>
        <w:t>3.2.9 评标委员会及其成员还享有并应遵守有关法律、法规、规章等政策法规文件规定的权力、义务和评标纪律。</w:t>
      </w:r>
    </w:p>
    <w:p>
      <w:pPr>
        <w:spacing w:line="360" w:lineRule="auto"/>
        <w:ind w:firstLine="540" w:firstLineChars="225"/>
        <w:rPr>
          <w:rFonts w:cs="宋体"/>
          <w:sz w:val="24"/>
          <w:szCs w:val="24"/>
        </w:rPr>
      </w:pPr>
      <w:r>
        <w:rPr>
          <w:rFonts w:hint="eastAsia" w:cs="宋体"/>
          <w:sz w:val="24"/>
          <w:szCs w:val="24"/>
        </w:rPr>
        <w:t>3.2.10 评标委员会成员有违反以上行为的，将由违反者承担道德、纪律或法律责任。</w:t>
      </w:r>
    </w:p>
    <w:p>
      <w:pPr>
        <w:pStyle w:val="2"/>
        <w:spacing w:before="0" w:after="0" w:line="360" w:lineRule="auto"/>
        <w:rPr>
          <w:rFonts w:ascii="宋体" w:hAnsi="宋体"/>
          <w:sz w:val="24"/>
          <w:szCs w:val="24"/>
        </w:rPr>
      </w:pPr>
      <w:bookmarkStart w:id="650" w:name="_Toc23896"/>
      <w:bookmarkStart w:id="651" w:name="_Toc520722223"/>
      <w:bookmarkStart w:id="652" w:name="_Toc19392"/>
      <w:bookmarkStart w:id="653" w:name="_Toc4455"/>
      <w:bookmarkStart w:id="654" w:name="_Toc2832"/>
      <w:bookmarkStart w:id="655" w:name="_Toc14212"/>
      <w:bookmarkStart w:id="656" w:name="_Toc26098"/>
      <w:bookmarkStart w:id="657" w:name="_Toc17791"/>
      <w:bookmarkStart w:id="658" w:name="_Toc21625"/>
      <w:bookmarkStart w:id="659" w:name="_Toc77862890"/>
      <w:bookmarkStart w:id="660" w:name="_Toc25809"/>
      <w:bookmarkStart w:id="661" w:name="_Toc37226786"/>
      <w:bookmarkStart w:id="662" w:name="_Toc6671"/>
      <w:bookmarkStart w:id="663" w:name="_Toc455125367"/>
      <w:bookmarkStart w:id="664" w:name="_Toc148459136"/>
      <w:bookmarkStart w:id="665" w:name="_Toc1428"/>
      <w:bookmarkStart w:id="666" w:name="_Toc22099"/>
      <w:bookmarkStart w:id="667" w:name="_Toc15213"/>
      <w:r>
        <w:rPr>
          <w:rFonts w:hint="eastAsia" w:ascii="宋体" w:hAnsi="宋体"/>
          <w:sz w:val="24"/>
          <w:szCs w:val="24"/>
        </w:rPr>
        <w:t>4、评标程序、评标办法和标准</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pPr>
        <w:tabs>
          <w:tab w:val="left" w:pos="425"/>
        </w:tabs>
        <w:spacing w:line="360" w:lineRule="auto"/>
        <w:ind w:firstLine="540" w:firstLineChars="225"/>
        <w:rPr>
          <w:rFonts w:cs="宋体"/>
          <w:sz w:val="24"/>
          <w:szCs w:val="24"/>
        </w:rPr>
      </w:pPr>
      <w:r>
        <w:rPr>
          <w:rFonts w:hint="eastAsia" w:cs="宋体"/>
          <w:sz w:val="24"/>
          <w:szCs w:val="24"/>
        </w:rPr>
        <w:t>4.1投标文件的初审</w:t>
      </w:r>
    </w:p>
    <w:p>
      <w:pPr>
        <w:tabs>
          <w:tab w:val="left" w:pos="425"/>
          <w:tab w:val="left" w:pos="964"/>
        </w:tabs>
        <w:spacing w:line="360" w:lineRule="auto"/>
        <w:ind w:firstLine="540" w:firstLineChars="225"/>
        <w:rPr>
          <w:rFonts w:cs="宋体"/>
          <w:sz w:val="24"/>
          <w:szCs w:val="24"/>
        </w:rPr>
      </w:pPr>
      <w:r>
        <w:rPr>
          <w:rFonts w:hint="eastAsia" w:cs="宋体"/>
          <w:sz w:val="24"/>
          <w:szCs w:val="24"/>
        </w:rPr>
        <w:t>4.1.1对所有投标人的评估，都采用相同的程序和标准。评议过程将严格按照招标文件的要求和条件进行。</w:t>
      </w:r>
    </w:p>
    <w:p>
      <w:pPr>
        <w:tabs>
          <w:tab w:val="left" w:pos="425"/>
          <w:tab w:val="left" w:pos="964"/>
        </w:tabs>
        <w:spacing w:line="360" w:lineRule="auto"/>
        <w:ind w:firstLine="540" w:firstLineChars="225"/>
        <w:rPr>
          <w:rFonts w:cs="宋体"/>
          <w:sz w:val="24"/>
          <w:szCs w:val="24"/>
        </w:rPr>
      </w:pPr>
      <w:r>
        <w:rPr>
          <w:rFonts w:hint="eastAsia" w:cs="宋体"/>
          <w:sz w:val="24"/>
          <w:szCs w:val="24"/>
        </w:rPr>
        <w:t>4.1.2有关投标文件的审查、澄清、评估和比较以及推荐中标候选人的一切情况都不得透露给任一投标人或与上述评标工作无关的人员。</w:t>
      </w:r>
    </w:p>
    <w:p>
      <w:pPr>
        <w:tabs>
          <w:tab w:val="left" w:pos="425"/>
          <w:tab w:val="left" w:pos="964"/>
        </w:tabs>
        <w:spacing w:line="360" w:lineRule="auto"/>
        <w:ind w:firstLine="540" w:firstLineChars="225"/>
        <w:rPr>
          <w:rFonts w:cs="宋体"/>
          <w:sz w:val="24"/>
          <w:szCs w:val="24"/>
        </w:rPr>
      </w:pPr>
      <w:r>
        <w:rPr>
          <w:rFonts w:hint="eastAsia" w:cs="宋体"/>
          <w:sz w:val="24"/>
          <w:szCs w:val="24"/>
        </w:rPr>
        <w:t>4.1.3投标人任何试图影响评委会对投标文件的评估、比较或者推荐候选人的行为，都将导致其投标被拒绝，并被没收投标保证金。</w:t>
      </w:r>
    </w:p>
    <w:p>
      <w:pPr>
        <w:tabs>
          <w:tab w:val="left" w:pos="425"/>
          <w:tab w:val="left" w:pos="964"/>
        </w:tabs>
        <w:spacing w:line="360" w:lineRule="auto"/>
        <w:ind w:firstLine="540" w:firstLineChars="225"/>
        <w:rPr>
          <w:rFonts w:cs="宋体"/>
          <w:sz w:val="24"/>
          <w:szCs w:val="24"/>
        </w:rPr>
      </w:pPr>
      <w:r>
        <w:rPr>
          <w:rFonts w:hint="eastAsia" w:cs="宋体"/>
          <w:sz w:val="24"/>
          <w:szCs w:val="24"/>
        </w:rPr>
        <w:t xml:space="preserve">4.1.4评委会将对投标文件进行审查，以确定投标文件是否完整、有无计算上的错误、是否提交了投标保证金、文件是否已正确签署。 </w:t>
      </w:r>
    </w:p>
    <w:p>
      <w:pPr>
        <w:tabs>
          <w:tab w:val="left" w:pos="425"/>
          <w:tab w:val="left" w:pos="964"/>
        </w:tabs>
        <w:spacing w:line="360" w:lineRule="auto"/>
        <w:ind w:firstLine="540" w:firstLineChars="225"/>
        <w:rPr>
          <w:rFonts w:cs="宋体"/>
          <w:sz w:val="24"/>
          <w:szCs w:val="24"/>
        </w:rPr>
      </w:pPr>
      <w:r>
        <w:rPr>
          <w:rFonts w:hint="eastAsia" w:cs="宋体"/>
          <w:sz w:val="24"/>
          <w:szCs w:val="24"/>
        </w:rPr>
        <w:t>4.1.5算术错误将按以下方法更正：</w:t>
      </w:r>
    </w:p>
    <w:p>
      <w:pPr>
        <w:tabs>
          <w:tab w:val="left" w:pos="425"/>
          <w:tab w:val="left" w:pos="964"/>
        </w:tabs>
        <w:spacing w:line="360" w:lineRule="auto"/>
        <w:ind w:firstLine="540" w:firstLineChars="225"/>
        <w:rPr>
          <w:rFonts w:cs="宋体"/>
          <w:sz w:val="24"/>
          <w:szCs w:val="24"/>
        </w:rPr>
      </w:pPr>
      <w:r>
        <w:rPr>
          <w:rFonts w:hint="eastAsia" w:cs="宋体"/>
          <w:sz w:val="24"/>
          <w:szCs w:val="24"/>
        </w:rPr>
        <w:t>（1）投标文件中“开标一览表(报价表)”内容与投标文件中明细表内容不一致的，以“开标一览表(报价表)”为准。</w:t>
      </w:r>
    </w:p>
    <w:p>
      <w:pPr>
        <w:tabs>
          <w:tab w:val="left" w:pos="425"/>
          <w:tab w:val="left" w:pos="964"/>
        </w:tabs>
        <w:spacing w:line="360" w:lineRule="auto"/>
        <w:ind w:firstLine="540" w:firstLineChars="225"/>
        <w:rPr>
          <w:rFonts w:cs="宋体"/>
          <w:sz w:val="24"/>
          <w:szCs w:val="24"/>
        </w:rPr>
      </w:pPr>
      <w:r>
        <w:rPr>
          <w:rFonts w:hint="eastAsia" w:cs="宋体"/>
          <w:sz w:val="24"/>
          <w:szCs w:val="24"/>
        </w:rPr>
        <w:t>（2）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pPr>
        <w:spacing w:line="360" w:lineRule="auto"/>
        <w:ind w:firstLine="540" w:firstLineChars="225"/>
        <w:rPr>
          <w:rFonts w:cs="宋体"/>
          <w:sz w:val="24"/>
          <w:szCs w:val="24"/>
        </w:rPr>
      </w:pPr>
      <w:r>
        <w:rPr>
          <w:rFonts w:hint="eastAsia" w:cs="宋体"/>
          <w:sz w:val="24"/>
          <w:szCs w:val="24"/>
        </w:rPr>
        <w:t>如果投标人不接受按上述方法对投标文件中的算术错误进行更正，其投标将被拒绝并不退还其投标保证金。</w:t>
      </w:r>
    </w:p>
    <w:p>
      <w:pPr>
        <w:tabs>
          <w:tab w:val="left" w:pos="425"/>
          <w:tab w:val="left" w:pos="964"/>
        </w:tabs>
        <w:spacing w:line="360" w:lineRule="auto"/>
        <w:ind w:firstLine="540" w:firstLineChars="225"/>
        <w:rPr>
          <w:rFonts w:cs="宋体"/>
          <w:sz w:val="24"/>
          <w:szCs w:val="24"/>
        </w:rPr>
      </w:pPr>
      <w:r>
        <w:rPr>
          <w:rFonts w:hint="eastAsia" w:cs="宋体"/>
          <w:sz w:val="24"/>
          <w:szCs w:val="24"/>
        </w:rPr>
        <w:t>4.2资格性检查和符合性检查</w:t>
      </w:r>
    </w:p>
    <w:p>
      <w:pPr>
        <w:tabs>
          <w:tab w:val="left" w:pos="425"/>
          <w:tab w:val="left" w:pos="964"/>
        </w:tabs>
        <w:spacing w:line="360" w:lineRule="auto"/>
        <w:ind w:firstLine="540" w:firstLineChars="225"/>
        <w:rPr>
          <w:rFonts w:cs="宋体"/>
          <w:sz w:val="24"/>
          <w:szCs w:val="24"/>
        </w:rPr>
      </w:pPr>
      <w:r>
        <w:rPr>
          <w:rFonts w:hint="eastAsia" w:cs="宋体"/>
          <w:sz w:val="24"/>
          <w:szCs w:val="24"/>
        </w:rPr>
        <w:t>4.2.1</w:t>
      </w:r>
      <w:r>
        <w:rPr>
          <w:rFonts w:hint="eastAsia" w:cs="宋体"/>
          <w:b/>
          <w:sz w:val="24"/>
          <w:szCs w:val="24"/>
        </w:rPr>
        <w:t>资格性检查</w:t>
      </w:r>
      <w:r>
        <w:rPr>
          <w:rFonts w:hint="eastAsia" w:cs="宋体"/>
          <w:sz w:val="24"/>
          <w:szCs w:val="24"/>
        </w:rPr>
        <w:t>。依据法律法规和招标文件的规定，在对投标文件详细评估之前，评标委员会将依据投标人提交的投标文件按招标文件所述的资格性要求对投标人进行资格审查，以确定其是否具备投标资格。如果投标人不具备投标资格，不满足招标文件所规定的资格标准或提供资格证明文件不全的， 其投标将被拒绝。</w:t>
      </w:r>
    </w:p>
    <w:p>
      <w:pPr>
        <w:tabs>
          <w:tab w:val="left" w:pos="425"/>
          <w:tab w:val="left" w:pos="964"/>
        </w:tabs>
        <w:spacing w:line="360" w:lineRule="auto"/>
        <w:ind w:firstLine="540" w:firstLineChars="225"/>
        <w:rPr>
          <w:rFonts w:cs="宋体"/>
          <w:sz w:val="24"/>
          <w:szCs w:val="24"/>
        </w:rPr>
      </w:pPr>
      <w:r>
        <w:rPr>
          <w:rFonts w:hint="eastAsia" w:cs="宋体"/>
          <w:sz w:val="24"/>
          <w:szCs w:val="24"/>
        </w:rPr>
        <w:t>4.2.2</w:t>
      </w:r>
      <w:r>
        <w:rPr>
          <w:rFonts w:hint="eastAsia" w:cs="宋体"/>
          <w:b/>
          <w:sz w:val="24"/>
          <w:szCs w:val="24"/>
        </w:rPr>
        <w:t>符合性检查</w:t>
      </w:r>
      <w:r>
        <w:rPr>
          <w:rFonts w:hint="eastAsia" w:cs="宋体"/>
          <w:sz w:val="24"/>
          <w:szCs w:val="24"/>
        </w:rPr>
        <w:t>。依据招标文件的规定，评标委员会还将从投标文件的</w:t>
      </w:r>
      <w:r>
        <w:rPr>
          <w:rFonts w:hint="eastAsia" w:cs="宋体"/>
          <w:b/>
          <w:sz w:val="24"/>
          <w:szCs w:val="24"/>
        </w:rPr>
        <w:t>有效性、完整性</w:t>
      </w:r>
      <w:r>
        <w:rPr>
          <w:rFonts w:hint="eastAsia" w:cs="宋体"/>
          <w:sz w:val="24"/>
          <w:szCs w:val="24"/>
        </w:rPr>
        <w:t>和对招标文件的</w:t>
      </w:r>
      <w:r>
        <w:rPr>
          <w:rFonts w:hint="eastAsia" w:cs="宋体"/>
          <w:b/>
          <w:sz w:val="24"/>
          <w:szCs w:val="24"/>
        </w:rPr>
        <w:t>响应程度</w:t>
      </w:r>
      <w:r>
        <w:rPr>
          <w:rFonts w:hint="eastAsia" w:cs="宋体"/>
          <w:sz w:val="24"/>
          <w:szCs w:val="24"/>
        </w:rPr>
        <w:t>进行审查，以确定是否符合对招标文件的实质性要求。评标委员会将依据投标人提交的投标文件按招标文件所述要求对投标人进行审查，对没有实质性响应的投标文件将不进行评估，其投标将被作为无效投标处理。</w:t>
      </w:r>
    </w:p>
    <w:p>
      <w:pPr>
        <w:spacing w:line="360" w:lineRule="auto"/>
        <w:ind w:firstLine="542" w:firstLineChars="225"/>
        <w:rPr>
          <w:rFonts w:cs="宋体"/>
        </w:rPr>
      </w:pPr>
      <w:r>
        <w:rPr>
          <w:rFonts w:hint="eastAsia" w:cs="宋体"/>
          <w:b/>
          <w:sz w:val="24"/>
          <w:szCs w:val="24"/>
        </w:rPr>
        <w:t>评标委员会确定投标的响应情况，只根据投标文件本身的内容，而不寻求其他的外部证据</w:t>
      </w:r>
      <w:r>
        <w:rPr>
          <w:rFonts w:hint="eastAsia" w:cs="宋体"/>
          <w:sz w:val="24"/>
          <w:szCs w:val="24"/>
        </w:rPr>
        <w:t>。</w:t>
      </w:r>
    </w:p>
    <w:p>
      <w:pPr>
        <w:tabs>
          <w:tab w:val="left" w:pos="425"/>
        </w:tabs>
        <w:spacing w:line="360" w:lineRule="auto"/>
        <w:ind w:firstLine="540" w:firstLineChars="225"/>
        <w:rPr>
          <w:rFonts w:cs="宋体"/>
          <w:sz w:val="24"/>
          <w:szCs w:val="24"/>
        </w:rPr>
      </w:pPr>
      <w:r>
        <w:rPr>
          <w:rFonts w:hint="eastAsia" w:cs="宋体"/>
          <w:sz w:val="24"/>
          <w:szCs w:val="24"/>
        </w:rPr>
        <w:t>4.3投标文件的澄清</w:t>
      </w:r>
    </w:p>
    <w:p>
      <w:pPr>
        <w:tabs>
          <w:tab w:val="left" w:pos="425"/>
          <w:tab w:val="left" w:pos="964"/>
        </w:tabs>
        <w:spacing w:line="360" w:lineRule="auto"/>
        <w:ind w:firstLine="540" w:firstLineChars="225"/>
        <w:rPr>
          <w:rFonts w:cs="宋体"/>
          <w:sz w:val="24"/>
          <w:szCs w:val="24"/>
        </w:rPr>
      </w:pPr>
      <w:r>
        <w:rPr>
          <w:rFonts w:hint="eastAsia" w:cs="宋体"/>
          <w:sz w:val="24"/>
          <w:szCs w:val="24"/>
        </w:rPr>
        <w:t>4.3.1对投标文件中含义不明确、同类问题表述不一致或者有明显文字和计算错误的内容，评标委员会可以以书面形式要求投标人作出必要的澄清、说明或者纠正。投标人的澄清、说明或者补正应当在评标委员会规定的时间内以书面形式作出，由其法定代表人或者授权代表签字，并不得超出投标文件的范围或者改变投标文件的实质性内容。</w:t>
      </w:r>
    </w:p>
    <w:p>
      <w:pPr>
        <w:tabs>
          <w:tab w:val="left" w:pos="425"/>
        </w:tabs>
        <w:spacing w:line="360" w:lineRule="auto"/>
        <w:ind w:firstLine="540" w:firstLineChars="225"/>
        <w:rPr>
          <w:rFonts w:cs="宋体"/>
          <w:sz w:val="24"/>
          <w:szCs w:val="24"/>
        </w:rPr>
      </w:pPr>
      <w:r>
        <w:rPr>
          <w:rFonts w:hint="eastAsia" w:cs="宋体"/>
          <w:sz w:val="24"/>
          <w:szCs w:val="24"/>
        </w:rPr>
        <w:t>4.4比较与评价</w:t>
      </w:r>
    </w:p>
    <w:p>
      <w:pPr>
        <w:tabs>
          <w:tab w:val="left" w:pos="425"/>
          <w:tab w:val="left" w:pos="964"/>
        </w:tabs>
        <w:spacing w:line="360" w:lineRule="auto"/>
        <w:ind w:firstLine="540" w:firstLineChars="225"/>
        <w:rPr>
          <w:rFonts w:cs="宋体"/>
          <w:sz w:val="24"/>
          <w:szCs w:val="24"/>
        </w:rPr>
      </w:pPr>
      <w:r>
        <w:rPr>
          <w:rFonts w:hint="eastAsia" w:cs="宋体"/>
          <w:sz w:val="24"/>
          <w:szCs w:val="24"/>
        </w:rPr>
        <w:t>4.4.1评标委员会将按“5、评标办法”所述评标方法与标准，对资格性检查和符合性检查合格的投标文件进行评审。</w:t>
      </w:r>
    </w:p>
    <w:p>
      <w:pPr>
        <w:tabs>
          <w:tab w:val="left" w:pos="425"/>
          <w:tab w:val="left" w:pos="964"/>
        </w:tabs>
        <w:spacing w:line="360" w:lineRule="auto"/>
        <w:ind w:firstLine="540" w:firstLineChars="225"/>
        <w:rPr>
          <w:rFonts w:cs="宋体"/>
          <w:sz w:val="24"/>
          <w:szCs w:val="24"/>
        </w:rPr>
      </w:pPr>
      <w:r>
        <w:rPr>
          <w:rFonts w:hint="eastAsia" w:cs="宋体"/>
          <w:sz w:val="24"/>
          <w:szCs w:val="24"/>
        </w:rPr>
        <w:t>4.4.2若投标人的报价明显低于通过资格性检查和符合性检查的投标人的报价，使得其投标报价可能低于其个别成本的，有可能影响商品质量或不能诚信履约的，投标人应按评标委员会要求作出书面说明并提供相关证明材料，不能合理说明或不能提供相关证明材料的，可作无效投标处理。</w:t>
      </w:r>
    </w:p>
    <w:p>
      <w:pPr>
        <w:tabs>
          <w:tab w:val="left" w:pos="425"/>
          <w:tab w:val="left" w:pos="964"/>
        </w:tabs>
        <w:spacing w:line="360" w:lineRule="auto"/>
        <w:ind w:firstLine="540" w:firstLineChars="225"/>
        <w:rPr>
          <w:rFonts w:cs="宋体"/>
          <w:sz w:val="24"/>
          <w:szCs w:val="24"/>
        </w:rPr>
      </w:pPr>
      <w:r>
        <w:rPr>
          <w:rFonts w:hint="eastAsia" w:cs="宋体"/>
          <w:sz w:val="24"/>
          <w:szCs w:val="24"/>
        </w:rPr>
        <w:t>4.4.3评标委员会将按比较与评价最优在先原则，排列评价顺序，根据“5、评标办法”中确定的中标候选人数量推荐出中标候选人。</w:t>
      </w:r>
    </w:p>
    <w:p>
      <w:pPr>
        <w:tabs>
          <w:tab w:val="left" w:pos="425"/>
          <w:tab w:val="left" w:pos="964"/>
        </w:tabs>
        <w:spacing w:line="360" w:lineRule="auto"/>
        <w:ind w:firstLine="540" w:firstLineChars="225"/>
        <w:rPr>
          <w:rFonts w:cs="宋体"/>
          <w:sz w:val="24"/>
          <w:szCs w:val="24"/>
        </w:rPr>
      </w:pPr>
      <w:r>
        <w:rPr>
          <w:rFonts w:hint="eastAsia" w:cs="宋体"/>
          <w:sz w:val="24"/>
          <w:szCs w:val="24"/>
        </w:rPr>
        <w:t>4.4.4评标委员会对所有投标人的投标文件的评审，都采用相同的程序和标准。</w:t>
      </w:r>
    </w:p>
    <w:p>
      <w:pPr>
        <w:tabs>
          <w:tab w:val="left" w:pos="425"/>
          <w:tab w:val="left" w:pos="964"/>
        </w:tabs>
        <w:spacing w:line="360" w:lineRule="auto"/>
        <w:ind w:firstLine="540" w:firstLineChars="225"/>
        <w:rPr>
          <w:rFonts w:cs="宋体"/>
          <w:sz w:val="24"/>
          <w:szCs w:val="24"/>
        </w:rPr>
      </w:pPr>
      <w:r>
        <w:rPr>
          <w:rFonts w:hint="eastAsia" w:cs="宋体"/>
          <w:sz w:val="24"/>
          <w:szCs w:val="24"/>
        </w:rPr>
        <w:t>4.4.5参加评标的相关人员，不得将有关投标文件的审查、澄清、评估和比较以及会影响评标工作的一切情况，透露给任何一位投标人或与上述评标工作无关的人员。</w:t>
      </w:r>
    </w:p>
    <w:p>
      <w:pPr>
        <w:tabs>
          <w:tab w:val="left" w:pos="425"/>
          <w:tab w:val="left" w:pos="964"/>
        </w:tabs>
        <w:spacing w:line="360" w:lineRule="auto"/>
        <w:ind w:firstLine="540" w:firstLineChars="225"/>
        <w:rPr>
          <w:rFonts w:cs="宋体"/>
          <w:sz w:val="24"/>
          <w:szCs w:val="24"/>
        </w:rPr>
      </w:pPr>
      <w:r>
        <w:rPr>
          <w:rFonts w:hint="eastAsia" w:cs="宋体"/>
          <w:sz w:val="24"/>
          <w:szCs w:val="24"/>
        </w:rPr>
        <w:t>4.4.6在评标或授标期间，若评标委员会否决一部分投标后其他有效投标不足三个使得投标明显缺乏竞争，决定否决全部投标；或所有投标都不符合招标文件实质性要求的，则本项目招标失败，将重新组织招标或者采取其他方式采购。</w:t>
      </w:r>
    </w:p>
    <w:p>
      <w:pPr>
        <w:pStyle w:val="2"/>
        <w:tabs>
          <w:tab w:val="left" w:pos="0"/>
          <w:tab w:val="left" w:pos="420"/>
          <w:tab w:val="left" w:pos="630"/>
        </w:tabs>
        <w:spacing w:before="0" w:after="0"/>
        <w:rPr>
          <w:rFonts w:ascii="宋体" w:hAnsi="宋体"/>
          <w:sz w:val="24"/>
          <w:szCs w:val="24"/>
        </w:rPr>
      </w:pPr>
      <w:bookmarkStart w:id="668" w:name="_Toc32274"/>
      <w:bookmarkStart w:id="669" w:name="_Toc11410"/>
      <w:bookmarkStart w:id="670" w:name="_Toc27624"/>
      <w:bookmarkStart w:id="671" w:name="_Toc8504"/>
      <w:bookmarkStart w:id="672" w:name="_Toc4699"/>
      <w:bookmarkStart w:id="673" w:name="_Toc92"/>
      <w:bookmarkStart w:id="674" w:name="_Toc148459137"/>
      <w:bookmarkStart w:id="675" w:name="_Toc8186"/>
      <w:bookmarkStart w:id="676" w:name="_Toc9959"/>
      <w:r>
        <w:rPr>
          <w:rFonts w:hint="eastAsia" w:ascii="宋体" w:hAnsi="宋体"/>
          <w:sz w:val="24"/>
          <w:szCs w:val="24"/>
        </w:rPr>
        <w:t>5、评标方法</w:t>
      </w:r>
      <w:bookmarkEnd w:id="668"/>
      <w:bookmarkEnd w:id="669"/>
      <w:bookmarkEnd w:id="670"/>
      <w:bookmarkEnd w:id="671"/>
      <w:bookmarkEnd w:id="672"/>
      <w:bookmarkEnd w:id="673"/>
      <w:bookmarkEnd w:id="674"/>
      <w:bookmarkEnd w:id="675"/>
      <w:bookmarkEnd w:id="676"/>
    </w:p>
    <w:p>
      <w:pPr>
        <w:tabs>
          <w:tab w:val="left" w:pos="0"/>
          <w:tab w:val="left" w:pos="420"/>
          <w:tab w:val="left" w:pos="630"/>
        </w:tabs>
        <w:ind w:firstLine="482" w:firstLineChars="200"/>
        <w:rPr>
          <w:rFonts w:cs="宋体"/>
          <w:b/>
          <w:bCs/>
          <w:sz w:val="24"/>
          <w:szCs w:val="24"/>
        </w:rPr>
      </w:pPr>
      <w:r>
        <w:rPr>
          <w:rFonts w:hint="eastAsia" w:cs="宋体"/>
          <w:b/>
          <w:bCs/>
          <w:sz w:val="24"/>
          <w:szCs w:val="24"/>
        </w:rPr>
        <w:t xml:space="preserve">综合评分法 </w:t>
      </w:r>
    </w:p>
    <w:p>
      <w:pPr>
        <w:spacing w:line="360" w:lineRule="auto"/>
        <w:ind w:firstLine="540" w:firstLineChars="225"/>
        <w:rPr>
          <w:rFonts w:cs="宋体"/>
          <w:sz w:val="24"/>
          <w:szCs w:val="24"/>
        </w:rPr>
      </w:pPr>
      <w:r>
        <w:rPr>
          <w:rFonts w:hint="eastAsia" w:cs="宋体"/>
          <w:sz w:val="24"/>
          <w:szCs w:val="24"/>
        </w:rPr>
        <w:t>5.1按照附表1对投标人进行资格审核，按照附表2对投标人进行符合性审查。</w:t>
      </w:r>
    </w:p>
    <w:p>
      <w:pPr>
        <w:spacing w:line="360" w:lineRule="auto"/>
        <w:ind w:firstLine="540" w:firstLineChars="225"/>
        <w:rPr>
          <w:rFonts w:cs="宋体"/>
          <w:sz w:val="24"/>
          <w:szCs w:val="24"/>
        </w:rPr>
      </w:pPr>
      <w:r>
        <w:rPr>
          <w:rFonts w:hint="eastAsia" w:cs="宋体"/>
          <w:sz w:val="24"/>
          <w:szCs w:val="24"/>
        </w:rPr>
        <w:t>5.2对于符合要求的投标人，评标委员会按照附表3技术商务部分评分表进行独立评分。</w:t>
      </w:r>
    </w:p>
    <w:p>
      <w:pPr>
        <w:spacing w:line="360" w:lineRule="auto"/>
        <w:ind w:firstLine="540" w:firstLineChars="225"/>
        <w:rPr>
          <w:rFonts w:cs="宋体"/>
          <w:sz w:val="24"/>
          <w:szCs w:val="24"/>
        </w:rPr>
      </w:pPr>
      <w:r>
        <w:rPr>
          <w:rFonts w:hint="eastAsia" w:cs="宋体"/>
          <w:sz w:val="24"/>
          <w:szCs w:val="24"/>
        </w:rPr>
        <w:t>5.3投标人商务和技术得分计算方法为：汇总评标委员会成员评分后，计算出算术平均值，为投标人商务和技术得分，算术平均值保留至小数点后两位；</w:t>
      </w:r>
    </w:p>
    <w:p>
      <w:pPr>
        <w:spacing w:line="360" w:lineRule="auto"/>
        <w:ind w:firstLine="540" w:firstLineChars="225"/>
        <w:rPr>
          <w:rFonts w:cs="宋体"/>
          <w:sz w:val="24"/>
          <w:szCs w:val="24"/>
        </w:rPr>
      </w:pPr>
      <w:r>
        <w:rPr>
          <w:rFonts w:hint="eastAsia" w:cs="宋体"/>
          <w:sz w:val="24"/>
          <w:szCs w:val="24"/>
        </w:rPr>
        <w:t>5.4对于符合要求的投标人，评标委员会按照附表3报价部分评分表进行评分，分值保留至小数点后两位；</w:t>
      </w:r>
    </w:p>
    <w:p>
      <w:pPr>
        <w:spacing w:line="360" w:lineRule="auto"/>
        <w:ind w:firstLine="540" w:firstLineChars="225"/>
        <w:rPr>
          <w:rFonts w:cs="宋体"/>
          <w:sz w:val="24"/>
          <w:szCs w:val="24"/>
        </w:rPr>
      </w:pPr>
      <w:r>
        <w:rPr>
          <w:rFonts w:hint="eastAsia" w:cs="宋体"/>
          <w:sz w:val="24"/>
          <w:szCs w:val="24"/>
        </w:rPr>
        <w:t>5.5投标人综合得分=商务得分+技术得分+报价得分，保留至小数点后两位。</w:t>
      </w:r>
    </w:p>
    <w:p>
      <w:pPr>
        <w:pStyle w:val="2"/>
        <w:tabs>
          <w:tab w:val="left" w:pos="0"/>
          <w:tab w:val="left" w:pos="420"/>
          <w:tab w:val="left" w:pos="630"/>
        </w:tabs>
        <w:spacing w:before="0" w:after="0"/>
        <w:rPr>
          <w:rFonts w:ascii="宋体" w:hAnsi="宋体"/>
          <w:sz w:val="24"/>
          <w:szCs w:val="24"/>
        </w:rPr>
      </w:pPr>
      <w:bookmarkStart w:id="677" w:name="_Toc26573"/>
      <w:bookmarkStart w:id="678" w:name="_Toc17000"/>
      <w:bookmarkStart w:id="679" w:name="_Toc18852"/>
      <w:bookmarkStart w:id="680" w:name="_Toc31476"/>
      <w:bookmarkStart w:id="681" w:name="_Toc148459138"/>
      <w:bookmarkStart w:id="682" w:name="_Toc20757"/>
      <w:bookmarkStart w:id="683" w:name="_Toc15785"/>
      <w:bookmarkStart w:id="684" w:name="_Toc26134"/>
      <w:bookmarkStart w:id="685" w:name="_Toc8559"/>
      <w:r>
        <w:rPr>
          <w:rFonts w:hint="eastAsia" w:ascii="宋体" w:hAnsi="宋体"/>
          <w:sz w:val="24"/>
          <w:szCs w:val="24"/>
        </w:rPr>
        <w:t>6、推荐中标候选人名单。</w:t>
      </w:r>
      <w:bookmarkEnd w:id="677"/>
      <w:bookmarkEnd w:id="678"/>
      <w:bookmarkEnd w:id="679"/>
      <w:bookmarkEnd w:id="680"/>
      <w:bookmarkEnd w:id="681"/>
      <w:bookmarkEnd w:id="682"/>
      <w:bookmarkEnd w:id="683"/>
      <w:bookmarkEnd w:id="684"/>
    </w:p>
    <w:p>
      <w:pPr>
        <w:spacing w:line="360" w:lineRule="auto"/>
        <w:ind w:firstLine="480" w:firstLineChars="200"/>
        <w:rPr>
          <w:rFonts w:cs="宋体"/>
          <w:sz w:val="24"/>
        </w:rPr>
      </w:pPr>
      <w:r>
        <w:rPr>
          <w:rFonts w:hint="eastAsia" w:cs="宋体"/>
          <w:sz w:val="24"/>
        </w:rPr>
        <w:t>6.1中标候选人数量：2-3名，合格投标人为3个的，推荐2名中标候选人，合格投标人大于3个的，推荐3名中标候选人。</w:t>
      </w:r>
    </w:p>
    <w:p>
      <w:pPr>
        <w:spacing w:line="360" w:lineRule="auto"/>
        <w:ind w:firstLine="480" w:firstLineChars="200"/>
        <w:rPr>
          <w:rFonts w:cs="宋体"/>
          <w:sz w:val="24"/>
        </w:rPr>
      </w:pPr>
      <w:r>
        <w:rPr>
          <w:rFonts w:hint="eastAsia" w:cs="宋体"/>
          <w:sz w:val="24"/>
        </w:rPr>
        <w:t>6.2中标候选人入围规则</w:t>
      </w:r>
      <w:r>
        <w:rPr>
          <w:rFonts w:hint="eastAsia" w:cs="宋体"/>
          <w:kern w:val="0"/>
          <w:sz w:val="24"/>
        </w:rPr>
        <w:t>：</w:t>
      </w:r>
      <w:r>
        <w:rPr>
          <w:rFonts w:hint="eastAsia" w:cs="宋体"/>
          <w:sz w:val="24"/>
        </w:rPr>
        <w:t>经投标文件初审、澄清有关问题、比较与评价评标程序后，按以下办法推荐中标候选人：评标委员会按评审后的综合得分由高到低顺序进行推荐入围中标候选人，入围后的中标候选人不进行排序；若综合得分相同的，按投标报价由低到高顺序排列；若综合得分且投标报价相同的，按技术因素得分由高到低顺序排列；综合得分、投标报价及技术因素得分均相同的，由评标委员会按少数服从多数原则表决确定排序。</w:t>
      </w:r>
    </w:p>
    <w:p>
      <w:pPr>
        <w:pStyle w:val="2"/>
        <w:tabs>
          <w:tab w:val="left" w:pos="0"/>
          <w:tab w:val="left" w:pos="420"/>
          <w:tab w:val="left" w:pos="630"/>
        </w:tabs>
        <w:spacing w:before="0" w:after="0"/>
        <w:rPr>
          <w:rFonts w:ascii="宋体" w:hAnsi="宋体"/>
          <w:sz w:val="24"/>
          <w:szCs w:val="24"/>
        </w:rPr>
      </w:pPr>
      <w:bookmarkStart w:id="686" w:name="_Toc14842"/>
      <w:bookmarkStart w:id="687" w:name="_Toc18554"/>
      <w:bookmarkStart w:id="688" w:name="_Toc12089"/>
      <w:bookmarkStart w:id="689" w:name="_Toc7449"/>
      <w:bookmarkStart w:id="690" w:name="_Toc1377"/>
      <w:bookmarkStart w:id="691" w:name="_Toc1637"/>
      <w:bookmarkStart w:id="692" w:name="_Toc148459139"/>
      <w:bookmarkStart w:id="693" w:name="_Toc12446"/>
      <w:r>
        <w:rPr>
          <w:rFonts w:hint="eastAsia" w:ascii="宋体" w:hAnsi="宋体"/>
          <w:sz w:val="24"/>
          <w:szCs w:val="24"/>
        </w:rPr>
        <w:t>7、定标原则</w:t>
      </w:r>
      <w:bookmarkEnd w:id="686"/>
      <w:bookmarkEnd w:id="687"/>
      <w:bookmarkEnd w:id="688"/>
      <w:bookmarkEnd w:id="689"/>
      <w:bookmarkEnd w:id="690"/>
      <w:bookmarkEnd w:id="691"/>
      <w:bookmarkEnd w:id="692"/>
      <w:bookmarkEnd w:id="693"/>
    </w:p>
    <w:p>
      <w:pPr>
        <w:spacing w:line="360" w:lineRule="auto"/>
        <w:ind w:firstLine="480" w:firstLineChars="200"/>
        <w:rPr>
          <w:rFonts w:cs="宋体"/>
          <w:sz w:val="24"/>
        </w:rPr>
      </w:pPr>
      <w:r>
        <w:rPr>
          <w:rFonts w:hint="eastAsia" w:cs="宋体"/>
          <w:sz w:val="24"/>
        </w:rPr>
        <w:t>7.1中标人数量：</w:t>
      </w:r>
      <w:r>
        <w:rPr>
          <w:rFonts w:cs="宋体"/>
          <w:sz w:val="24"/>
        </w:rPr>
        <w:t>1</w:t>
      </w:r>
      <w:r>
        <w:rPr>
          <w:rFonts w:hint="eastAsia" w:cs="宋体"/>
          <w:sz w:val="24"/>
        </w:rPr>
        <w:t>个。</w:t>
      </w:r>
    </w:p>
    <w:p>
      <w:pPr>
        <w:spacing w:line="360" w:lineRule="auto"/>
        <w:ind w:firstLine="480" w:firstLineChars="200"/>
        <w:rPr>
          <w:rFonts w:cs="宋体"/>
          <w:sz w:val="24"/>
        </w:rPr>
      </w:pPr>
      <w:r>
        <w:rPr>
          <w:rFonts w:hint="eastAsia" w:cs="宋体"/>
          <w:sz w:val="24"/>
        </w:rPr>
        <w:t>7.2评标结束后，评标委员会将评标报告报送招标人。</w:t>
      </w:r>
    </w:p>
    <w:p>
      <w:pPr>
        <w:spacing w:line="360" w:lineRule="auto"/>
        <w:ind w:firstLine="480" w:firstLineChars="200"/>
        <w:rPr>
          <w:rFonts w:cs="宋体"/>
          <w:sz w:val="24"/>
        </w:rPr>
      </w:pPr>
      <w:r>
        <w:rPr>
          <w:rFonts w:hint="eastAsia" w:cs="宋体"/>
          <w:sz w:val="24"/>
        </w:rPr>
        <w:t>7.3招标人有权根据需求，与评标委员会推荐中标候选人进一步进行商务谈判。具体谈判规则如下：</w:t>
      </w:r>
    </w:p>
    <w:p>
      <w:pPr>
        <w:spacing w:line="360" w:lineRule="auto"/>
        <w:ind w:firstLine="480" w:firstLineChars="200"/>
        <w:rPr>
          <w:rFonts w:cs="宋体"/>
          <w:sz w:val="24"/>
        </w:rPr>
      </w:pPr>
      <w:r>
        <w:rPr>
          <w:rFonts w:hint="eastAsia" w:cs="宋体"/>
          <w:sz w:val="24"/>
        </w:rPr>
        <w:t>（1）招标人组成的谈判小组与已被确定为中标候选人的投标人进行一轮或多轮价格谈判。</w:t>
      </w:r>
    </w:p>
    <w:p>
      <w:pPr>
        <w:spacing w:line="360" w:lineRule="auto"/>
        <w:ind w:firstLine="480" w:firstLineChars="200"/>
        <w:rPr>
          <w:rFonts w:cs="宋体"/>
          <w:sz w:val="24"/>
        </w:rPr>
      </w:pPr>
      <w:r>
        <w:rPr>
          <w:rFonts w:hint="eastAsia" w:cs="宋体"/>
          <w:sz w:val="24"/>
        </w:rPr>
        <w:t>（2）投标人后一次的报价不得高于前一次的报价。若出现后一次的报价高于前一次报价的，则后一次的报价无效，以前一次的报价为准。</w:t>
      </w:r>
    </w:p>
    <w:p>
      <w:pPr>
        <w:spacing w:line="360" w:lineRule="auto"/>
        <w:ind w:firstLine="480" w:firstLineChars="200"/>
        <w:rPr>
          <w:rFonts w:cs="宋体"/>
          <w:sz w:val="24"/>
        </w:rPr>
      </w:pPr>
      <w:r>
        <w:rPr>
          <w:rFonts w:hint="eastAsia" w:cs="宋体"/>
          <w:sz w:val="24"/>
        </w:rPr>
        <w:t>（3）投标人递交的报价文件澄清、更正、承诺文件、最终报价应予单独密封并交至谈判小组。</w:t>
      </w:r>
    </w:p>
    <w:p>
      <w:pPr>
        <w:spacing w:line="360" w:lineRule="auto"/>
        <w:ind w:firstLine="480" w:firstLineChars="200"/>
        <w:rPr>
          <w:rFonts w:cs="宋体"/>
          <w:sz w:val="24"/>
        </w:rPr>
      </w:pPr>
      <w:r>
        <w:rPr>
          <w:rFonts w:hint="eastAsia" w:cs="宋体"/>
          <w:sz w:val="24"/>
        </w:rPr>
        <w:t>（4）参加现场价格谈判并代表投标人签署报价文件的应该是招标文件要求的投标人代表，谈判时应出示身份证原件。</w:t>
      </w:r>
    </w:p>
    <w:p>
      <w:pPr>
        <w:spacing w:line="360" w:lineRule="auto"/>
        <w:ind w:firstLine="480" w:firstLineChars="200"/>
        <w:rPr>
          <w:rFonts w:cs="宋体"/>
          <w:sz w:val="24"/>
        </w:rPr>
      </w:pPr>
      <w:r>
        <w:rPr>
          <w:rFonts w:hint="eastAsia" w:cs="宋体"/>
          <w:sz w:val="24"/>
        </w:rPr>
        <w:t>（5）中标候选人的现场谈判报价将为作为中标人最终合同签订的依据。</w:t>
      </w:r>
    </w:p>
    <w:p>
      <w:pPr>
        <w:spacing w:line="360" w:lineRule="auto"/>
        <w:ind w:firstLine="480" w:firstLineChars="200"/>
        <w:rPr>
          <w:rFonts w:cs="宋体"/>
          <w:sz w:val="24"/>
        </w:rPr>
      </w:pPr>
      <w:r>
        <w:rPr>
          <w:rFonts w:hint="eastAsia" w:cs="宋体"/>
          <w:sz w:val="24"/>
        </w:rPr>
        <w:t>7.4招标人将审查拟中标人的投标人资格、信誉、技术能力以及其它招标人认为有必要了解的问题。</w:t>
      </w:r>
    </w:p>
    <w:p>
      <w:pPr>
        <w:spacing w:line="360" w:lineRule="auto"/>
        <w:ind w:firstLine="480" w:firstLineChars="200"/>
        <w:rPr>
          <w:rFonts w:cs="宋体"/>
          <w:sz w:val="24"/>
        </w:rPr>
      </w:pPr>
      <w:r>
        <w:rPr>
          <w:rFonts w:hint="eastAsia" w:cs="宋体"/>
          <w:sz w:val="24"/>
        </w:rPr>
        <w:t>7.5如果确定拟中标人无能力履行合同，其投标将被拒绝，招标人将对下一个可能中标的投标人做类似审查。</w:t>
      </w:r>
    </w:p>
    <w:p>
      <w:pPr>
        <w:spacing w:line="360" w:lineRule="auto"/>
        <w:ind w:firstLine="480" w:firstLineChars="200"/>
        <w:rPr>
          <w:rFonts w:cs="宋体"/>
          <w:sz w:val="24"/>
        </w:rPr>
      </w:pPr>
      <w:r>
        <w:rPr>
          <w:rFonts w:hint="eastAsia" w:cs="宋体"/>
          <w:sz w:val="24"/>
        </w:rPr>
        <w:t>7.6接受审查的拟中标人必须如实回答询问或接受招标人的考察，并提供所需的有关资料。</w:t>
      </w:r>
    </w:p>
    <w:p>
      <w:pPr>
        <w:spacing w:line="360" w:lineRule="auto"/>
        <w:ind w:firstLine="480" w:firstLineChars="200"/>
        <w:rPr>
          <w:rFonts w:cs="宋体"/>
          <w:sz w:val="24"/>
        </w:rPr>
      </w:pPr>
      <w:r>
        <w:rPr>
          <w:rFonts w:hint="eastAsia" w:cs="宋体"/>
          <w:sz w:val="24"/>
        </w:rPr>
        <w:t>7.7招标单位当在中标、成交供应商后，在相关指定媒体上发布中标结果公示，请投标人关注。</w:t>
      </w:r>
    </w:p>
    <w:p>
      <w:pPr>
        <w:spacing w:line="360" w:lineRule="auto"/>
        <w:ind w:firstLine="480" w:firstLineChars="200"/>
        <w:rPr>
          <w:rFonts w:cs="宋体"/>
          <w:sz w:val="24"/>
        </w:rPr>
      </w:pPr>
      <w:r>
        <w:rPr>
          <w:rFonts w:hint="eastAsia" w:cs="宋体"/>
          <w:sz w:val="24"/>
        </w:rPr>
        <w:t>7.8中标通知书生效后，如果已中标的投标人不能按投标文件中承诺的条件履行签约行为，招标人有权在评标委员会推荐的中标候选人名单中选择新的合同授予人。</w:t>
      </w:r>
    </w:p>
    <w:bookmarkEnd w:id="685"/>
    <w:p>
      <w:pPr>
        <w:spacing w:line="360" w:lineRule="auto"/>
        <w:ind w:firstLine="562" w:firstLineChars="200"/>
        <w:outlineLvl w:val="1"/>
        <w:rPr>
          <w:rFonts w:cs="宋体"/>
          <w:b/>
          <w:bCs/>
          <w:sz w:val="28"/>
          <w:szCs w:val="28"/>
        </w:rPr>
      </w:pPr>
      <w:r>
        <w:rPr>
          <w:rFonts w:hint="eastAsia" w:cs="宋体"/>
          <w:b/>
          <w:bCs/>
          <w:sz w:val="28"/>
          <w:szCs w:val="28"/>
        </w:rPr>
        <w:br w:type="page"/>
      </w:r>
      <w:bookmarkStart w:id="694" w:name="_Toc25611"/>
      <w:bookmarkStart w:id="695" w:name="_Toc27913"/>
      <w:bookmarkStart w:id="696" w:name="_Toc148459140"/>
      <w:bookmarkStart w:id="697" w:name="_Toc28651"/>
      <w:bookmarkStart w:id="698" w:name="_Toc23244"/>
      <w:bookmarkStart w:id="699" w:name="_Toc16297"/>
      <w:bookmarkStart w:id="700" w:name="_Toc14752"/>
      <w:bookmarkStart w:id="701" w:name="_Toc19153"/>
      <w:bookmarkStart w:id="702" w:name="_Toc20986"/>
      <w:r>
        <w:rPr>
          <w:rFonts w:hint="eastAsia" w:cs="宋体"/>
          <w:b/>
          <w:bCs/>
          <w:sz w:val="28"/>
          <w:szCs w:val="28"/>
        </w:rPr>
        <w:t>附表1：资格审查表</w:t>
      </w:r>
      <w:bookmarkEnd w:id="694"/>
      <w:bookmarkEnd w:id="695"/>
      <w:bookmarkEnd w:id="696"/>
      <w:bookmarkEnd w:id="697"/>
      <w:bookmarkEnd w:id="698"/>
      <w:bookmarkEnd w:id="699"/>
      <w:bookmarkEnd w:id="700"/>
      <w:bookmarkEnd w:id="701"/>
      <w:bookmarkEnd w:id="702"/>
    </w:p>
    <w:tbl>
      <w:tblPr>
        <w:tblStyle w:val="28"/>
        <w:tblW w:w="8720"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681"/>
        <w:gridCol w:w="1524"/>
        <w:gridCol w:w="4976"/>
        <w:gridCol w:w="153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467" w:hRule="atLeast"/>
          <w:jc w:val="center"/>
        </w:trPr>
        <w:tc>
          <w:tcPr>
            <w:tcW w:w="681" w:type="dxa"/>
            <w:tcBorders>
              <w:top w:val="single" w:color="auto" w:sz="12" w:space="0"/>
              <w:left w:val="single" w:color="auto" w:sz="12" w:space="0"/>
              <w:bottom w:val="single" w:color="auto" w:sz="4" w:space="0"/>
              <w:right w:val="single" w:color="auto" w:sz="4" w:space="0"/>
            </w:tcBorders>
            <w:vAlign w:val="center"/>
          </w:tcPr>
          <w:p>
            <w:pPr>
              <w:spacing w:line="360" w:lineRule="auto"/>
              <w:ind w:left="69"/>
              <w:jc w:val="center"/>
              <w:rPr>
                <w:rFonts w:cs="宋体"/>
                <w:b/>
                <w:bCs/>
                <w:szCs w:val="21"/>
              </w:rPr>
            </w:pPr>
            <w:r>
              <w:rPr>
                <w:rFonts w:hint="eastAsia" w:cs="宋体"/>
                <w:b/>
                <w:bCs/>
              </w:rPr>
              <w:t>序号</w:t>
            </w:r>
          </w:p>
        </w:tc>
        <w:tc>
          <w:tcPr>
            <w:tcW w:w="1524" w:type="dxa"/>
            <w:tcBorders>
              <w:top w:val="single" w:color="auto" w:sz="12" w:space="0"/>
              <w:left w:val="nil"/>
              <w:bottom w:val="single" w:color="auto" w:sz="4" w:space="0"/>
              <w:right w:val="single" w:color="auto" w:sz="4" w:space="0"/>
            </w:tcBorders>
            <w:vAlign w:val="center"/>
          </w:tcPr>
          <w:p>
            <w:pPr>
              <w:spacing w:line="360" w:lineRule="auto"/>
              <w:ind w:left="69"/>
              <w:jc w:val="center"/>
              <w:rPr>
                <w:rFonts w:cs="宋体"/>
                <w:b/>
                <w:bCs/>
                <w:szCs w:val="21"/>
              </w:rPr>
            </w:pPr>
            <w:r>
              <w:rPr>
                <w:rFonts w:hint="eastAsia" w:cs="宋体"/>
                <w:b/>
                <w:bCs/>
              </w:rPr>
              <w:t>评审因素</w:t>
            </w:r>
          </w:p>
        </w:tc>
        <w:tc>
          <w:tcPr>
            <w:tcW w:w="4976" w:type="dxa"/>
            <w:tcBorders>
              <w:top w:val="single" w:color="auto" w:sz="12" w:space="0"/>
              <w:left w:val="nil"/>
              <w:bottom w:val="single" w:color="auto" w:sz="4" w:space="0"/>
              <w:right w:val="single" w:color="auto" w:sz="4" w:space="0"/>
            </w:tcBorders>
            <w:vAlign w:val="center"/>
          </w:tcPr>
          <w:p>
            <w:pPr>
              <w:spacing w:line="360" w:lineRule="auto"/>
              <w:ind w:left="69" w:right="271" w:rightChars="129"/>
              <w:jc w:val="center"/>
              <w:rPr>
                <w:rFonts w:cs="宋体"/>
                <w:b/>
                <w:bCs/>
                <w:szCs w:val="21"/>
              </w:rPr>
            </w:pPr>
            <w:r>
              <w:rPr>
                <w:rFonts w:hint="eastAsia" w:cs="宋体"/>
                <w:b/>
                <w:bCs/>
              </w:rPr>
              <w:t>评审标准</w:t>
            </w:r>
          </w:p>
        </w:tc>
        <w:tc>
          <w:tcPr>
            <w:tcW w:w="1539" w:type="dxa"/>
            <w:tcBorders>
              <w:top w:val="single" w:color="auto" w:sz="12" w:space="0"/>
              <w:left w:val="nil"/>
              <w:bottom w:val="single" w:color="auto" w:sz="4" w:space="0"/>
              <w:right w:val="single" w:color="auto" w:sz="12" w:space="0"/>
            </w:tcBorders>
            <w:vAlign w:val="center"/>
          </w:tcPr>
          <w:p>
            <w:pPr>
              <w:spacing w:line="360" w:lineRule="auto"/>
              <w:ind w:left="69" w:right="271" w:rightChars="129"/>
              <w:jc w:val="center"/>
              <w:rPr>
                <w:rFonts w:cs="宋体"/>
                <w:b/>
                <w:bCs/>
                <w:szCs w:val="21"/>
              </w:rPr>
            </w:pPr>
            <w:r>
              <w:rPr>
                <w:rFonts w:hint="eastAsia" w:cs="宋体"/>
                <w:b/>
                <w:bCs/>
              </w:rPr>
              <w:t>评审结果</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423" w:hRule="atLeast"/>
          <w:jc w:val="center"/>
        </w:trPr>
        <w:tc>
          <w:tcPr>
            <w:tcW w:w="681" w:type="dxa"/>
            <w:tcBorders>
              <w:top w:val="single" w:color="auto" w:sz="4" w:space="0"/>
              <w:left w:val="single" w:color="auto" w:sz="12" w:space="0"/>
              <w:bottom w:val="single" w:color="auto" w:sz="4" w:space="0"/>
              <w:right w:val="single" w:color="auto" w:sz="4" w:space="0"/>
            </w:tcBorders>
            <w:vAlign w:val="center"/>
          </w:tcPr>
          <w:p>
            <w:pPr>
              <w:spacing w:line="360" w:lineRule="auto"/>
              <w:ind w:left="69"/>
              <w:jc w:val="center"/>
              <w:rPr>
                <w:rFonts w:cs="宋体"/>
                <w:szCs w:val="21"/>
              </w:rPr>
            </w:pPr>
            <w:r>
              <w:rPr>
                <w:rFonts w:hint="eastAsia" w:cs="宋体"/>
                <w:szCs w:val="21"/>
              </w:rPr>
              <w:t>1</w:t>
            </w:r>
          </w:p>
        </w:tc>
        <w:tc>
          <w:tcPr>
            <w:tcW w:w="1524" w:type="dxa"/>
            <w:tcBorders>
              <w:top w:val="single" w:color="auto" w:sz="4" w:space="0"/>
              <w:left w:val="nil"/>
              <w:bottom w:val="single" w:color="auto" w:sz="4" w:space="0"/>
              <w:right w:val="single" w:color="auto" w:sz="4" w:space="0"/>
            </w:tcBorders>
            <w:vAlign w:val="center"/>
          </w:tcPr>
          <w:p>
            <w:pPr>
              <w:snapToGrid w:val="0"/>
              <w:spacing w:line="360" w:lineRule="exact"/>
              <w:ind w:left="69"/>
              <w:rPr>
                <w:rFonts w:cs="宋体"/>
                <w:bCs/>
                <w:szCs w:val="21"/>
              </w:rPr>
            </w:pPr>
            <w:r>
              <w:rPr>
                <w:rFonts w:hint="eastAsia" w:cs="宋体"/>
                <w:bCs/>
                <w:szCs w:val="21"/>
              </w:rPr>
              <w:t>投标有效期</w:t>
            </w:r>
          </w:p>
        </w:tc>
        <w:tc>
          <w:tcPr>
            <w:tcW w:w="4976" w:type="dxa"/>
            <w:tcBorders>
              <w:top w:val="single" w:color="auto" w:sz="4" w:space="0"/>
              <w:left w:val="nil"/>
              <w:bottom w:val="single" w:color="auto" w:sz="4" w:space="0"/>
              <w:right w:val="single" w:color="auto" w:sz="4" w:space="0"/>
            </w:tcBorders>
            <w:vAlign w:val="center"/>
          </w:tcPr>
          <w:p>
            <w:pPr>
              <w:snapToGrid w:val="0"/>
              <w:spacing w:line="360" w:lineRule="exact"/>
              <w:rPr>
                <w:rFonts w:cs="宋体"/>
                <w:bCs/>
                <w:szCs w:val="21"/>
              </w:rPr>
            </w:pPr>
            <w:r>
              <w:rPr>
                <w:rFonts w:hint="eastAsia" w:cs="宋体"/>
                <w:bCs/>
                <w:szCs w:val="21"/>
              </w:rPr>
              <w:t>投标有效期：投标截止之日后 90个日历日内保持有效。</w:t>
            </w:r>
          </w:p>
        </w:tc>
        <w:tc>
          <w:tcPr>
            <w:tcW w:w="1539" w:type="dxa"/>
            <w:tcBorders>
              <w:top w:val="single" w:color="auto" w:sz="4" w:space="0"/>
              <w:left w:val="nil"/>
              <w:bottom w:val="single" w:color="auto" w:sz="4" w:space="0"/>
              <w:right w:val="single" w:color="auto" w:sz="12" w:space="0"/>
            </w:tcBorders>
            <w:vAlign w:val="center"/>
          </w:tcPr>
          <w:p>
            <w:pPr>
              <w:spacing w:line="360" w:lineRule="auto"/>
              <w:ind w:left="69"/>
              <w:jc w:val="center"/>
              <w:rPr>
                <w:rFonts w:cs="宋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513" w:hRule="atLeast"/>
          <w:jc w:val="center"/>
        </w:trPr>
        <w:tc>
          <w:tcPr>
            <w:tcW w:w="681" w:type="dxa"/>
            <w:tcBorders>
              <w:top w:val="single" w:color="auto" w:sz="4" w:space="0"/>
              <w:left w:val="single" w:color="auto" w:sz="12" w:space="0"/>
              <w:bottom w:val="nil"/>
              <w:right w:val="single" w:color="auto" w:sz="4" w:space="0"/>
            </w:tcBorders>
            <w:vAlign w:val="center"/>
          </w:tcPr>
          <w:p>
            <w:pPr>
              <w:spacing w:line="360" w:lineRule="auto"/>
              <w:ind w:left="69"/>
              <w:jc w:val="center"/>
              <w:rPr>
                <w:rFonts w:cs="宋体"/>
                <w:szCs w:val="21"/>
              </w:rPr>
            </w:pPr>
            <w:r>
              <w:rPr>
                <w:rFonts w:hint="eastAsia" w:cs="宋体"/>
                <w:szCs w:val="21"/>
              </w:rPr>
              <w:t>2</w:t>
            </w:r>
          </w:p>
        </w:tc>
        <w:tc>
          <w:tcPr>
            <w:tcW w:w="1524" w:type="dxa"/>
            <w:tcBorders>
              <w:top w:val="single" w:color="auto" w:sz="4" w:space="0"/>
              <w:left w:val="nil"/>
              <w:bottom w:val="nil"/>
              <w:right w:val="single" w:color="auto" w:sz="4" w:space="0"/>
            </w:tcBorders>
            <w:vAlign w:val="center"/>
          </w:tcPr>
          <w:p>
            <w:pPr>
              <w:snapToGrid w:val="0"/>
              <w:spacing w:line="360" w:lineRule="exact"/>
              <w:ind w:left="69"/>
              <w:rPr>
                <w:rFonts w:cs="宋体"/>
                <w:bCs/>
                <w:szCs w:val="21"/>
              </w:rPr>
            </w:pPr>
            <w:r>
              <w:rPr>
                <w:rFonts w:hint="eastAsia" w:cs="宋体"/>
                <w:bCs/>
                <w:szCs w:val="21"/>
              </w:rPr>
              <w:t>投标保证金</w:t>
            </w:r>
          </w:p>
        </w:tc>
        <w:tc>
          <w:tcPr>
            <w:tcW w:w="4976" w:type="dxa"/>
            <w:tcBorders>
              <w:top w:val="single" w:color="auto" w:sz="4" w:space="0"/>
              <w:left w:val="nil"/>
              <w:bottom w:val="nil"/>
              <w:right w:val="single" w:color="auto" w:sz="4" w:space="0"/>
            </w:tcBorders>
            <w:vAlign w:val="center"/>
          </w:tcPr>
          <w:p>
            <w:pPr>
              <w:rPr>
                <w:rFonts w:cs="宋体"/>
                <w:bCs/>
                <w:szCs w:val="21"/>
              </w:rPr>
            </w:pPr>
            <w:r>
              <w:rPr>
                <w:rFonts w:hint="eastAsia" w:cs="宋体"/>
                <w:bCs/>
                <w:szCs w:val="21"/>
              </w:rPr>
              <w:t>投标保证金转账凭证</w:t>
            </w:r>
          </w:p>
        </w:tc>
        <w:tc>
          <w:tcPr>
            <w:tcW w:w="1539" w:type="dxa"/>
            <w:tcBorders>
              <w:top w:val="single" w:color="auto" w:sz="4" w:space="0"/>
              <w:left w:val="nil"/>
              <w:bottom w:val="nil"/>
              <w:right w:val="single" w:color="auto" w:sz="12" w:space="0"/>
            </w:tcBorders>
            <w:vAlign w:val="center"/>
          </w:tcPr>
          <w:p>
            <w:pPr>
              <w:spacing w:line="360" w:lineRule="auto"/>
              <w:ind w:left="69"/>
              <w:jc w:val="center"/>
              <w:rPr>
                <w:rFonts w:cs="宋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980" w:hRule="atLeast"/>
          <w:jc w:val="center"/>
        </w:trPr>
        <w:tc>
          <w:tcPr>
            <w:tcW w:w="681" w:type="dxa"/>
            <w:tcBorders>
              <w:top w:val="single" w:color="auto" w:sz="4" w:space="0"/>
              <w:left w:val="single" w:color="auto" w:sz="12" w:space="0"/>
              <w:bottom w:val="nil"/>
              <w:right w:val="single" w:color="auto" w:sz="4" w:space="0"/>
            </w:tcBorders>
            <w:vAlign w:val="center"/>
          </w:tcPr>
          <w:p>
            <w:pPr>
              <w:spacing w:line="360" w:lineRule="auto"/>
              <w:ind w:left="69"/>
              <w:jc w:val="center"/>
              <w:rPr>
                <w:rFonts w:cs="宋体"/>
                <w:szCs w:val="21"/>
              </w:rPr>
            </w:pPr>
            <w:r>
              <w:rPr>
                <w:rFonts w:hint="eastAsia" w:cs="宋体"/>
                <w:szCs w:val="21"/>
              </w:rPr>
              <w:t>3</w:t>
            </w:r>
          </w:p>
        </w:tc>
        <w:tc>
          <w:tcPr>
            <w:tcW w:w="1524" w:type="dxa"/>
            <w:tcBorders>
              <w:top w:val="single" w:color="auto" w:sz="4" w:space="0"/>
              <w:left w:val="nil"/>
              <w:bottom w:val="nil"/>
              <w:right w:val="single" w:color="auto" w:sz="4" w:space="0"/>
            </w:tcBorders>
            <w:vAlign w:val="center"/>
          </w:tcPr>
          <w:p>
            <w:pPr>
              <w:snapToGrid w:val="0"/>
              <w:jc w:val="center"/>
              <w:rPr>
                <w:rFonts w:cs="宋体"/>
                <w:szCs w:val="21"/>
              </w:rPr>
            </w:pPr>
            <w:r>
              <w:rPr>
                <w:rFonts w:hint="eastAsia" w:cs="宋体"/>
                <w:bCs/>
                <w:szCs w:val="21"/>
              </w:rPr>
              <w:t>无效投标情形</w:t>
            </w:r>
          </w:p>
        </w:tc>
        <w:tc>
          <w:tcPr>
            <w:tcW w:w="4976" w:type="dxa"/>
            <w:tcBorders>
              <w:top w:val="single" w:color="auto" w:sz="4" w:space="0"/>
              <w:left w:val="nil"/>
              <w:bottom w:val="nil"/>
              <w:right w:val="single" w:color="auto" w:sz="4" w:space="0"/>
            </w:tcBorders>
            <w:vAlign w:val="center"/>
          </w:tcPr>
          <w:p>
            <w:pPr>
              <w:jc w:val="left"/>
              <w:rPr>
                <w:rFonts w:cs="宋体"/>
                <w:szCs w:val="21"/>
              </w:rPr>
            </w:pPr>
            <w:r>
              <w:rPr>
                <w:rFonts w:hint="eastAsia" w:cs="宋体"/>
                <w:bCs/>
                <w:szCs w:val="21"/>
              </w:rPr>
              <w:t>不存在招标文件第二章“投标人须知” 第3.3项规定的任何一种情形。（由评标委员会进行判定，投标人投标时无须提供相应的响应资料）</w:t>
            </w:r>
          </w:p>
        </w:tc>
        <w:tc>
          <w:tcPr>
            <w:tcW w:w="1539" w:type="dxa"/>
            <w:tcBorders>
              <w:top w:val="single" w:color="auto" w:sz="4" w:space="0"/>
              <w:left w:val="nil"/>
              <w:bottom w:val="nil"/>
              <w:right w:val="single" w:color="auto" w:sz="12" w:space="0"/>
            </w:tcBorders>
            <w:vAlign w:val="center"/>
          </w:tcPr>
          <w:p>
            <w:pPr>
              <w:spacing w:line="360" w:lineRule="auto"/>
              <w:ind w:left="69"/>
              <w:jc w:val="center"/>
              <w:rPr>
                <w:rFonts w:cs="宋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163" w:hRule="atLeast"/>
          <w:jc w:val="center"/>
        </w:trPr>
        <w:tc>
          <w:tcPr>
            <w:tcW w:w="681" w:type="dxa"/>
            <w:tcBorders>
              <w:top w:val="single" w:color="auto" w:sz="4" w:space="0"/>
              <w:left w:val="single" w:color="auto" w:sz="12" w:space="0"/>
              <w:bottom w:val="nil"/>
              <w:right w:val="single" w:color="auto" w:sz="4" w:space="0"/>
            </w:tcBorders>
            <w:vAlign w:val="center"/>
          </w:tcPr>
          <w:p>
            <w:pPr>
              <w:spacing w:line="360" w:lineRule="auto"/>
              <w:ind w:left="69"/>
              <w:jc w:val="center"/>
              <w:rPr>
                <w:rFonts w:cs="宋体"/>
                <w:szCs w:val="21"/>
              </w:rPr>
            </w:pPr>
            <w:r>
              <w:rPr>
                <w:rFonts w:hint="eastAsia" w:cs="宋体"/>
                <w:szCs w:val="21"/>
              </w:rPr>
              <w:t>4</w:t>
            </w:r>
          </w:p>
        </w:tc>
        <w:tc>
          <w:tcPr>
            <w:tcW w:w="1524" w:type="dxa"/>
            <w:tcBorders>
              <w:top w:val="single" w:color="auto" w:sz="4" w:space="0"/>
              <w:left w:val="nil"/>
              <w:bottom w:val="nil"/>
              <w:right w:val="single" w:color="auto" w:sz="4" w:space="0"/>
            </w:tcBorders>
            <w:vAlign w:val="center"/>
          </w:tcPr>
          <w:p>
            <w:pPr>
              <w:snapToGrid w:val="0"/>
              <w:ind w:left="69"/>
              <w:jc w:val="center"/>
              <w:rPr>
                <w:rFonts w:cs="宋体"/>
                <w:bCs/>
                <w:szCs w:val="21"/>
              </w:rPr>
            </w:pPr>
            <w:r>
              <w:rPr>
                <w:rFonts w:hint="eastAsia" w:cs="宋体"/>
                <w:bCs/>
                <w:szCs w:val="21"/>
              </w:rPr>
              <w:t>串通投标情形</w:t>
            </w:r>
          </w:p>
        </w:tc>
        <w:tc>
          <w:tcPr>
            <w:tcW w:w="4976" w:type="dxa"/>
            <w:tcBorders>
              <w:top w:val="single" w:color="auto" w:sz="4" w:space="0"/>
              <w:left w:val="nil"/>
              <w:bottom w:val="nil"/>
              <w:right w:val="single" w:color="auto" w:sz="4" w:space="0"/>
            </w:tcBorders>
            <w:vAlign w:val="center"/>
          </w:tcPr>
          <w:p>
            <w:pPr>
              <w:snapToGrid w:val="0"/>
              <w:spacing w:line="360" w:lineRule="exact"/>
              <w:ind w:left="69"/>
              <w:rPr>
                <w:rFonts w:cs="宋体"/>
                <w:szCs w:val="21"/>
              </w:rPr>
            </w:pPr>
            <w:r>
              <w:rPr>
                <w:rFonts w:hint="eastAsia" w:cs="宋体"/>
                <w:bCs/>
                <w:szCs w:val="21"/>
              </w:rPr>
              <w:t>不存在招标文件第二章“投标人须知” 第3.4项规定的任何一种情形。（由评标委员会进行判定，投标人投标时无须提供相应的响应资料）</w:t>
            </w:r>
          </w:p>
        </w:tc>
        <w:tc>
          <w:tcPr>
            <w:tcW w:w="1539" w:type="dxa"/>
            <w:tcBorders>
              <w:top w:val="single" w:color="auto" w:sz="4" w:space="0"/>
              <w:left w:val="nil"/>
              <w:bottom w:val="nil"/>
              <w:right w:val="single" w:color="auto" w:sz="12" w:space="0"/>
            </w:tcBorders>
            <w:vAlign w:val="center"/>
          </w:tcPr>
          <w:p>
            <w:pPr>
              <w:spacing w:line="360" w:lineRule="auto"/>
              <w:ind w:left="69"/>
              <w:jc w:val="center"/>
              <w:rPr>
                <w:rFonts w:cs="宋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769" w:hRule="atLeast"/>
          <w:jc w:val="center"/>
        </w:trPr>
        <w:tc>
          <w:tcPr>
            <w:tcW w:w="681" w:type="dxa"/>
            <w:tcBorders>
              <w:top w:val="single" w:color="auto" w:sz="4" w:space="0"/>
              <w:left w:val="single" w:color="auto" w:sz="12" w:space="0"/>
              <w:bottom w:val="nil"/>
              <w:right w:val="single" w:color="auto" w:sz="4" w:space="0"/>
            </w:tcBorders>
            <w:vAlign w:val="center"/>
          </w:tcPr>
          <w:p>
            <w:pPr>
              <w:spacing w:line="360" w:lineRule="auto"/>
              <w:ind w:left="69"/>
              <w:jc w:val="center"/>
              <w:rPr>
                <w:rFonts w:cs="宋体"/>
                <w:szCs w:val="21"/>
              </w:rPr>
            </w:pPr>
            <w:r>
              <w:rPr>
                <w:rFonts w:hint="eastAsia" w:cs="宋体"/>
                <w:szCs w:val="21"/>
              </w:rPr>
              <w:t>5</w:t>
            </w:r>
          </w:p>
        </w:tc>
        <w:tc>
          <w:tcPr>
            <w:tcW w:w="1524" w:type="dxa"/>
            <w:vMerge w:val="restart"/>
            <w:tcBorders>
              <w:top w:val="single" w:color="auto" w:sz="4" w:space="0"/>
              <w:left w:val="nil"/>
              <w:right w:val="single" w:color="auto" w:sz="4" w:space="0"/>
            </w:tcBorders>
            <w:vAlign w:val="center"/>
          </w:tcPr>
          <w:p>
            <w:pPr>
              <w:snapToGrid w:val="0"/>
              <w:ind w:left="69"/>
              <w:jc w:val="center"/>
              <w:rPr>
                <w:rFonts w:cs="宋体"/>
                <w:bCs/>
                <w:szCs w:val="21"/>
              </w:rPr>
            </w:pPr>
            <w:r>
              <w:rPr>
                <w:rFonts w:hint="eastAsia" w:cs="宋体"/>
                <w:bCs/>
                <w:szCs w:val="21"/>
              </w:rPr>
              <w:t>资格要求</w:t>
            </w:r>
          </w:p>
        </w:tc>
        <w:tc>
          <w:tcPr>
            <w:tcW w:w="4976" w:type="dxa"/>
            <w:tcBorders>
              <w:top w:val="single" w:color="auto" w:sz="4" w:space="0"/>
              <w:left w:val="nil"/>
              <w:bottom w:val="nil"/>
              <w:right w:val="single" w:color="auto" w:sz="4" w:space="0"/>
            </w:tcBorders>
            <w:vAlign w:val="center"/>
          </w:tcPr>
          <w:p>
            <w:pPr>
              <w:jc w:val="left"/>
              <w:rPr>
                <w:rFonts w:cs="宋体"/>
                <w:bCs/>
                <w:szCs w:val="21"/>
              </w:rPr>
            </w:pPr>
            <w:r>
              <w:rPr>
                <w:rFonts w:hint="eastAsia" w:cs="宋体"/>
                <w:bCs/>
                <w:szCs w:val="21"/>
              </w:rPr>
              <w:t>1、投标人应具备独立的法人资格，并提供加载有统一社会征信代码的营业执照的复印件。</w:t>
            </w:r>
          </w:p>
        </w:tc>
        <w:tc>
          <w:tcPr>
            <w:tcW w:w="1539" w:type="dxa"/>
            <w:tcBorders>
              <w:top w:val="single" w:color="auto" w:sz="4" w:space="0"/>
              <w:left w:val="nil"/>
              <w:bottom w:val="nil"/>
              <w:right w:val="single" w:color="auto" w:sz="12" w:space="0"/>
            </w:tcBorders>
            <w:vAlign w:val="center"/>
          </w:tcPr>
          <w:p>
            <w:pPr>
              <w:spacing w:line="360" w:lineRule="auto"/>
              <w:ind w:left="69"/>
              <w:jc w:val="center"/>
              <w:rPr>
                <w:rFonts w:cs="宋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908" w:hRule="atLeast"/>
          <w:jc w:val="center"/>
        </w:trPr>
        <w:tc>
          <w:tcPr>
            <w:tcW w:w="681" w:type="dxa"/>
            <w:tcBorders>
              <w:top w:val="single" w:color="auto" w:sz="4" w:space="0"/>
              <w:left w:val="single" w:color="auto" w:sz="12" w:space="0"/>
              <w:bottom w:val="nil"/>
              <w:right w:val="single" w:color="auto" w:sz="4" w:space="0"/>
            </w:tcBorders>
            <w:vAlign w:val="center"/>
          </w:tcPr>
          <w:p>
            <w:pPr>
              <w:spacing w:line="360" w:lineRule="auto"/>
              <w:ind w:left="69"/>
              <w:jc w:val="center"/>
              <w:rPr>
                <w:rFonts w:cs="宋体"/>
                <w:szCs w:val="21"/>
              </w:rPr>
            </w:pPr>
            <w:r>
              <w:rPr>
                <w:rFonts w:hint="eastAsia" w:cs="宋体"/>
                <w:szCs w:val="21"/>
              </w:rPr>
              <w:t>6</w:t>
            </w:r>
          </w:p>
        </w:tc>
        <w:tc>
          <w:tcPr>
            <w:tcW w:w="1524" w:type="dxa"/>
            <w:vMerge w:val="continue"/>
            <w:tcBorders>
              <w:left w:val="nil"/>
              <w:right w:val="single" w:color="auto" w:sz="4" w:space="0"/>
            </w:tcBorders>
            <w:vAlign w:val="center"/>
          </w:tcPr>
          <w:p>
            <w:pPr>
              <w:snapToGrid w:val="0"/>
              <w:ind w:left="69"/>
              <w:jc w:val="center"/>
              <w:rPr>
                <w:rFonts w:cs="宋体"/>
                <w:bCs/>
                <w:szCs w:val="21"/>
              </w:rPr>
            </w:pPr>
          </w:p>
        </w:tc>
        <w:tc>
          <w:tcPr>
            <w:tcW w:w="4976" w:type="dxa"/>
            <w:tcBorders>
              <w:top w:val="single" w:color="auto" w:sz="4" w:space="0"/>
              <w:left w:val="nil"/>
              <w:bottom w:val="nil"/>
              <w:right w:val="single" w:color="auto" w:sz="4" w:space="0"/>
            </w:tcBorders>
            <w:vAlign w:val="center"/>
          </w:tcPr>
          <w:p>
            <w:pPr>
              <w:jc w:val="left"/>
              <w:rPr>
                <w:rFonts w:cs="宋体"/>
                <w:bCs/>
                <w:szCs w:val="21"/>
              </w:rPr>
            </w:pPr>
            <w:r>
              <w:rPr>
                <w:rFonts w:hint="eastAsia" w:cs="宋体"/>
                <w:bCs/>
                <w:szCs w:val="21"/>
              </w:rPr>
              <w:t>2、投标人代表若不是法定代表人的，应提供法人授权书原件，并加盖投标人公章。</w:t>
            </w:r>
          </w:p>
        </w:tc>
        <w:tc>
          <w:tcPr>
            <w:tcW w:w="1539" w:type="dxa"/>
            <w:tcBorders>
              <w:top w:val="single" w:color="auto" w:sz="4" w:space="0"/>
              <w:left w:val="nil"/>
              <w:bottom w:val="nil"/>
              <w:right w:val="single" w:color="auto" w:sz="12" w:space="0"/>
            </w:tcBorders>
            <w:vAlign w:val="center"/>
          </w:tcPr>
          <w:p>
            <w:pPr>
              <w:spacing w:line="360" w:lineRule="auto"/>
              <w:ind w:left="69"/>
              <w:jc w:val="center"/>
              <w:rPr>
                <w:rFonts w:cs="宋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908" w:hRule="atLeast"/>
          <w:jc w:val="center"/>
        </w:trPr>
        <w:tc>
          <w:tcPr>
            <w:tcW w:w="681" w:type="dxa"/>
            <w:tcBorders>
              <w:top w:val="single" w:color="auto" w:sz="4" w:space="0"/>
              <w:left w:val="single" w:color="auto" w:sz="12" w:space="0"/>
              <w:right w:val="single" w:color="auto" w:sz="4" w:space="0"/>
            </w:tcBorders>
            <w:vAlign w:val="center"/>
          </w:tcPr>
          <w:p>
            <w:pPr>
              <w:spacing w:line="360" w:lineRule="auto"/>
              <w:ind w:left="69"/>
              <w:jc w:val="center"/>
              <w:rPr>
                <w:rFonts w:cs="宋体"/>
                <w:szCs w:val="21"/>
              </w:rPr>
            </w:pPr>
            <w:r>
              <w:rPr>
                <w:rFonts w:hint="eastAsia" w:cs="宋体"/>
                <w:szCs w:val="21"/>
              </w:rPr>
              <w:t>7</w:t>
            </w:r>
          </w:p>
        </w:tc>
        <w:tc>
          <w:tcPr>
            <w:tcW w:w="1524" w:type="dxa"/>
            <w:vMerge w:val="continue"/>
            <w:tcBorders>
              <w:left w:val="nil"/>
              <w:right w:val="single" w:color="auto" w:sz="4" w:space="0"/>
            </w:tcBorders>
            <w:vAlign w:val="center"/>
          </w:tcPr>
          <w:p>
            <w:pPr>
              <w:snapToGrid w:val="0"/>
              <w:ind w:left="69"/>
              <w:jc w:val="center"/>
              <w:rPr>
                <w:rFonts w:cs="宋体"/>
                <w:bCs/>
                <w:szCs w:val="21"/>
              </w:rPr>
            </w:pPr>
          </w:p>
        </w:tc>
        <w:tc>
          <w:tcPr>
            <w:tcW w:w="4976" w:type="dxa"/>
            <w:tcBorders>
              <w:top w:val="single" w:color="auto" w:sz="4" w:space="0"/>
              <w:left w:val="nil"/>
              <w:bottom w:val="nil"/>
              <w:right w:val="single" w:color="auto" w:sz="4" w:space="0"/>
            </w:tcBorders>
            <w:vAlign w:val="center"/>
          </w:tcPr>
          <w:p>
            <w:pPr>
              <w:jc w:val="left"/>
              <w:rPr>
                <w:rFonts w:cs="宋体"/>
                <w:bCs/>
                <w:szCs w:val="21"/>
              </w:rPr>
            </w:pPr>
            <w:r>
              <w:rPr>
                <w:rFonts w:hint="eastAsia" w:cs="宋体"/>
                <w:bCs/>
                <w:szCs w:val="21"/>
              </w:rPr>
              <w:t>3、投标人若非投标设备的制造商，则须提供制造商或国外制造商在国内合法的分支机构出具的授权函，原件备查。</w:t>
            </w:r>
          </w:p>
        </w:tc>
        <w:tc>
          <w:tcPr>
            <w:tcW w:w="1539" w:type="dxa"/>
            <w:tcBorders>
              <w:top w:val="single" w:color="auto" w:sz="4" w:space="0"/>
              <w:left w:val="nil"/>
              <w:bottom w:val="nil"/>
              <w:right w:val="single" w:color="auto" w:sz="12" w:space="0"/>
            </w:tcBorders>
            <w:vAlign w:val="center"/>
          </w:tcPr>
          <w:p>
            <w:pPr>
              <w:spacing w:line="360" w:lineRule="auto"/>
              <w:ind w:left="69"/>
              <w:jc w:val="center"/>
              <w:rPr>
                <w:rFonts w:cs="宋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598" w:hRule="atLeast"/>
          <w:jc w:val="center"/>
        </w:trPr>
        <w:tc>
          <w:tcPr>
            <w:tcW w:w="681" w:type="dxa"/>
            <w:tcBorders>
              <w:top w:val="single" w:color="auto" w:sz="4" w:space="0"/>
              <w:left w:val="single" w:color="auto" w:sz="12" w:space="0"/>
              <w:bottom w:val="nil"/>
              <w:right w:val="single" w:color="auto" w:sz="4" w:space="0"/>
            </w:tcBorders>
            <w:vAlign w:val="center"/>
          </w:tcPr>
          <w:p>
            <w:pPr>
              <w:spacing w:line="360" w:lineRule="auto"/>
              <w:ind w:left="69"/>
              <w:jc w:val="center"/>
              <w:rPr>
                <w:rFonts w:cs="宋体"/>
                <w:szCs w:val="21"/>
              </w:rPr>
            </w:pPr>
            <w:r>
              <w:rPr>
                <w:rFonts w:hint="eastAsia" w:cs="宋体"/>
                <w:szCs w:val="21"/>
              </w:rPr>
              <w:t>8</w:t>
            </w:r>
          </w:p>
        </w:tc>
        <w:tc>
          <w:tcPr>
            <w:tcW w:w="1524" w:type="dxa"/>
            <w:vMerge w:val="continue"/>
            <w:tcBorders>
              <w:left w:val="nil"/>
              <w:right w:val="single" w:color="auto" w:sz="4" w:space="0"/>
            </w:tcBorders>
            <w:vAlign w:val="center"/>
          </w:tcPr>
          <w:p>
            <w:pPr>
              <w:snapToGrid w:val="0"/>
              <w:ind w:left="69"/>
              <w:jc w:val="center"/>
              <w:rPr>
                <w:rFonts w:cs="宋体"/>
                <w:bCs/>
                <w:szCs w:val="21"/>
              </w:rPr>
            </w:pPr>
          </w:p>
        </w:tc>
        <w:tc>
          <w:tcPr>
            <w:tcW w:w="4976" w:type="dxa"/>
            <w:tcBorders>
              <w:top w:val="single" w:color="auto" w:sz="4" w:space="0"/>
              <w:left w:val="nil"/>
              <w:bottom w:val="nil"/>
              <w:right w:val="single" w:color="auto" w:sz="4" w:space="0"/>
            </w:tcBorders>
            <w:vAlign w:val="center"/>
          </w:tcPr>
          <w:p>
            <w:pPr>
              <w:snapToGrid w:val="0"/>
              <w:spacing w:line="360" w:lineRule="auto"/>
              <w:rPr>
                <w:rFonts w:cs="宋体"/>
                <w:b/>
                <w:szCs w:val="21"/>
              </w:rPr>
            </w:pPr>
            <w:r>
              <w:rPr>
                <w:rFonts w:hint="eastAsia"/>
                <w:bCs/>
                <w:szCs w:val="21"/>
              </w:rPr>
              <w:t>4、本项目</w:t>
            </w:r>
            <w:r>
              <w:rPr>
                <w:rStyle w:val="33"/>
                <w:rFonts w:hint="eastAsia"/>
                <w:bCs/>
                <w:kern w:val="0"/>
              </w:rPr>
              <w:t>不</w:t>
            </w:r>
            <w:r>
              <w:rPr>
                <w:rFonts w:hint="eastAsia"/>
                <w:bCs/>
                <w:szCs w:val="21"/>
              </w:rPr>
              <w:t>接受联合体投标</w:t>
            </w:r>
          </w:p>
        </w:tc>
        <w:tc>
          <w:tcPr>
            <w:tcW w:w="1539" w:type="dxa"/>
            <w:tcBorders>
              <w:top w:val="single" w:color="auto" w:sz="4" w:space="0"/>
              <w:left w:val="nil"/>
              <w:bottom w:val="nil"/>
              <w:right w:val="single" w:color="auto" w:sz="12" w:space="0"/>
            </w:tcBorders>
            <w:vAlign w:val="center"/>
          </w:tcPr>
          <w:p>
            <w:pPr>
              <w:spacing w:line="360" w:lineRule="auto"/>
              <w:ind w:left="69"/>
              <w:jc w:val="center"/>
              <w:rPr>
                <w:rFonts w:cs="宋体"/>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478" w:hRule="atLeast"/>
          <w:jc w:val="center"/>
        </w:trPr>
        <w:tc>
          <w:tcPr>
            <w:tcW w:w="7181" w:type="dxa"/>
            <w:gridSpan w:val="3"/>
            <w:tcBorders>
              <w:top w:val="single" w:color="auto" w:sz="4" w:space="0"/>
              <w:left w:val="single" w:color="auto" w:sz="12" w:space="0"/>
              <w:bottom w:val="single" w:color="auto" w:sz="12" w:space="0"/>
              <w:right w:val="single" w:color="auto" w:sz="4" w:space="0"/>
            </w:tcBorders>
            <w:vAlign w:val="center"/>
          </w:tcPr>
          <w:p>
            <w:pPr>
              <w:snapToGrid w:val="0"/>
              <w:spacing w:line="360" w:lineRule="auto"/>
              <w:ind w:left="69"/>
              <w:jc w:val="center"/>
              <w:rPr>
                <w:rFonts w:cs="宋体"/>
                <w:szCs w:val="21"/>
              </w:rPr>
            </w:pPr>
            <w:r>
              <w:rPr>
                <w:rFonts w:hint="eastAsia" w:cs="宋体"/>
                <w:szCs w:val="21"/>
              </w:rPr>
              <w:t>评审结果</w:t>
            </w:r>
          </w:p>
        </w:tc>
        <w:tc>
          <w:tcPr>
            <w:tcW w:w="1539" w:type="dxa"/>
            <w:tcBorders>
              <w:top w:val="single" w:color="auto" w:sz="4" w:space="0"/>
              <w:left w:val="nil"/>
              <w:bottom w:val="single" w:color="auto" w:sz="12" w:space="0"/>
              <w:right w:val="single" w:color="auto" w:sz="12" w:space="0"/>
            </w:tcBorders>
            <w:vAlign w:val="center"/>
          </w:tcPr>
          <w:p>
            <w:pPr>
              <w:spacing w:line="360" w:lineRule="auto"/>
              <w:ind w:left="69" w:right="46" w:rightChars="22"/>
              <w:rPr>
                <w:rFonts w:cs="宋体"/>
                <w:szCs w:val="21"/>
              </w:rPr>
            </w:pPr>
          </w:p>
        </w:tc>
      </w:tr>
    </w:tbl>
    <w:p>
      <w:pPr>
        <w:spacing w:line="360" w:lineRule="auto"/>
        <w:rPr>
          <w:rFonts w:cs="宋体"/>
          <w:szCs w:val="21"/>
        </w:rPr>
      </w:pPr>
      <w:r>
        <w:rPr>
          <w:rFonts w:hint="eastAsia" w:cs="宋体"/>
        </w:rPr>
        <w:t>说明：</w:t>
      </w:r>
    </w:p>
    <w:p>
      <w:pPr>
        <w:spacing w:line="360" w:lineRule="auto"/>
        <w:rPr>
          <w:rFonts w:cs="宋体"/>
        </w:rPr>
      </w:pPr>
      <w:r>
        <w:rPr>
          <w:rFonts w:hint="eastAsia" w:cs="宋体"/>
        </w:rPr>
        <w:t>（1）投</w:t>
      </w:r>
      <w:r>
        <w:rPr>
          <w:rFonts w:hint="eastAsia" w:cs="宋体"/>
          <w:bCs/>
          <w:szCs w:val="21"/>
        </w:rPr>
        <w:t>标人不满足上述规定的资格条件或提供资格证明文件不全的，其投标将被拒绝，</w:t>
      </w:r>
      <w:r>
        <w:rPr>
          <w:rFonts w:hint="eastAsia" w:cs="宋体"/>
        </w:rPr>
        <w:t>资格证明材料需提供复印件，并加盖投标单位公章，原件备查。</w:t>
      </w:r>
    </w:p>
    <w:p>
      <w:pPr>
        <w:spacing w:line="360" w:lineRule="auto"/>
        <w:rPr>
          <w:rFonts w:cs="宋体"/>
        </w:rPr>
      </w:pPr>
      <w:r>
        <w:rPr>
          <w:rFonts w:hint="eastAsia" w:cs="宋体"/>
        </w:rPr>
        <w:t>（2）评定结果为“合格”或“不合格”，符合合格条件标准则评定结果为“合格”，不符合合格条件标准则评定结果为“不合格”。</w:t>
      </w:r>
    </w:p>
    <w:p>
      <w:pPr>
        <w:spacing w:line="360" w:lineRule="auto"/>
        <w:ind w:left="31" w:leftChars="15"/>
        <w:rPr>
          <w:rFonts w:cs="宋体"/>
          <w:b/>
          <w:bCs/>
          <w:sz w:val="28"/>
          <w:szCs w:val="28"/>
        </w:rPr>
      </w:pPr>
      <w:r>
        <w:rPr>
          <w:rFonts w:hint="eastAsia" w:cs="宋体"/>
        </w:rPr>
        <w:t>（3）审查内容一项不通过则评审结果为“不合格”。</w:t>
      </w:r>
      <w:bookmarkStart w:id="703" w:name="_Toc16702"/>
    </w:p>
    <w:p>
      <w:pPr>
        <w:spacing w:line="360" w:lineRule="auto"/>
        <w:outlineLvl w:val="1"/>
        <w:rPr>
          <w:rFonts w:cs="宋体"/>
          <w:b/>
          <w:bCs/>
          <w:sz w:val="28"/>
          <w:szCs w:val="28"/>
        </w:rPr>
      </w:pPr>
      <w:r>
        <w:rPr>
          <w:rFonts w:hint="eastAsia" w:cs="宋体"/>
          <w:b/>
          <w:bCs/>
          <w:sz w:val="28"/>
          <w:szCs w:val="28"/>
        </w:rPr>
        <w:br w:type="page"/>
      </w:r>
      <w:bookmarkStart w:id="704" w:name="_Toc22258"/>
      <w:bookmarkStart w:id="705" w:name="_Toc7593"/>
      <w:bookmarkStart w:id="706" w:name="_Toc14795"/>
      <w:bookmarkStart w:id="707" w:name="_Toc1366"/>
      <w:bookmarkStart w:id="708" w:name="_Toc20895"/>
      <w:bookmarkStart w:id="709" w:name="_Toc148459141"/>
      <w:bookmarkStart w:id="710" w:name="_Toc15370"/>
      <w:bookmarkStart w:id="711" w:name="_Toc24447"/>
      <w:r>
        <w:rPr>
          <w:rFonts w:hint="eastAsia" w:cs="宋体"/>
          <w:b/>
          <w:bCs/>
          <w:sz w:val="28"/>
          <w:szCs w:val="28"/>
        </w:rPr>
        <w:t>附表2：符合性条款审查表</w:t>
      </w:r>
      <w:bookmarkEnd w:id="703"/>
      <w:bookmarkEnd w:id="704"/>
      <w:bookmarkEnd w:id="705"/>
      <w:bookmarkEnd w:id="706"/>
      <w:bookmarkEnd w:id="707"/>
      <w:bookmarkEnd w:id="708"/>
      <w:bookmarkEnd w:id="709"/>
      <w:bookmarkEnd w:id="710"/>
      <w:bookmarkEnd w:id="711"/>
    </w:p>
    <w:tbl>
      <w:tblPr>
        <w:tblStyle w:val="28"/>
        <w:tblW w:w="906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8"/>
        <w:gridCol w:w="1732"/>
        <w:gridCol w:w="5333"/>
        <w:gridCol w:w="11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38" w:hRule="atLeast"/>
          <w:jc w:val="center"/>
        </w:trPr>
        <w:tc>
          <w:tcPr>
            <w:tcW w:w="818" w:type="dxa"/>
            <w:tcBorders>
              <w:top w:val="single" w:color="auto" w:sz="12" w:space="0"/>
              <w:left w:val="single" w:color="auto" w:sz="12" w:space="0"/>
              <w:bottom w:val="single" w:color="auto" w:sz="6" w:space="0"/>
              <w:right w:val="single" w:color="auto" w:sz="6" w:space="0"/>
            </w:tcBorders>
            <w:vAlign w:val="center"/>
          </w:tcPr>
          <w:p>
            <w:pPr>
              <w:spacing w:line="360" w:lineRule="auto"/>
              <w:ind w:left="69"/>
              <w:jc w:val="center"/>
              <w:rPr>
                <w:rFonts w:cs="宋体"/>
                <w:szCs w:val="21"/>
              </w:rPr>
            </w:pPr>
            <w:r>
              <w:rPr>
                <w:rFonts w:hint="eastAsia" w:cs="宋体"/>
                <w:szCs w:val="21"/>
              </w:rPr>
              <w:t>序号</w:t>
            </w:r>
          </w:p>
        </w:tc>
        <w:tc>
          <w:tcPr>
            <w:tcW w:w="1732" w:type="dxa"/>
            <w:tcBorders>
              <w:top w:val="single" w:color="auto" w:sz="12" w:space="0"/>
              <w:left w:val="nil"/>
              <w:bottom w:val="single" w:color="auto" w:sz="6" w:space="0"/>
              <w:right w:val="single" w:color="auto" w:sz="4" w:space="0"/>
            </w:tcBorders>
            <w:vAlign w:val="center"/>
          </w:tcPr>
          <w:p>
            <w:pPr>
              <w:spacing w:line="360" w:lineRule="auto"/>
              <w:ind w:left="69"/>
              <w:jc w:val="center"/>
              <w:rPr>
                <w:rFonts w:cs="宋体"/>
                <w:szCs w:val="21"/>
              </w:rPr>
            </w:pPr>
            <w:r>
              <w:rPr>
                <w:rFonts w:hint="eastAsia" w:cs="宋体"/>
                <w:szCs w:val="21"/>
              </w:rPr>
              <w:t>评审因素</w:t>
            </w:r>
          </w:p>
        </w:tc>
        <w:tc>
          <w:tcPr>
            <w:tcW w:w="5333" w:type="dxa"/>
            <w:tcBorders>
              <w:top w:val="single" w:color="auto" w:sz="12" w:space="0"/>
              <w:left w:val="single" w:color="auto" w:sz="4" w:space="0"/>
              <w:bottom w:val="single" w:color="auto" w:sz="6" w:space="0"/>
              <w:right w:val="single" w:color="auto" w:sz="6" w:space="0"/>
            </w:tcBorders>
            <w:vAlign w:val="center"/>
          </w:tcPr>
          <w:p>
            <w:pPr>
              <w:spacing w:line="360" w:lineRule="auto"/>
              <w:ind w:left="69"/>
              <w:jc w:val="center"/>
              <w:rPr>
                <w:rFonts w:cs="宋体"/>
                <w:szCs w:val="21"/>
              </w:rPr>
            </w:pPr>
            <w:r>
              <w:rPr>
                <w:rFonts w:hint="eastAsia" w:cs="宋体"/>
                <w:szCs w:val="21"/>
              </w:rPr>
              <w:t>评审标准</w:t>
            </w:r>
          </w:p>
        </w:tc>
        <w:tc>
          <w:tcPr>
            <w:tcW w:w="1177" w:type="dxa"/>
            <w:tcBorders>
              <w:top w:val="single" w:color="auto" w:sz="12" w:space="0"/>
              <w:left w:val="nil"/>
              <w:bottom w:val="single" w:color="auto" w:sz="6" w:space="0"/>
              <w:right w:val="single" w:color="auto" w:sz="12" w:space="0"/>
            </w:tcBorders>
            <w:tcMar>
              <w:top w:w="0" w:type="dxa"/>
              <w:left w:w="57" w:type="dxa"/>
              <w:bottom w:w="0" w:type="dxa"/>
              <w:right w:w="57" w:type="dxa"/>
            </w:tcMar>
            <w:vAlign w:val="center"/>
          </w:tcPr>
          <w:p>
            <w:pPr>
              <w:spacing w:line="360" w:lineRule="auto"/>
              <w:ind w:left="69"/>
              <w:jc w:val="center"/>
              <w:rPr>
                <w:rFonts w:cs="宋体"/>
                <w:szCs w:val="21"/>
              </w:rPr>
            </w:pPr>
            <w:r>
              <w:rPr>
                <w:rFonts w:hint="eastAsia" w:cs="宋体"/>
                <w:szCs w:val="21"/>
              </w:rPr>
              <w:t>是否满足（填写“合格”或“不合格”）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23" w:hRule="atLeast"/>
          <w:jc w:val="center"/>
        </w:trPr>
        <w:tc>
          <w:tcPr>
            <w:tcW w:w="818" w:type="dxa"/>
            <w:tcBorders>
              <w:top w:val="single" w:color="auto" w:sz="6" w:space="0"/>
              <w:left w:val="single" w:color="auto" w:sz="12" w:space="0"/>
              <w:bottom w:val="single" w:color="auto" w:sz="6" w:space="0"/>
              <w:right w:val="single" w:color="auto" w:sz="6" w:space="0"/>
            </w:tcBorders>
            <w:vAlign w:val="center"/>
          </w:tcPr>
          <w:p>
            <w:pPr>
              <w:spacing w:line="360" w:lineRule="auto"/>
              <w:ind w:left="69"/>
              <w:jc w:val="center"/>
              <w:rPr>
                <w:rFonts w:cs="宋体"/>
                <w:szCs w:val="21"/>
              </w:rPr>
            </w:pPr>
          </w:p>
        </w:tc>
        <w:tc>
          <w:tcPr>
            <w:tcW w:w="1732" w:type="dxa"/>
            <w:tcBorders>
              <w:top w:val="single" w:color="auto" w:sz="6" w:space="0"/>
              <w:left w:val="nil"/>
              <w:bottom w:val="single" w:color="auto" w:sz="6" w:space="0"/>
              <w:right w:val="single" w:color="auto" w:sz="4" w:space="0"/>
            </w:tcBorders>
            <w:vAlign w:val="center"/>
          </w:tcPr>
          <w:p>
            <w:pPr>
              <w:spacing w:line="360" w:lineRule="auto"/>
              <w:ind w:left="69"/>
              <w:jc w:val="center"/>
              <w:rPr>
                <w:rFonts w:cs="宋体"/>
                <w:szCs w:val="21"/>
              </w:rPr>
            </w:pPr>
            <w:r>
              <w:rPr>
                <w:rFonts w:hint="eastAsia" w:cs="宋体"/>
                <w:szCs w:val="21"/>
              </w:rPr>
              <w:t>实质性要求</w:t>
            </w:r>
          </w:p>
        </w:tc>
        <w:tc>
          <w:tcPr>
            <w:tcW w:w="5333" w:type="dxa"/>
            <w:tcBorders>
              <w:top w:val="single" w:color="auto" w:sz="6" w:space="0"/>
              <w:left w:val="single" w:color="auto" w:sz="4" w:space="0"/>
              <w:bottom w:val="single" w:color="auto" w:sz="6" w:space="0"/>
              <w:right w:val="single" w:color="auto" w:sz="6" w:space="0"/>
            </w:tcBorders>
            <w:vAlign w:val="center"/>
          </w:tcPr>
          <w:p>
            <w:pPr>
              <w:spacing w:line="360" w:lineRule="auto"/>
              <w:ind w:left="69"/>
              <w:rPr>
                <w:rFonts w:cs="宋体"/>
                <w:szCs w:val="21"/>
              </w:rPr>
            </w:pPr>
            <w:r>
              <w:rPr>
                <w:rFonts w:hint="eastAsia" w:cs="宋体"/>
                <w:szCs w:val="21"/>
              </w:rPr>
              <w:t>投标文件对招标文件实质性要求的响应有效、完整，不存在重大偏差或与招标文件一致；不存在招标文件规定的其他投标无效情形的。包括但不限于“第四章</w:t>
            </w:r>
            <w:r>
              <w:rPr>
                <w:rFonts w:cs="宋体"/>
                <w:szCs w:val="21"/>
              </w:rPr>
              <w:t xml:space="preserve"> 招标内容及要求</w:t>
            </w:r>
            <w:r>
              <w:rPr>
                <w:rFonts w:hint="eastAsia" w:cs="宋体"/>
                <w:szCs w:val="21"/>
              </w:rPr>
              <w:t>”中的以下带“</w:t>
            </w:r>
            <w:r>
              <w:rPr>
                <w:rFonts w:hint="eastAsia"/>
                <w:b/>
                <w:bCs/>
              </w:rPr>
              <w:t>★</w:t>
            </w:r>
            <w:r>
              <w:rPr>
                <w:rFonts w:hint="eastAsia" w:cs="宋体"/>
                <w:szCs w:val="21"/>
              </w:rPr>
              <w:t>”的关键性条款：</w:t>
            </w:r>
          </w:p>
        </w:tc>
        <w:tc>
          <w:tcPr>
            <w:tcW w:w="1177" w:type="dxa"/>
            <w:tcBorders>
              <w:top w:val="single" w:color="auto" w:sz="6" w:space="0"/>
              <w:left w:val="nil"/>
              <w:bottom w:val="single" w:color="auto" w:sz="6" w:space="0"/>
              <w:right w:val="single" w:color="auto" w:sz="12" w:space="0"/>
            </w:tcBorders>
            <w:vAlign w:val="center"/>
          </w:tcPr>
          <w:p>
            <w:pPr>
              <w:spacing w:line="360" w:lineRule="auto"/>
              <w:ind w:left="69"/>
              <w:jc w:val="center"/>
              <w:rPr>
                <w:rFonts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15" w:hRule="atLeast"/>
          <w:jc w:val="center"/>
        </w:trPr>
        <w:tc>
          <w:tcPr>
            <w:tcW w:w="818" w:type="dxa"/>
            <w:tcBorders>
              <w:top w:val="single" w:color="auto" w:sz="6" w:space="0"/>
              <w:left w:val="single" w:color="auto" w:sz="12" w:space="0"/>
              <w:right w:val="single" w:color="auto" w:sz="6" w:space="0"/>
            </w:tcBorders>
            <w:vAlign w:val="center"/>
          </w:tcPr>
          <w:p>
            <w:pPr>
              <w:spacing w:line="360" w:lineRule="auto"/>
              <w:ind w:left="69"/>
              <w:jc w:val="center"/>
              <w:rPr>
                <w:rFonts w:cs="宋体"/>
                <w:szCs w:val="21"/>
              </w:rPr>
            </w:pPr>
            <w:r>
              <w:rPr>
                <w:rFonts w:hint="eastAsia" w:cs="宋体"/>
                <w:szCs w:val="21"/>
              </w:rPr>
              <w:t>1</w:t>
            </w:r>
          </w:p>
        </w:tc>
        <w:tc>
          <w:tcPr>
            <w:tcW w:w="1732" w:type="dxa"/>
            <w:vMerge w:val="restart"/>
            <w:tcBorders>
              <w:left w:val="nil"/>
              <w:right w:val="single" w:color="auto" w:sz="4" w:space="0"/>
            </w:tcBorders>
            <w:vAlign w:val="center"/>
          </w:tcPr>
          <w:p>
            <w:pPr>
              <w:snapToGrid w:val="0"/>
              <w:spacing w:line="360" w:lineRule="auto"/>
              <w:ind w:left="69"/>
              <w:rPr>
                <w:rFonts w:cs="宋体"/>
                <w:szCs w:val="21"/>
              </w:rPr>
            </w:pPr>
            <w:r>
              <w:rPr>
                <w:rFonts w:hint="eastAsia" w:cs="宋体"/>
                <w:szCs w:val="21"/>
              </w:rPr>
              <w:t>关键性条款要求（带“★”条款）</w:t>
            </w:r>
          </w:p>
        </w:tc>
        <w:tc>
          <w:tcPr>
            <w:tcW w:w="5333" w:type="dxa"/>
            <w:tcBorders>
              <w:top w:val="single" w:color="auto" w:sz="6" w:space="0"/>
              <w:left w:val="single" w:color="auto" w:sz="4" w:space="0"/>
              <w:bottom w:val="single" w:color="auto" w:sz="4" w:space="0"/>
              <w:right w:val="single" w:color="auto" w:sz="6" w:space="0"/>
            </w:tcBorders>
            <w:vAlign w:val="center"/>
          </w:tcPr>
          <w:p>
            <w:pPr>
              <w:snapToGrid w:val="0"/>
              <w:spacing w:line="360" w:lineRule="auto"/>
              <w:rPr>
                <w:sz w:val="24"/>
              </w:rPr>
            </w:pPr>
            <w:r>
              <w:rPr>
                <w:rFonts w:hint="eastAsia"/>
              </w:rPr>
              <w:t>★质保期：</w:t>
            </w:r>
            <w:r>
              <w:rPr>
                <w:rFonts w:hint="eastAsia" w:cs="宋体"/>
                <w:b w:val="0"/>
                <w:bCs w:val="0"/>
                <w:sz w:val="21"/>
                <w:szCs w:val="21"/>
              </w:rPr>
              <w:t>以合同设备验收合格之日起整机质保1年，系统2年，质保到期前进行精度复检和调试，恢复修复后精度。</w:t>
            </w:r>
          </w:p>
        </w:tc>
        <w:tc>
          <w:tcPr>
            <w:tcW w:w="1177" w:type="dxa"/>
            <w:tcBorders>
              <w:top w:val="single" w:color="auto" w:sz="6" w:space="0"/>
              <w:left w:val="nil"/>
              <w:bottom w:val="single" w:color="auto" w:sz="4" w:space="0"/>
              <w:right w:val="single" w:color="auto" w:sz="12" w:space="0"/>
            </w:tcBorders>
            <w:vAlign w:val="center"/>
          </w:tcPr>
          <w:p>
            <w:pPr>
              <w:snapToGrid w:val="0"/>
              <w:spacing w:line="360" w:lineRule="auto"/>
              <w:ind w:left="69"/>
              <w:jc w:val="center"/>
              <w:rPr>
                <w:rFonts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9" w:hRule="atLeast"/>
          <w:jc w:val="center"/>
        </w:trPr>
        <w:tc>
          <w:tcPr>
            <w:tcW w:w="818" w:type="dxa"/>
            <w:tcBorders>
              <w:left w:val="single" w:color="auto" w:sz="12" w:space="0"/>
              <w:bottom w:val="single" w:color="auto" w:sz="6" w:space="0"/>
              <w:right w:val="single" w:color="auto" w:sz="6" w:space="0"/>
            </w:tcBorders>
            <w:vAlign w:val="center"/>
          </w:tcPr>
          <w:p>
            <w:pPr>
              <w:spacing w:line="360" w:lineRule="auto"/>
              <w:ind w:left="69"/>
              <w:jc w:val="center"/>
              <w:rPr>
                <w:rFonts w:cs="宋体"/>
                <w:szCs w:val="21"/>
              </w:rPr>
            </w:pPr>
            <w:r>
              <w:rPr>
                <w:rFonts w:hint="eastAsia" w:cs="宋体"/>
                <w:szCs w:val="21"/>
              </w:rPr>
              <w:t>2</w:t>
            </w:r>
          </w:p>
        </w:tc>
        <w:tc>
          <w:tcPr>
            <w:tcW w:w="1732" w:type="dxa"/>
            <w:vMerge w:val="continue"/>
            <w:tcBorders>
              <w:left w:val="nil"/>
              <w:right w:val="single" w:color="auto" w:sz="4" w:space="0"/>
            </w:tcBorders>
            <w:vAlign w:val="center"/>
          </w:tcPr>
          <w:p>
            <w:pPr>
              <w:snapToGrid w:val="0"/>
              <w:spacing w:line="360" w:lineRule="auto"/>
              <w:ind w:left="69"/>
              <w:rPr>
                <w:rFonts w:cs="宋体"/>
                <w:szCs w:val="21"/>
              </w:rPr>
            </w:pPr>
          </w:p>
        </w:tc>
        <w:tc>
          <w:tcPr>
            <w:tcW w:w="5333" w:type="dxa"/>
            <w:tcBorders>
              <w:top w:val="single" w:color="auto" w:sz="4" w:space="0"/>
              <w:left w:val="single" w:color="auto" w:sz="4" w:space="0"/>
              <w:bottom w:val="single" w:color="auto" w:sz="6" w:space="0"/>
              <w:right w:val="single" w:color="auto" w:sz="6" w:space="0"/>
            </w:tcBorders>
            <w:vAlign w:val="center"/>
          </w:tcPr>
          <w:p>
            <w:pPr>
              <w:snapToGrid w:val="0"/>
              <w:spacing w:line="360" w:lineRule="auto"/>
            </w:pPr>
            <w:r>
              <w:rPr>
                <w:rFonts w:hint="eastAsia" w:cs="宋体"/>
                <w:szCs w:val="21"/>
              </w:rPr>
              <w:t>★供应范围：本次招标为交钥匙工程，设备所需物料、服务等均须按招标文件技术要求由投标方负责全部提供</w:t>
            </w:r>
          </w:p>
        </w:tc>
        <w:tc>
          <w:tcPr>
            <w:tcW w:w="1177" w:type="dxa"/>
            <w:tcBorders>
              <w:top w:val="single" w:color="auto" w:sz="4" w:space="0"/>
              <w:left w:val="nil"/>
              <w:bottom w:val="single" w:color="auto" w:sz="6" w:space="0"/>
              <w:right w:val="single" w:color="auto" w:sz="12" w:space="0"/>
            </w:tcBorders>
            <w:vAlign w:val="center"/>
          </w:tcPr>
          <w:p>
            <w:pPr>
              <w:snapToGrid w:val="0"/>
              <w:spacing w:line="360" w:lineRule="auto"/>
              <w:ind w:left="69"/>
              <w:jc w:val="center"/>
              <w:rPr>
                <w:rFonts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9" w:hRule="atLeast"/>
          <w:jc w:val="center"/>
        </w:trPr>
        <w:tc>
          <w:tcPr>
            <w:tcW w:w="818" w:type="dxa"/>
            <w:tcBorders>
              <w:left w:val="single" w:color="auto" w:sz="12" w:space="0"/>
              <w:bottom w:val="single" w:color="auto" w:sz="6" w:space="0"/>
              <w:right w:val="single" w:color="auto" w:sz="6" w:space="0"/>
            </w:tcBorders>
            <w:vAlign w:val="center"/>
          </w:tcPr>
          <w:p>
            <w:pPr>
              <w:spacing w:line="360" w:lineRule="auto"/>
              <w:ind w:left="69"/>
              <w:jc w:val="center"/>
              <w:rPr>
                <w:rFonts w:cs="宋体"/>
                <w:szCs w:val="21"/>
              </w:rPr>
            </w:pPr>
            <w:r>
              <w:rPr>
                <w:rFonts w:hint="eastAsia" w:cs="宋体"/>
                <w:szCs w:val="21"/>
              </w:rPr>
              <w:t>3</w:t>
            </w:r>
          </w:p>
        </w:tc>
        <w:tc>
          <w:tcPr>
            <w:tcW w:w="1732" w:type="dxa"/>
            <w:vMerge w:val="continue"/>
            <w:tcBorders>
              <w:left w:val="nil"/>
              <w:right w:val="single" w:color="auto" w:sz="4" w:space="0"/>
            </w:tcBorders>
            <w:vAlign w:val="center"/>
          </w:tcPr>
          <w:p>
            <w:pPr>
              <w:snapToGrid w:val="0"/>
              <w:spacing w:line="360" w:lineRule="auto"/>
              <w:ind w:left="69"/>
              <w:rPr>
                <w:rFonts w:cs="宋体"/>
                <w:szCs w:val="21"/>
              </w:rPr>
            </w:pPr>
          </w:p>
        </w:tc>
        <w:tc>
          <w:tcPr>
            <w:tcW w:w="5333" w:type="dxa"/>
            <w:tcBorders>
              <w:top w:val="single" w:color="auto" w:sz="4" w:space="0"/>
              <w:left w:val="single" w:color="auto" w:sz="4" w:space="0"/>
              <w:bottom w:val="single" w:color="auto" w:sz="6" w:space="0"/>
              <w:right w:val="single" w:color="auto" w:sz="6" w:space="0"/>
            </w:tcBorders>
            <w:vAlign w:val="center"/>
          </w:tcPr>
          <w:p>
            <w:pPr>
              <w:snapToGrid w:val="0"/>
              <w:spacing w:line="360" w:lineRule="auto"/>
              <w:rPr>
                <w:szCs w:val="21"/>
              </w:rPr>
            </w:pPr>
            <w:r>
              <w:rPr>
                <w:rFonts w:hint="eastAsia" w:cs="宋体"/>
                <w:szCs w:val="21"/>
              </w:rPr>
              <w:t>★</w:t>
            </w:r>
            <w:r>
              <w:rPr>
                <w:rFonts w:hint="eastAsia" w:cs="宋体"/>
                <w:sz w:val="21"/>
                <w:szCs w:val="21"/>
              </w:rPr>
              <w:t>全部维修调试在合同签订后</w:t>
            </w:r>
            <w:r>
              <w:rPr>
                <w:rFonts w:hint="eastAsia" w:cs="宋体"/>
                <w:sz w:val="21"/>
                <w:szCs w:val="21"/>
                <w:u w:val="none"/>
              </w:rPr>
              <w:t>90天内</w:t>
            </w:r>
            <w:r>
              <w:rPr>
                <w:rFonts w:hint="eastAsia" w:cs="宋体"/>
                <w:sz w:val="21"/>
                <w:szCs w:val="21"/>
              </w:rPr>
              <w:t>完成。</w:t>
            </w:r>
          </w:p>
        </w:tc>
        <w:tc>
          <w:tcPr>
            <w:tcW w:w="1177" w:type="dxa"/>
            <w:tcBorders>
              <w:top w:val="single" w:color="auto" w:sz="4" w:space="0"/>
              <w:left w:val="nil"/>
              <w:bottom w:val="single" w:color="auto" w:sz="6" w:space="0"/>
              <w:right w:val="single" w:color="auto" w:sz="12" w:space="0"/>
            </w:tcBorders>
            <w:vAlign w:val="center"/>
          </w:tcPr>
          <w:p>
            <w:pPr>
              <w:snapToGrid w:val="0"/>
              <w:spacing w:line="360" w:lineRule="auto"/>
              <w:ind w:left="69"/>
              <w:jc w:val="center"/>
              <w:rPr>
                <w:rFonts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9" w:hRule="atLeast"/>
          <w:jc w:val="center"/>
        </w:trPr>
        <w:tc>
          <w:tcPr>
            <w:tcW w:w="818" w:type="dxa"/>
            <w:tcBorders>
              <w:top w:val="single" w:color="auto" w:sz="6" w:space="0"/>
              <w:left w:val="single" w:color="auto" w:sz="12" w:space="0"/>
              <w:bottom w:val="single" w:color="auto" w:sz="6" w:space="0"/>
              <w:right w:val="single" w:color="auto" w:sz="6" w:space="0"/>
            </w:tcBorders>
            <w:vAlign w:val="center"/>
          </w:tcPr>
          <w:p>
            <w:pPr>
              <w:spacing w:line="360" w:lineRule="auto"/>
              <w:ind w:left="69"/>
              <w:jc w:val="center"/>
              <w:rPr>
                <w:rFonts w:cs="宋体"/>
                <w:szCs w:val="21"/>
              </w:rPr>
            </w:pPr>
            <w:r>
              <w:rPr>
                <w:rFonts w:hint="eastAsia" w:cs="宋体"/>
                <w:szCs w:val="21"/>
              </w:rPr>
              <w:t>4</w:t>
            </w:r>
          </w:p>
        </w:tc>
        <w:tc>
          <w:tcPr>
            <w:tcW w:w="1732" w:type="dxa"/>
            <w:vMerge w:val="continue"/>
            <w:tcBorders>
              <w:left w:val="nil"/>
              <w:right w:val="single" w:color="auto" w:sz="4" w:space="0"/>
            </w:tcBorders>
            <w:vAlign w:val="center"/>
          </w:tcPr>
          <w:p>
            <w:pPr>
              <w:snapToGrid w:val="0"/>
              <w:spacing w:line="360" w:lineRule="auto"/>
              <w:ind w:left="69"/>
              <w:rPr>
                <w:rFonts w:cs="宋体"/>
                <w:szCs w:val="21"/>
              </w:rPr>
            </w:pPr>
          </w:p>
        </w:tc>
        <w:tc>
          <w:tcPr>
            <w:tcW w:w="5333"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60" w:lineRule="auto"/>
              <w:rPr>
                <w:szCs w:val="21"/>
              </w:rPr>
            </w:pPr>
            <w:r>
              <w:rPr>
                <w:rFonts w:hint="eastAsia" w:cs="宋体"/>
                <w:szCs w:val="21"/>
              </w:rPr>
              <w:t>★付款方式（详见“第四章招标内容及要求”中“五、付款方式”中的要求）</w:t>
            </w:r>
          </w:p>
        </w:tc>
        <w:tc>
          <w:tcPr>
            <w:tcW w:w="1177" w:type="dxa"/>
            <w:tcBorders>
              <w:top w:val="single" w:color="auto" w:sz="6" w:space="0"/>
              <w:left w:val="nil"/>
              <w:bottom w:val="single" w:color="auto" w:sz="6" w:space="0"/>
              <w:right w:val="single" w:color="auto" w:sz="12" w:space="0"/>
            </w:tcBorders>
            <w:vAlign w:val="center"/>
          </w:tcPr>
          <w:p>
            <w:pPr>
              <w:spacing w:line="360" w:lineRule="auto"/>
              <w:ind w:left="69"/>
              <w:jc w:val="center"/>
              <w:rPr>
                <w:rFonts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9" w:hRule="atLeast"/>
          <w:jc w:val="center"/>
        </w:trPr>
        <w:tc>
          <w:tcPr>
            <w:tcW w:w="818" w:type="dxa"/>
            <w:tcBorders>
              <w:top w:val="single" w:color="auto" w:sz="6" w:space="0"/>
              <w:left w:val="single" w:color="auto" w:sz="12" w:space="0"/>
              <w:bottom w:val="single" w:color="auto" w:sz="6" w:space="0"/>
              <w:right w:val="single" w:color="auto" w:sz="6" w:space="0"/>
            </w:tcBorders>
            <w:vAlign w:val="center"/>
          </w:tcPr>
          <w:p>
            <w:pPr>
              <w:spacing w:line="360" w:lineRule="auto"/>
              <w:ind w:left="69"/>
              <w:jc w:val="center"/>
              <w:rPr>
                <w:rFonts w:cs="宋体"/>
                <w:szCs w:val="21"/>
              </w:rPr>
            </w:pPr>
            <w:r>
              <w:rPr>
                <w:rFonts w:hint="eastAsia" w:cs="宋体"/>
                <w:szCs w:val="21"/>
              </w:rPr>
              <w:t>5</w:t>
            </w:r>
          </w:p>
        </w:tc>
        <w:tc>
          <w:tcPr>
            <w:tcW w:w="1732" w:type="dxa"/>
            <w:tcBorders>
              <w:left w:val="nil"/>
              <w:right w:val="single" w:color="auto" w:sz="4" w:space="0"/>
            </w:tcBorders>
            <w:vAlign w:val="center"/>
          </w:tcPr>
          <w:p>
            <w:pPr>
              <w:adjustRightInd w:val="0"/>
              <w:snapToGrid w:val="0"/>
              <w:spacing w:line="360" w:lineRule="auto"/>
              <w:rPr>
                <w:rFonts w:cs="仿宋"/>
                <w:szCs w:val="21"/>
              </w:rPr>
            </w:pPr>
            <w:r>
              <w:rPr>
                <w:rFonts w:hint="eastAsia" w:cs="仿宋"/>
                <w:szCs w:val="21"/>
              </w:rPr>
              <w:t>其它实质性要求条款</w:t>
            </w:r>
          </w:p>
        </w:tc>
        <w:tc>
          <w:tcPr>
            <w:tcW w:w="5333"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360" w:lineRule="auto"/>
              <w:rPr>
                <w:rFonts w:cs="仿宋"/>
                <w:szCs w:val="21"/>
              </w:rPr>
            </w:pPr>
            <w:r>
              <w:rPr>
                <w:rFonts w:hint="eastAsia" w:cs="仿宋"/>
                <w:szCs w:val="21"/>
              </w:rPr>
              <w:t>招标文件要求的其他实质性要求</w:t>
            </w:r>
          </w:p>
        </w:tc>
        <w:tc>
          <w:tcPr>
            <w:tcW w:w="1177" w:type="dxa"/>
            <w:tcBorders>
              <w:top w:val="single" w:color="auto" w:sz="6" w:space="0"/>
              <w:left w:val="nil"/>
              <w:bottom w:val="single" w:color="auto" w:sz="6" w:space="0"/>
              <w:right w:val="single" w:color="auto" w:sz="12" w:space="0"/>
            </w:tcBorders>
            <w:vAlign w:val="center"/>
          </w:tcPr>
          <w:p>
            <w:pPr>
              <w:spacing w:line="360" w:lineRule="auto"/>
              <w:ind w:left="69"/>
              <w:jc w:val="center"/>
              <w:rPr>
                <w:rFonts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3" w:hRule="atLeast"/>
          <w:jc w:val="center"/>
        </w:trPr>
        <w:tc>
          <w:tcPr>
            <w:tcW w:w="7883" w:type="dxa"/>
            <w:gridSpan w:val="3"/>
            <w:tcBorders>
              <w:top w:val="single" w:color="auto" w:sz="6" w:space="0"/>
              <w:left w:val="single" w:color="auto" w:sz="12" w:space="0"/>
              <w:bottom w:val="single" w:color="auto" w:sz="12" w:space="0"/>
              <w:right w:val="single" w:color="auto" w:sz="6" w:space="0"/>
            </w:tcBorders>
            <w:vAlign w:val="center"/>
          </w:tcPr>
          <w:p>
            <w:pPr>
              <w:snapToGrid w:val="0"/>
              <w:spacing w:line="360" w:lineRule="auto"/>
              <w:ind w:left="69"/>
              <w:jc w:val="center"/>
              <w:rPr>
                <w:rFonts w:cs="宋体"/>
                <w:szCs w:val="21"/>
              </w:rPr>
            </w:pPr>
            <w:r>
              <w:rPr>
                <w:rFonts w:hint="eastAsia" w:cs="宋体"/>
                <w:szCs w:val="21"/>
              </w:rPr>
              <w:t>评审结果</w:t>
            </w:r>
          </w:p>
        </w:tc>
        <w:tc>
          <w:tcPr>
            <w:tcW w:w="1177" w:type="dxa"/>
            <w:tcBorders>
              <w:top w:val="single" w:color="auto" w:sz="6" w:space="0"/>
              <w:left w:val="nil"/>
              <w:bottom w:val="single" w:color="auto" w:sz="12" w:space="0"/>
              <w:right w:val="single" w:color="auto" w:sz="12" w:space="0"/>
            </w:tcBorders>
            <w:vAlign w:val="center"/>
          </w:tcPr>
          <w:p>
            <w:pPr>
              <w:spacing w:line="360" w:lineRule="auto"/>
              <w:ind w:left="69"/>
              <w:jc w:val="center"/>
              <w:rPr>
                <w:rFonts w:cs="宋体"/>
                <w:szCs w:val="21"/>
              </w:rPr>
            </w:pPr>
          </w:p>
        </w:tc>
      </w:tr>
    </w:tbl>
    <w:p>
      <w:pPr>
        <w:spacing w:line="360" w:lineRule="auto"/>
        <w:rPr>
          <w:rFonts w:cs="宋体"/>
          <w:szCs w:val="21"/>
        </w:rPr>
      </w:pPr>
      <w:r>
        <w:rPr>
          <w:rFonts w:hint="eastAsia" w:cs="宋体"/>
        </w:rPr>
        <w:t>说明：</w:t>
      </w:r>
    </w:p>
    <w:p>
      <w:pPr>
        <w:spacing w:line="360" w:lineRule="auto"/>
        <w:rPr>
          <w:rFonts w:cs="宋体"/>
        </w:rPr>
      </w:pPr>
      <w:r>
        <w:rPr>
          <w:rFonts w:hint="eastAsia" w:cs="宋体"/>
        </w:rPr>
        <w:t>评定结果为“合格”或“不合格”，通过符合性评审的主要条件则评定结果为“合格”，不满足通过符合性评审的主要条件则评定结果为“不合格”。审查内容一项不通过则评审结果为“不合格”。</w:t>
      </w:r>
    </w:p>
    <w:p>
      <w:pPr>
        <w:spacing w:line="360" w:lineRule="auto"/>
        <w:ind w:left="31" w:leftChars="15"/>
        <w:jc w:val="left"/>
        <w:outlineLvl w:val="1"/>
        <w:rPr>
          <w:rFonts w:cs="宋体"/>
          <w:b/>
          <w:bCs/>
          <w:sz w:val="28"/>
          <w:szCs w:val="28"/>
        </w:rPr>
      </w:pPr>
      <w:r>
        <w:rPr>
          <w:rFonts w:hint="eastAsia" w:cs="宋体"/>
        </w:rPr>
        <w:br w:type="page"/>
      </w:r>
      <w:bookmarkStart w:id="712" w:name="_Toc5303"/>
      <w:bookmarkStart w:id="713" w:name="_Toc15523"/>
      <w:bookmarkStart w:id="714" w:name="_Toc148459142"/>
      <w:bookmarkStart w:id="715" w:name="_Toc25955"/>
      <w:bookmarkStart w:id="716" w:name="_Toc19649"/>
      <w:bookmarkStart w:id="717" w:name="_Toc7584"/>
      <w:bookmarkStart w:id="718" w:name="_Toc9953"/>
      <w:bookmarkStart w:id="719" w:name="_Toc29878"/>
      <w:bookmarkStart w:id="720" w:name="_Toc17620"/>
      <w:r>
        <w:rPr>
          <w:rFonts w:hint="eastAsia" w:cs="宋体"/>
          <w:b/>
          <w:bCs/>
          <w:sz w:val="28"/>
          <w:szCs w:val="28"/>
        </w:rPr>
        <w:t>附表3：技术商务因素及价格因素评分表</w:t>
      </w:r>
      <w:bookmarkEnd w:id="712"/>
      <w:bookmarkEnd w:id="713"/>
      <w:bookmarkEnd w:id="714"/>
      <w:bookmarkEnd w:id="715"/>
      <w:bookmarkEnd w:id="716"/>
      <w:bookmarkEnd w:id="717"/>
      <w:bookmarkEnd w:id="718"/>
      <w:bookmarkEnd w:id="719"/>
      <w:bookmarkEnd w:id="720"/>
    </w:p>
    <w:tbl>
      <w:tblPr>
        <w:tblStyle w:val="28"/>
        <w:tblW w:w="8970" w:type="dxa"/>
        <w:tblInd w:w="-3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7365"/>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8970" w:type="dxa"/>
            <w:gridSpan w:val="3"/>
            <w:vAlign w:val="center"/>
          </w:tcPr>
          <w:p>
            <w:pPr>
              <w:spacing w:line="360" w:lineRule="auto"/>
              <w:jc w:val="center"/>
              <w:rPr>
                <w:b/>
                <w:sz w:val="24"/>
                <w:szCs w:val="24"/>
              </w:rPr>
            </w:pPr>
            <w:r>
              <w:rPr>
                <w:rFonts w:hint="eastAsia" w:cs="Arial"/>
                <w:b/>
                <w:sz w:val="24"/>
                <w:szCs w:val="24"/>
              </w:rPr>
              <w:t>1、技术因素分F1（满分35分）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trPr>
        <w:tc>
          <w:tcPr>
            <w:tcW w:w="738" w:type="dxa"/>
            <w:vMerge w:val="restart"/>
            <w:vAlign w:val="center"/>
          </w:tcPr>
          <w:p>
            <w:pPr>
              <w:autoSpaceDE w:val="0"/>
              <w:autoSpaceDN w:val="0"/>
              <w:spacing w:line="360" w:lineRule="auto"/>
              <w:ind w:left="-111" w:leftChars="-139" w:right="-199" w:rightChars="-95" w:hanging="181" w:hangingChars="75"/>
              <w:jc w:val="center"/>
              <w:rPr>
                <w:rFonts w:cs="Arial"/>
                <w:b/>
                <w:kern w:val="10"/>
                <w:sz w:val="24"/>
                <w:szCs w:val="24"/>
              </w:rPr>
            </w:pPr>
            <w:r>
              <w:rPr>
                <w:rFonts w:hint="eastAsia" w:cs="Arial"/>
                <w:b/>
                <w:kern w:val="10"/>
                <w:sz w:val="24"/>
                <w:szCs w:val="24"/>
              </w:rPr>
              <w:t xml:space="preserve"> 序号</w:t>
            </w:r>
          </w:p>
        </w:tc>
        <w:tc>
          <w:tcPr>
            <w:tcW w:w="7365" w:type="dxa"/>
            <w:vMerge w:val="restart"/>
            <w:vAlign w:val="center"/>
          </w:tcPr>
          <w:p>
            <w:pPr>
              <w:autoSpaceDE w:val="0"/>
              <w:autoSpaceDN w:val="0"/>
              <w:spacing w:line="360" w:lineRule="auto"/>
              <w:jc w:val="center"/>
              <w:rPr>
                <w:rFonts w:cs="Arial"/>
                <w:b/>
                <w:sz w:val="24"/>
                <w:szCs w:val="24"/>
              </w:rPr>
            </w:pPr>
            <w:r>
              <w:rPr>
                <w:rFonts w:hint="eastAsia" w:cs="Arial"/>
                <w:b/>
                <w:sz w:val="24"/>
                <w:szCs w:val="24"/>
              </w:rPr>
              <w:t>评分界定</w:t>
            </w:r>
          </w:p>
        </w:tc>
        <w:tc>
          <w:tcPr>
            <w:tcW w:w="867" w:type="dxa"/>
            <w:vMerge w:val="restart"/>
            <w:vAlign w:val="center"/>
          </w:tcPr>
          <w:p>
            <w:pPr>
              <w:spacing w:line="360" w:lineRule="auto"/>
              <w:jc w:val="center"/>
              <w:rPr>
                <w:b/>
              </w:rPr>
            </w:pPr>
            <w:r>
              <w:rPr>
                <w:rFonts w:hint="eastAsia"/>
                <w:b/>
                <w:sz w:val="24"/>
                <w:szCs w:val="24"/>
              </w:rPr>
              <w:t>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trPr>
        <w:tc>
          <w:tcPr>
            <w:tcW w:w="738" w:type="dxa"/>
            <w:vMerge w:val="continue"/>
            <w:vAlign w:val="center"/>
          </w:tcPr>
          <w:p>
            <w:pPr>
              <w:autoSpaceDE w:val="0"/>
              <w:autoSpaceDN w:val="0"/>
              <w:spacing w:line="360" w:lineRule="auto"/>
              <w:ind w:left="-112" w:leftChars="-139" w:right="-199" w:rightChars="-95" w:hanging="180" w:hangingChars="75"/>
              <w:jc w:val="center"/>
              <w:rPr>
                <w:rFonts w:cs="Arial"/>
                <w:bCs/>
                <w:kern w:val="10"/>
                <w:sz w:val="24"/>
                <w:szCs w:val="24"/>
              </w:rPr>
            </w:pPr>
          </w:p>
        </w:tc>
        <w:tc>
          <w:tcPr>
            <w:tcW w:w="7365" w:type="dxa"/>
            <w:vMerge w:val="continue"/>
            <w:vAlign w:val="center"/>
          </w:tcPr>
          <w:p>
            <w:pPr>
              <w:autoSpaceDE w:val="0"/>
              <w:autoSpaceDN w:val="0"/>
              <w:spacing w:line="360" w:lineRule="auto"/>
              <w:jc w:val="center"/>
              <w:rPr>
                <w:rFonts w:cs="Arial"/>
                <w:bCs/>
                <w:sz w:val="24"/>
                <w:szCs w:val="24"/>
              </w:rPr>
            </w:pPr>
          </w:p>
        </w:tc>
        <w:tc>
          <w:tcPr>
            <w:tcW w:w="867" w:type="dxa"/>
            <w:vMerge w:val="continue"/>
            <w:vAlign w:val="center"/>
          </w:tcPr>
          <w:p>
            <w:pPr>
              <w:autoSpaceDE w:val="0"/>
              <w:autoSpaceDN w:val="0"/>
              <w:spacing w:line="360" w:lineRule="auto"/>
              <w:jc w:val="center"/>
              <w:rPr>
                <w:rFonts w:cs="Arial"/>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5" w:hRule="atLeast"/>
        </w:trPr>
        <w:tc>
          <w:tcPr>
            <w:tcW w:w="738" w:type="dxa"/>
            <w:vAlign w:val="center"/>
          </w:tcPr>
          <w:p>
            <w:pPr>
              <w:spacing w:line="360" w:lineRule="auto"/>
              <w:jc w:val="center"/>
              <w:rPr>
                <w:rFonts w:cs="Arial"/>
                <w:kern w:val="10"/>
                <w:sz w:val="24"/>
                <w:szCs w:val="24"/>
              </w:rPr>
            </w:pPr>
            <w:r>
              <w:rPr>
                <w:rFonts w:hint="eastAsia" w:cs="Arial"/>
                <w:kern w:val="10"/>
                <w:sz w:val="24"/>
                <w:szCs w:val="24"/>
              </w:rPr>
              <w:t>1-1</w:t>
            </w:r>
          </w:p>
        </w:tc>
        <w:tc>
          <w:tcPr>
            <w:tcW w:w="7365" w:type="dxa"/>
            <w:vAlign w:val="center"/>
          </w:tcPr>
          <w:p>
            <w:pPr>
              <w:adjustRightInd w:val="0"/>
              <w:snapToGrid w:val="0"/>
              <w:spacing w:line="360" w:lineRule="auto"/>
              <w:rPr>
                <w:rFonts w:hint="eastAsia" w:cs="宋体"/>
                <w:sz w:val="24"/>
                <w:szCs w:val="24"/>
              </w:rPr>
            </w:pPr>
            <w:r>
              <w:rPr>
                <w:rFonts w:hint="eastAsia" w:cs="仿宋"/>
                <w:sz w:val="24"/>
                <w:szCs w:val="24"/>
              </w:rPr>
              <w:t>根据投标人提供的设备的规格、参数及性能等，对比</w:t>
            </w:r>
            <w:r>
              <w:rPr>
                <w:sz w:val="24"/>
                <w:szCs w:val="24"/>
              </w:rPr>
              <w:t>招标文件</w:t>
            </w:r>
            <w:r>
              <w:rPr>
                <w:rFonts w:hint="eastAsia"/>
                <w:sz w:val="24"/>
                <w:szCs w:val="24"/>
              </w:rPr>
              <w:t>“</w:t>
            </w:r>
            <w:r>
              <w:rPr>
                <w:rFonts w:hint="eastAsia" w:cs="仿宋"/>
                <w:b/>
                <w:sz w:val="24"/>
                <w:szCs w:val="24"/>
              </w:rPr>
              <w:t>第四章招标内容及要求</w:t>
            </w:r>
            <w:r>
              <w:rPr>
                <w:rFonts w:hint="eastAsia"/>
                <w:sz w:val="24"/>
                <w:szCs w:val="24"/>
              </w:rPr>
              <w:t>”</w:t>
            </w:r>
            <w:r>
              <w:rPr>
                <w:rFonts w:hint="eastAsia" w:cs="宋体"/>
                <w:sz w:val="24"/>
                <w:szCs w:val="24"/>
              </w:rPr>
              <w:t>的响应情况进行评分。</w:t>
            </w:r>
          </w:p>
          <w:p>
            <w:pPr>
              <w:pStyle w:val="52"/>
              <w:spacing w:before="78" w:line="331" w:lineRule="auto"/>
              <w:ind w:right="40"/>
              <w:rPr>
                <w:sz w:val="24"/>
                <w:szCs w:val="24"/>
                <w:lang w:bidi="ar"/>
              </w:rPr>
            </w:pPr>
            <w:r>
              <w:rPr>
                <w:rFonts w:hint="eastAsia"/>
                <w:sz w:val="24"/>
                <w:szCs w:val="24"/>
                <w:lang w:bidi="ar"/>
              </w:rPr>
              <w:t>根据方案的优劣程度进行评价：</w:t>
            </w:r>
          </w:p>
          <w:p>
            <w:pPr>
              <w:pStyle w:val="52"/>
              <w:spacing w:before="78" w:line="331" w:lineRule="auto"/>
              <w:ind w:right="40"/>
              <w:rPr>
                <w:sz w:val="24"/>
                <w:szCs w:val="24"/>
                <w:lang w:bidi="ar"/>
              </w:rPr>
            </w:pPr>
            <w:r>
              <w:rPr>
                <w:rFonts w:hint="eastAsia"/>
                <w:sz w:val="24"/>
                <w:szCs w:val="24"/>
                <w:lang w:bidi="ar"/>
              </w:rPr>
              <w:t>（1）根据关键零部件配置进行评价:</w:t>
            </w:r>
            <w:r>
              <w:rPr>
                <w:rFonts w:hint="eastAsia" w:ascii="宋体" w:hAnsi="宋体" w:cs="宋体"/>
                <w:color w:val="auto"/>
                <w:kern w:val="0"/>
                <w:sz w:val="24"/>
                <w:lang w:bidi="ar"/>
              </w:rPr>
              <w:t>分三个档进行评价:优</w:t>
            </w:r>
            <w:r>
              <w:rPr>
                <w:rFonts w:hint="eastAsia" w:cs="宋体"/>
                <w:color w:val="auto"/>
                <w:kern w:val="0"/>
                <w:sz w:val="24"/>
                <w:lang w:val="en-US" w:eastAsia="zh-CN" w:bidi="ar"/>
              </w:rPr>
              <w:t>5-7</w:t>
            </w:r>
            <w:r>
              <w:rPr>
                <w:rFonts w:hint="eastAsia" w:ascii="宋体" w:hAnsi="宋体" w:cs="宋体"/>
                <w:color w:val="auto"/>
                <w:kern w:val="0"/>
                <w:sz w:val="24"/>
                <w:lang w:bidi="ar"/>
              </w:rPr>
              <w:t>分、良</w:t>
            </w:r>
            <w:r>
              <w:rPr>
                <w:rFonts w:hint="eastAsia" w:cs="宋体"/>
                <w:color w:val="auto"/>
                <w:kern w:val="0"/>
                <w:sz w:val="24"/>
                <w:lang w:val="en-US" w:eastAsia="zh-CN" w:bidi="ar"/>
              </w:rPr>
              <w:t>3-5</w:t>
            </w:r>
            <w:r>
              <w:rPr>
                <w:rFonts w:hint="eastAsia" w:ascii="宋体" w:hAnsi="宋体" w:cs="宋体"/>
                <w:color w:val="auto"/>
                <w:kern w:val="0"/>
                <w:sz w:val="24"/>
                <w:lang w:bidi="ar"/>
              </w:rPr>
              <w:t>分、一般</w:t>
            </w:r>
            <w:r>
              <w:rPr>
                <w:rFonts w:hint="eastAsia" w:cs="宋体"/>
                <w:color w:val="auto"/>
                <w:kern w:val="0"/>
                <w:sz w:val="24"/>
                <w:lang w:val="en-US" w:eastAsia="zh-CN" w:bidi="ar"/>
              </w:rPr>
              <w:t>0-3</w:t>
            </w:r>
            <w:r>
              <w:rPr>
                <w:rFonts w:hint="eastAsia" w:ascii="宋体" w:hAnsi="宋体" w:cs="宋体"/>
                <w:color w:val="auto"/>
                <w:kern w:val="0"/>
                <w:sz w:val="24"/>
                <w:lang w:bidi="ar"/>
              </w:rPr>
              <w:t>分。</w:t>
            </w:r>
            <w:r>
              <w:rPr>
                <w:rFonts w:hint="eastAsia" w:cs="仿宋"/>
                <w:color w:val="auto"/>
                <w:sz w:val="24"/>
              </w:rPr>
              <w:t xml:space="preserve"> </w:t>
            </w:r>
          </w:p>
          <w:p>
            <w:pPr>
              <w:pStyle w:val="52"/>
              <w:spacing w:before="78" w:line="331" w:lineRule="auto"/>
              <w:ind w:right="40"/>
              <w:rPr>
                <w:sz w:val="24"/>
                <w:szCs w:val="24"/>
                <w:lang w:bidi="ar"/>
              </w:rPr>
            </w:pPr>
            <w:r>
              <w:rPr>
                <w:rFonts w:hint="eastAsia"/>
                <w:sz w:val="24"/>
                <w:szCs w:val="24"/>
                <w:lang w:bidi="ar"/>
              </w:rPr>
              <w:t>（2）根据安装调试方案完整性进行评价：</w:t>
            </w:r>
            <w:r>
              <w:rPr>
                <w:rFonts w:hint="eastAsia" w:ascii="宋体" w:hAnsi="宋体" w:cs="宋体"/>
                <w:color w:val="auto"/>
                <w:kern w:val="0"/>
                <w:sz w:val="24"/>
                <w:lang w:bidi="ar"/>
              </w:rPr>
              <w:t>分三个档进行评价:优</w:t>
            </w:r>
            <w:r>
              <w:rPr>
                <w:rFonts w:hint="eastAsia" w:cs="宋体"/>
                <w:color w:val="auto"/>
                <w:kern w:val="0"/>
                <w:sz w:val="24"/>
                <w:lang w:val="en-US" w:eastAsia="zh-CN" w:bidi="ar"/>
              </w:rPr>
              <w:t>7-10</w:t>
            </w:r>
            <w:r>
              <w:rPr>
                <w:rFonts w:hint="eastAsia" w:ascii="宋体" w:hAnsi="宋体" w:cs="宋体"/>
                <w:color w:val="auto"/>
                <w:kern w:val="0"/>
                <w:sz w:val="24"/>
                <w:lang w:bidi="ar"/>
              </w:rPr>
              <w:t>分、良</w:t>
            </w:r>
            <w:r>
              <w:rPr>
                <w:rFonts w:hint="eastAsia" w:cs="宋体"/>
                <w:color w:val="auto"/>
                <w:kern w:val="0"/>
                <w:sz w:val="24"/>
                <w:lang w:val="en-US" w:eastAsia="zh-CN" w:bidi="ar"/>
              </w:rPr>
              <w:t>4-7</w:t>
            </w:r>
            <w:r>
              <w:rPr>
                <w:rFonts w:hint="eastAsia" w:ascii="宋体" w:hAnsi="宋体" w:cs="宋体"/>
                <w:color w:val="auto"/>
                <w:kern w:val="0"/>
                <w:sz w:val="24"/>
                <w:lang w:bidi="ar"/>
              </w:rPr>
              <w:t>分、一般</w:t>
            </w:r>
            <w:r>
              <w:rPr>
                <w:rFonts w:hint="eastAsia" w:cs="宋体"/>
                <w:color w:val="auto"/>
                <w:kern w:val="0"/>
                <w:sz w:val="24"/>
                <w:lang w:val="en-US" w:eastAsia="zh-CN" w:bidi="ar"/>
              </w:rPr>
              <w:t>0-4</w:t>
            </w:r>
            <w:r>
              <w:rPr>
                <w:rFonts w:hint="eastAsia" w:ascii="宋体" w:hAnsi="宋体" w:cs="宋体"/>
                <w:color w:val="auto"/>
                <w:kern w:val="0"/>
                <w:sz w:val="24"/>
                <w:lang w:bidi="ar"/>
              </w:rPr>
              <w:t>分。</w:t>
            </w:r>
            <w:r>
              <w:rPr>
                <w:rFonts w:hint="eastAsia" w:cs="仿宋"/>
                <w:color w:val="auto"/>
                <w:sz w:val="24"/>
              </w:rPr>
              <w:t xml:space="preserve"> </w:t>
            </w:r>
          </w:p>
          <w:p>
            <w:pPr>
              <w:outlineLvl w:val="9"/>
              <w:rPr>
                <w:rFonts w:cs="宋体"/>
                <w:sz w:val="24"/>
                <w:szCs w:val="24"/>
              </w:rPr>
            </w:pPr>
            <w:bookmarkStart w:id="721" w:name="_Toc2044"/>
            <w:bookmarkStart w:id="722" w:name="_Toc22184"/>
            <w:r>
              <w:rPr>
                <w:rFonts w:hint="eastAsia" w:ascii="宋体" w:hAnsi="宋体" w:eastAsia="宋体" w:cs="宋体"/>
                <w:b w:val="0"/>
                <w:bCs w:val="0"/>
                <w:kern w:val="0"/>
                <w:sz w:val="24"/>
                <w:szCs w:val="24"/>
                <w:lang w:bidi="ar"/>
              </w:rPr>
              <w:t>（3）整体控制系统设计的合理性：分三个档进行评价:优</w:t>
            </w:r>
            <w:r>
              <w:rPr>
                <w:rFonts w:hint="eastAsia" w:ascii="宋体" w:hAnsi="宋体" w:eastAsia="宋体" w:cs="宋体"/>
                <w:b w:val="0"/>
                <w:bCs w:val="0"/>
                <w:kern w:val="0"/>
                <w:sz w:val="24"/>
                <w:szCs w:val="24"/>
                <w:lang w:val="en-US" w:eastAsia="zh-CN" w:bidi="ar"/>
              </w:rPr>
              <w:t>6-8</w:t>
            </w:r>
            <w:r>
              <w:rPr>
                <w:rFonts w:hint="eastAsia" w:ascii="宋体" w:hAnsi="宋体" w:eastAsia="宋体" w:cs="宋体"/>
                <w:b w:val="0"/>
                <w:bCs w:val="0"/>
                <w:kern w:val="0"/>
                <w:sz w:val="24"/>
                <w:szCs w:val="24"/>
                <w:lang w:bidi="ar"/>
              </w:rPr>
              <w:t>分、良</w:t>
            </w:r>
            <w:r>
              <w:rPr>
                <w:rFonts w:hint="eastAsia" w:ascii="宋体" w:hAnsi="宋体" w:eastAsia="宋体" w:cs="宋体"/>
                <w:b w:val="0"/>
                <w:bCs w:val="0"/>
                <w:kern w:val="0"/>
                <w:sz w:val="24"/>
                <w:szCs w:val="24"/>
                <w:lang w:val="en-US" w:eastAsia="zh-CN" w:bidi="ar"/>
              </w:rPr>
              <w:t>4-6</w:t>
            </w:r>
            <w:r>
              <w:rPr>
                <w:rFonts w:hint="eastAsia" w:ascii="宋体" w:hAnsi="宋体" w:eastAsia="宋体" w:cs="宋体"/>
                <w:b w:val="0"/>
                <w:bCs w:val="0"/>
                <w:kern w:val="0"/>
                <w:sz w:val="24"/>
                <w:szCs w:val="24"/>
                <w:lang w:bidi="ar"/>
              </w:rPr>
              <w:t>分、一般</w:t>
            </w:r>
            <w:r>
              <w:rPr>
                <w:rFonts w:hint="eastAsia" w:ascii="宋体" w:hAnsi="宋体" w:eastAsia="宋体" w:cs="宋体"/>
                <w:b w:val="0"/>
                <w:bCs w:val="0"/>
                <w:kern w:val="0"/>
                <w:sz w:val="24"/>
                <w:szCs w:val="24"/>
                <w:lang w:val="en-US" w:eastAsia="zh-CN" w:bidi="ar"/>
              </w:rPr>
              <w:t>0-4</w:t>
            </w:r>
            <w:r>
              <w:rPr>
                <w:rFonts w:hint="eastAsia" w:ascii="宋体" w:hAnsi="宋体" w:eastAsia="宋体" w:cs="宋体"/>
                <w:b w:val="0"/>
                <w:bCs w:val="0"/>
                <w:kern w:val="0"/>
                <w:sz w:val="24"/>
                <w:szCs w:val="24"/>
                <w:lang w:bidi="ar"/>
              </w:rPr>
              <w:t>分。</w:t>
            </w:r>
            <w:bookmarkEnd w:id="721"/>
            <w:bookmarkEnd w:id="722"/>
            <w:r>
              <w:rPr>
                <w:rFonts w:hint="eastAsia" w:ascii="宋体" w:hAnsi="宋体" w:eastAsia="宋体" w:cs="宋体"/>
                <w:b w:val="0"/>
                <w:bCs w:val="0"/>
                <w:kern w:val="0"/>
                <w:sz w:val="24"/>
                <w:szCs w:val="24"/>
                <w:lang w:bidi="ar"/>
              </w:rPr>
              <w:t xml:space="preserve"> </w:t>
            </w:r>
          </w:p>
        </w:tc>
        <w:tc>
          <w:tcPr>
            <w:tcW w:w="867" w:type="dxa"/>
            <w:vAlign w:val="center"/>
          </w:tcPr>
          <w:p>
            <w:pPr>
              <w:spacing w:line="360" w:lineRule="auto"/>
              <w:jc w:val="center"/>
              <w:rPr>
                <w:rFonts w:cs="宋体"/>
                <w:sz w:val="24"/>
                <w:szCs w:val="24"/>
              </w:rPr>
            </w:pPr>
            <w:r>
              <w:rPr>
                <w:rFonts w:hint="eastAsia" w:cs="宋体"/>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738" w:type="dxa"/>
            <w:vAlign w:val="center"/>
          </w:tcPr>
          <w:p>
            <w:pPr>
              <w:spacing w:line="360" w:lineRule="auto"/>
              <w:jc w:val="center"/>
              <w:rPr>
                <w:rFonts w:cs="Arial"/>
                <w:kern w:val="10"/>
                <w:sz w:val="24"/>
                <w:szCs w:val="24"/>
              </w:rPr>
            </w:pPr>
            <w:r>
              <w:rPr>
                <w:rFonts w:hint="eastAsia" w:cs="Arial"/>
                <w:kern w:val="10"/>
                <w:sz w:val="24"/>
                <w:szCs w:val="24"/>
              </w:rPr>
              <w:t>1-</w:t>
            </w:r>
            <w:r>
              <w:rPr>
                <w:rFonts w:hint="eastAsia" w:cs="Arial"/>
                <w:kern w:val="10"/>
                <w:sz w:val="24"/>
                <w:szCs w:val="24"/>
                <w:lang w:val="en-US" w:eastAsia="zh-CN"/>
              </w:rPr>
              <w:t>2</w:t>
            </w:r>
          </w:p>
        </w:tc>
        <w:tc>
          <w:tcPr>
            <w:tcW w:w="7365" w:type="dxa"/>
            <w:vAlign w:val="center"/>
          </w:tcPr>
          <w:p>
            <w:pPr>
              <w:spacing w:line="360" w:lineRule="auto"/>
              <w:rPr>
                <w:rFonts w:cs="仿宋"/>
                <w:sz w:val="24"/>
                <w:szCs w:val="24"/>
              </w:rPr>
            </w:pPr>
            <w:r>
              <w:rPr>
                <w:rFonts w:hint="eastAsia" w:cs="仿宋"/>
                <w:sz w:val="24"/>
                <w:szCs w:val="24"/>
              </w:rPr>
              <w:t>投标人提供的供货组织方案（人员配备、运输、安装调试、培训计划等）内容完整、合理可行。</w:t>
            </w:r>
            <w:r>
              <w:rPr>
                <w:rFonts w:hint="eastAsia"/>
                <w:sz w:val="24"/>
                <w:szCs w:val="24"/>
              </w:rPr>
              <w:t>以综合评审质量等级评分。</w:t>
            </w:r>
            <w:r>
              <w:rPr>
                <w:rFonts w:hint="eastAsia" w:ascii="宋体" w:hAnsi="宋体" w:cs="宋体"/>
                <w:color w:val="auto"/>
                <w:kern w:val="0"/>
                <w:sz w:val="24"/>
                <w:lang w:bidi="ar"/>
              </w:rPr>
              <w:t>分三个档进行评价:优4-5分、良2-4分、一般0-2分。</w:t>
            </w:r>
            <w:r>
              <w:rPr>
                <w:rFonts w:hint="eastAsia" w:cs="仿宋"/>
                <w:color w:val="auto"/>
                <w:sz w:val="24"/>
              </w:rPr>
              <w:t xml:space="preserve"> </w:t>
            </w:r>
          </w:p>
        </w:tc>
        <w:tc>
          <w:tcPr>
            <w:tcW w:w="867" w:type="dxa"/>
            <w:vAlign w:val="center"/>
          </w:tcPr>
          <w:p>
            <w:pPr>
              <w:spacing w:line="360" w:lineRule="auto"/>
              <w:jc w:val="center"/>
              <w:rPr>
                <w:rFonts w:cs="宋体"/>
                <w:sz w:val="24"/>
                <w:szCs w:val="24"/>
              </w:rPr>
            </w:pPr>
            <w:r>
              <w:rPr>
                <w:rFonts w:hint="eastAsia" w:cs="宋体"/>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738" w:type="dxa"/>
            <w:vAlign w:val="center"/>
          </w:tcPr>
          <w:p>
            <w:pPr>
              <w:spacing w:line="360" w:lineRule="auto"/>
              <w:jc w:val="center"/>
              <w:rPr>
                <w:rFonts w:cs="Arial"/>
                <w:kern w:val="10"/>
                <w:sz w:val="24"/>
                <w:szCs w:val="24"/>
              </w:rPr>
            </w:pPr>
            <w:r>
              <w:rPr>
                <w:rFonts w:hint="eastAsia" w:cs="Arial"/>
                <w:kern w:val="10"/>
                <w:sz w:val="24"/>
                <w:szCs w:val="24"/>
              </w:rPr>
              <w:t>1-</w:t>
            </w:r>
            <w:r>
              <w:rPr>
                <w:rFonts w:hint="eastAsia" w:cs="Arial"/>
                <w:kern w:val="10"/>
                <w:sz w:val="24"/>
                <w:szCs w:val="24"/>
                <w:lang w:val="en-US" w:eastAsia="zh-CN"/>
              </w:rPr>
              <w:t>3</w:t>
            </w:r>
          </w:p>
        </w:tc>
        <w:tc>
          <w:tcPr>
            <w:tcW w:w="7365" w:type="dxa"/>
            <w:vAlign w:val="center"/>
          </w:tcPr>
          <w:p>
            <w:pPr>
              <w:spacing w:line="360" w:lineRule="auto"/>
              <w:rPr>
                <w:rFonts w:cs="宋体"/>
                <w:kern w:val="0"/>
                <w:sz w:val="24"/>
                <w:szCs w:val="24"/>
                <w:lang w:bidi="ar"/>
              </w:rPr>
            </w:pPr>
            <w:r>
              <w:rPr>
                <w:rFonts w:hint="eastAsia" w:cs="仿宋"/>
                <w:sz w:val="24"/>
                <w:szCs w:val="24"/>
              </w:rPr>
              <w:t>投标人提供的针对本项目的售后服务方案合理完整；应包括响应速度、人员安排、质保期限、质保期限内服务方案、质保期后服务方案等的响应情况。</w:t>
            </w:r>
            <w:r>
              <w:rPr>
                <w:rFonts w:hint="eastAsia"/>
                <w:sz w:val="24"/>
                <w:szCs w:val="24"/>
              </w:rPr>
              <w:t>以综合评审质量等级评分。</w:t>
            </w:r>
            <w:r>
              <w:rPr>
                <w:rFonts w:hint="eastAsia" w:cs="仿宋"/>
                <w:sz w:val="24"/>
                <w:szCs w:val="24"/>
              </w:rPr>
              <w:t xml:space="preserve"> </w:t>
            </w:r>
            <w:r>
              <w:rPr>
                <w:rFonts w:hint="eastAsia" w:ascii="宋体" w:hAnsi="宋体" w:cs="宋体"/>
                <w:color w:val="auto"/>
                <w:kern w:val="0"/>
                <w:sz w:val="24"/>
                <w:lang w:bidi="ar"/>
              </w:rPr>
              <w:t>分三个档进行评价:优4-5分、良2-4分、一般0-2分。</w:t>
            </w:r>
            <w:r>
              <w:rPr>
                <w:rFonts w:hint="eastAsia" w:cs="仿宋"/>
                <w:color w:val="auto"/>
                <w:sz w:val="24"/>
              </w:rPr>
              <w:t xml:space="preserve"> </w:t>
            </w:r>
          </w:p>
        </w:tc>
        <w:tc>
          <w:tcPr>
            <w:tcW w:w="867" w:type="dxa"/>
            <w:vAlign w:val="center"/>
          </w:tcPr>
          <w:p>
            <w:pPr>
              <w:spacing w:line="360" w:lineRule="auto"/>
              <w:jc w:val="center"/>
              <w:rPr>
                <w:rFonts w:cs="宋体"/>
                <w:sz w:val="24"/>
                <w:szCs w:val="24"/>
              </w:rPr>
            </w:pPr>
            <w:r>
              <w:rPr>
                <w:rFonts w:hint="eastAsia" w:cs="宋体"/>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8970" w:type="dxa"/>
            <w:gridSpan w:val="3"/>
            <w:vAlign w:val="center"/>
          </w:tcPr>
          <w:p>
            <w:pPr>
              <w:spacing w:line="360" w:lineRule="auto"/>
              <w:jc w:val="center"/>
              <w:rPr>
                <w:rFonts w:cs="宋体"/>
                <w:b/>
                <w:bCs/>
                <w:sz w:val="24"/>
                <w:szCs w:val="24"/>
              </w:rPr>
            </w:pPr>
            <w:r>
              <w:rPr>
                <w:rFonts w:hint="eastAsia" w:cs="宋体"/>
                <w:b/>
                <w:sz w:val="24"/>
                <w:szCs w:val="24"/>
              </w:rPr>
              <w:t>2、商务因素F2（满分15分）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738" w:type="dxa"/>
            <w:vMerge w:val="restart"/>
            <w:vAlign w:val="center"/>
          </w:tcPr>
          <w:p>
            <w:pPr>
              <w:pStyle w:val="11"/>
              <w:spacing w:after="0" w:line="360" w:lineRule="auto"/>
              <w:jc w:val="center"/>
              <w:rPr>
                <w:rFonts w:ascii="宋体" w:hAnsi="宋体" w:cs="Arial"/>
                <w:b/>
                <w:bCs/>
                <w:sz w:val="24"/>
                <w:szCs w:val="24"/>
              </w:rPr>
            </w:pPr>
            <w:r>
              <w:rPr>
                <w:rFonts w:hint="eastAsia" w:ascii="宋体" w:hAnsi="宋体" w:cs="Arial"/>
                <w:b/>
                <w:bCs/>
                <w:sz w:val="24"/>
                <w:szCs w:val="24"/>
              </w:rPr>
              <w:t>序号</w:t>
            </w:r>
          </w:p>
        </w:tc>
        <w:tc>
          <w:tcPr>
            <w:tcW w:w="7365" w:type="dxa"/>
            <w:vMerge w:val="restart"/>
            <w:vAlign w:val="center"/>
          </w:tcPr>
          <w:p>
            <w:pPr>
              <w:spacing w:line="360" w:lineRule="auto"/>
              <w:jc w:val="center"/>
              <w:rPr>
                <w:rFonts w:cs="宋体"/>
                <w:b/>
                <w:bCs/>
                <w:sz w:val="24"/>
                <w:szCs w:val="24"/>
              </w:rPr>
            </w:pPr>
            <w:r>
              <w:rPr>
                <w:rFonts w:hint="eastAsia" w:cs="宋体"/>
                <w:b/>
                <w:bCs/>
                <w:sz w:val="24"/>
                <w:szCs w:val="24"/>
              </w:rPr>
              <w:t>评分界定</w:t>
            </w:r>
          </w:p>
        </w:tc>
        <w:tc>
          <w:tcPr>
            <w:tcW w:w="867" w:type="dxa"/>
            <w:vMerge w:val="restart"/>
            <w:vAlign w:val="center"/>
          </w:tcPr>
          <w:p>
            <w:pPr>
              <w:spacing w:line="360" w:lineRule="auto"/>
              <w:jc w:val="center"/>
              <w:rPr>
                <w:rFonts w:cs="宋体"/>
                <w:sz w:val="24"/>
                <w:szCs w:val="24"/>
              </w:rPr>
            </w:pPr>
            <w:r>
              <w:rPr>
                <w:rFonts w:hint="eastAsia" w:cs="宋体"/>
                <w:b/>
                <w:bCs/>
                <w:sz w:val="24"/>
                <w:szCs w:val="24"/>
              </w:rPr>
              <w:t>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738" w:type="dxa"/>
            <w:vMerge w:val="continue"/>
            <w:vAlign w:val="center"/>
          </w:tcPr>
          <w:p>
            <w:pPr>
              <w:pStyle w:val="11"/>
              <w:spacing w:after="0" w:line="360" w:lineRule="auto"/>
              <w:jc w:val="center"/>
              <w:rPr>
                <w:rFonts w:ascii="宋体" w:hAnsi="宋体" w:cs="Arial"/>
                <w:b/>
                <w:bCs/>
                <w:sz w:val="24"/>
                <w:szCs w:val="24"/>
              </w:rPr>
            </w:pPr>
          </w:p>
        </w:tc>
        <w:tc>
          <w:tcPr>
            <w:tcW w:w="7365" w:type="dxa"/>
            <w:vMerge w:val="continue"/>
            <w:vAlign w:val="center"/>
          </w:tcPr>
          <w:p>
            <w:pPr>
              <w:spacing w:line="360" w:lineRule="auto"/>
              <w:rPr>
                <w:rFonts w:cs="宋体"/>
                <w:b/>
                <w:bCs/>
                <w:sz w:val="24"/>
                <w:szCs w:val="24"/>
              </w:rPr>
            </w:pPr>
          </w:p>
        </w:tc>
        <w:tc>
          <w:tcPr>
            <w:tcW w:w="867" w:type="dxa"/>
            <w:vMerge w:val="continue"/>
            <w:vAlign w:val="center"/>
          </w:tcPr>
          <w:p>
            <w:pPr>
              <w:spacing w:line="360" w:lineRule="auto"/>
              <w:jc w:val="center"/>
              <w:rPr>
                <w:rFonts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5" w:hRule="atLeast"/>
        </w:trPr>
        <w:tc>
          <w:tcPr>
            <w:tcW w:w="738" w:type="dxa"/>
            <w:vAlign w:val="center"/>
          </w:tcPr>
          <w:p>
            <w:pPr>
              <w:spacing w:line="360" w:lineRule="auto"/>
              <w:jc w:val="center"/>
              <w:rPr>
                <w:rFonts w:cs="Arial"/>
                <w:bCs/>
                <w:sz w:val="24"/>
                <w:szCs w:val="24"/>
              </w:rPr>
            </w:pPr>
            <w:r>
              <w:rPr>
                <w:rFonts w:hint="eastAsia" w:cs="Arial"/>
                <w:bCs/>
                <w:sz w:val="24"/>
                <w:szCs w:val="24"/>
              </w:rPr>
              <w:t>2</w:t>
            </w:r>
            <w:r>
              <w:rPr>
                <w:rFonts w:cs="Arial"/>
                <w:bCs/>
                <w:sz w:val="24"/>
                <w:szCs w:val="24"/>
              </w:rPr>
              <w:t>-1</w:t>
            </w:r>
          </w:p>
        </w:tc>
        <w:tc>
          <w:tcPr>
            <w:tcW w:w="7365" w:type="dxa"/>
            <w:vAlign w:val="center"/>
          </w:tcPr>
          <w:p>
            <w:pPr>
              <w:spacing w:line="360" w:lineRule="auto"/>
              <w:rPr>
                <w:sz w:val="24"/>
                <w:szCs w:val="24"/>
              </w:rPr>
            </w:pPr>
            <w:r>
              <w:rPr>
                <w:rFonts w:hint="eastAsia"/>
                <w:sz w:val="24"/>
                <w:szCs w:val="24"/>
              </w:rPr>
              <w:t>投标人综合实力如：同类产品的</w:t>
            </w:r>
            <w:r>
              <w:rPr>
                <w:sz w:val="24"/>
                <w:szCs w:val="24"/>
              </w:rPr>
              <w:t>年度</w:t>
            </w:r>
            <w:r>
              <w:rPr>
                <w:rFonts w:hint="eastAsia"/>
                <w:sz w:val="24"/>
                <w:szCs w:val="24"/>
              </w:rPr>
              <w:t>销售收入、企业规模、制造加工能力、财务报表状况、获奖状况等。</w:t>
            </w:r>
          </w:p>
          <w:p>
            <w:pPr>
              <w:spacing w:line="360" w:lineRule="auto"/>
            </w:pPr>
            <w:r>
              <w:rPr>
                <w:rFonts w:hint="eastAsia"/>
                <w:sz w:val="24"/>
                <w:szCs w:val="24"/>
              </w:rPr>
              <w:t>投标人须提供能展示企业综合实力的详细资料，包括但不限于企业规模介绍、销售情况、良好的财务状况、行业获奖情况、有履行合同所必需的设备和专业技术能力等材料。</w:t>
            </w:r>
            <w:r>
              <w:rPr>
                <w:rFonts w:hint="eastAsia" w:ascii="宋体" w:hAnsi="宋体" w:cs="宋体"/>
                <w:color w:val="auto"/>
                <w:kern w:val="0"/>
                <w:sz w:val="24"/>
                <w:lang w:bidi="ar"/>
              </w:rPr>
              <w:t>分三个档进行评价:优</w:t>
            </w:r>
            <w:r>
              <w:rPr>
                <w:rFonts w:hint="eastAsia" w:ascii="宋体" w:hAnsi="宋体" w:cs="宋体"/>
                <w:color w:val="auto"/>
                <w:kern w:val="0"/>
                <w:sz w:val="24"/>
                <w:lang w:val="en-US" w:eastAsia="zh-CN" w:bidi="ar"/>
              </w:rPr>
              <w:t>2</w:t>
            </w:r>
            <w:r>
              <w:rPr>
                <w:rFonts w:hint="eastAsia" w:ascii="宋体" w:hAnsi="宋体" w:cs="宋体"/>
                <w:color w:val="auto"/>
                <w:kern w:val="0"/>
                <w:sz w:val="24"/>
                <w:lang w:bidi="ar"/>
              </w:rPr>
              <w:t>分、良</w:t>
            </w:r>
            <w:r>
              <w:rPr>
                <w:rFonts w:hint="eastAsia" w:ascii="宋体" w:hAnsi="宋体" w:cs="宋体"/>
                <w:color w:val="auto"/>
                <w:kern w:val="0"/>
                <w:sz w:val="24"/>
                <w:lang w:val="en-US" w:eastAsia="zh-CN" w:bidi="ar"/>
              </w:rPr>
              <w:t>1.5</w:t>
            </w:r>
            <w:r>
              <w:rPr>
                <w:rFonts w:hint="eastAsia" w:ascii="宋体" w:hAnsi="宋体" w:cs="宋体"/>
                <w:color w:val="auto"/>
                <w:kern w:val="0"/>
                <w:sz w:val="24"/>
                <w:lang w:bidi="ar"/>
              </w:rPr>
              <w:t>分、一般</w:t>
            </w:r>
            <w:r>
              <w:rPr>
                <w:rFonts w:hint="eastAsia" w:ascii="宋体" w:hAnsi="宋体" w:cs="宋体"/>
                <w:color w:val="auto"/>
                <w:kern w:val="0"/>
                <w:sz w:val="24"/>
                <w:lang w:val="en-US" w:eastAsia="zh-CN" w:bidi="ar"/>
              </w:rPr>
              <w:t>1</w:t>
            </w:r>
            <w:r>
              <w:rPr>
                <w:rFonts w:hint="eastAsia" w:ascii="宋体" w:hAnsi="宋体" w:cs="宋体"/>
                <w:color w:val="auto"/>
                <w:kern w:val="0"/>
                <w:sz w:val="24"/>
                <w:lang w:bidi="ar"/>
              </w:rPr>
              <w:t>分。</w:t>
            </w:r>
          </w:p>
        </w:tc>
        <w:tc>
          <w:tcPr>
            <w:tcW w:w="867" w:type="dxa"/>
            <w:vAlign w:val="center"/>
          </w:tcPr>
          <w:p>
            <w:pPr>
              <w:spacing w:line="360" w:lineRule="auto"/>
              <w:jc w:val="center"/>
              <w:rPr>
                <w:rFonts w:cs="宋体"/>
                <w:sz w:val="24"/>
                <w:szCs w:val="24"/>
              </w:rPr>
            </w:pPr>
            <w:r>
              <w:rPr>
                <w:rFonts w:hint="eastAsia" w:cs="宋体"/>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5" w:hRule="atLeast"/>
        </w:trPr>
        <w:tc>
          <w:tcPr>
            <w:tcW w:w="738" w:type="dxa"/>
            <w:vAlign w:val="center"/>
          </w:tcPr>
          <w:p>
            <w:pPr>
              <w:spacing w:line="360" w:lineRule="auto"/>
              <w:jc w:val="center"/>
              <w:rPr>
                <w:rFonts w:cs="Arial"/>
                <w:bCs/>
                <w:sz w:val="24"/>
                <w:szCs w:val="24"/>
              </w:rPr>
            </w:pPr>
            <w:r>
              <w:rPr>
                <w:rFonts w:hint="eastAsia" w:cs="Arial"/>
                <w:bCs/>
                <w:sz w:val="24"/>
                <w:szCs w:val="24"/>
              </w:rPr>
              <w:t>2</w:t>
            </w:r>
            <w:r>
              <w:rPr>
                <w:rFonts w:cs="Arial"/>
                <w:bCs/>
                <w:sz w:val="24"/>
                <w:szCs w:val="24"/>
              </w:rPr>
              <w:t>-</w:t>
            </w:r>
            <w:r>
              <w:rPr>
                <w:rFonts w:hint="eastAsia" w:cs="Arial"/>
                <w:bCs/>
                <w:sz w:val="24"/>
                <w:szCs w:val="24"/>
              </w:rPr>
              <w:t>2</w:t>
            </w:r>
          </w:p>
        </w:tc>
        <w:tc>
          <w:tcPr>
            <w:tcW w:w="7365" w:type="dxa"/>
            <w:vAlign w:val="center"/>
          </w:tcPr>
          <w:p>
            <w:pPr>
              <w:spacing w:line="360" w:lineRule="auto"/>
              <w:rPr>
                <w:rFonts w:cs="宋体"/>
                <w:sz w:val="24"/>
                <w:szCs w:val="24"/>
              </w:rPr>
            </w:pPr>
            <w:r>
              <w:rPr>
                <w:rFonts w:hint="eastAsia"/>
                <w:sz w:val="24"/>
                <w:szCs w:val="24"/>
              </w:rPr>
              <w:t>依据投标人提供商务文件中的“三、</w:t>
            </w:r>
            <w:r>
              <w:rPr>
                <w:rFonts w:hint="eastAsia"/>
                <w:bCs/>
                <w:sz w:val="24"/>
                <w:szCs w:val="24"/>
                <w:lang w:bidi="zh-CN"/>
              </w:rPr>
              <w:t>投标人提供的随机配件、附件和工具等清单</w:t>
            </w:r>
            <w:r>
              <w:rPr>
                <w:rFonts w:hint="eastAsia"/>
                <w:sz w:val="24"/>
                <w:szCs w:val="24"/>
              </w:rPr>
              <w:t>”和“</w:t>
            </w:r>
            <w:r>
              <w:rPr>
                <w:rFonts w:hint="eastAsia"/>
                <w:bCs/>
                <w:sz w:val="24"/>
                <w:szCs w:val="24"/>
                <w:lang w:bidi="zh-CN"/>
              </w:rPr>
              <w:t>四、设备运行日常需更换的易损件及维修配件等清单</w:t>
            </w:r>
            <w:r>
              <w:rPr>
                <w:rFonts w:hint="eastAsia"/>
                <w:sz w:val="24"/>
                <w:szCs w:val="24"/>
              </w:rPr>
              <w:t>”的详细情况及价格情况进行评价。</w:t>
            </w:r>
          </w:p>
        </w:tc>
        <w:tc>
          <w:tcPr>
            <w:tcW w:w="867" w:type="dxa"/>
            <w:vAlign w:val="center"/>
          </w:tcPr>
          <w:p>
            <w:pPr>
              <w:spacing w:line="360" w:lineRule="auto"/>
              <w:jc w:val="center"/>
              <w:rPr>
                <w:rFonts w:cs="宋体"/>
                <w:sz w:val="24"/>
                <w:szCs w:val="24"/>
              </w:rPr>
            </w:pPr>
            <w:r>
              <w:rPr>
                <w:rFonts w:hint="eastAsia" w:cs="宋体"/>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1" w:hRule="atLeast"/>
        </w:trPr>
        <w:tc>
          <w:tcPr>
            <w:tcW w:w="738" w:type="dxa"/>
            <w:vAlign w:val="center"/>
          </w:tcPr>
          <w:p>
            <w:pPr>
              <w:spacing w:line="360" w:lineRule="auto"/>
              <w:jc w:val="center"/>
              <w:rPr>
                <w:rFonts w:cs="Arial"/>
                <w:bCs/>
                <w:sz w:val="24"/>
                <w:szCs w:val="24"/>
              </w:rPr>
            </w:pPr>
            <w:r>
              <w:rPr>
                <w:rFonts w:hint="eastAsia" w:cs="Arial"/>
                <w:bCs/>
                <w:sz w:val="24"/>
                <w:szCs w:val="24"/>
              </w:rPr>
              <w:t>2-3</w:t>
            </w:r>
          </w:p>
        </w:tc>
        <w:tc>
          <w:tcPr>
            <w:tcW w:w="7365" w:type="dxa"/>
            <w:vAlign w:val="center"/>
          </w:tcPr>
          <w:p>
            <w:pPr>
              <w:spacing w:line="360" w:lineRule="auto"/>
              <w:rPr>
                <w:rFonts w:cs="宋体"/>
                <w:sz w:val="24"/>
                <w:szCs w:val="24"/>
              </w:rPr>
            </w:pPr>
            <w:r>
              <w:rPr>
                <w:rFonts w:hint="eastAsia"/>
                <w:bCs/>
                <w:sz w:val="24"/>
                <w:szCs w:val="24"/>
              </w:rPr>
              <w:t>质保期限。</w:t>
            </w:r>
            <w:r>
              <w:rPr>
                <w:rFonts w:hint="eastAsia"/>
                <w:bCs/>
                <w:color w:val="auto"/>
                <w:sz w:val="24"/>
              </w:rPr>
              <w:t>分三个档进行评价:整机≥3年</w:t>
            </w:r>
            <w:r>
              <w:rPr>
                <w:rFonts w:hint="eastAsia"/>
                <w:bCs/>
                <w:color w:val="auto"/>
                <w:sz w:val="24"/>
                <w:lang w:val="en-US" w:eastAsia="zh-CN"/>
              </w:rPr>
              <w:t>3</w:t>
            </w:r>
            <w:r>
              <w:rPr>
                <w:rFonts w:hint="eastAsia"/>
                <w:bCs/>
                <w:color w:val="auto"/>
                <w:sz w:val="24"/>
              </w:rPr>
              <w:t>分、整机二年2分、整机一年1分。</w:t>
            </w:r>
          </w:p>
        </w:tc>
        <w:tc>
          <w:tcPr>
            <w:tcW w:w="867" w:type="dxa"/>
            <w:vAlign w:val="center"/>
          </w:tcPr>
          <w:p>
            <w:pPr>
              <w:spacing w:line="360" w:lineRule="auto"/>
              <w:jc w:val="center"/>
              <w:rPr>
                <w:rFonts w:cs="宋体"/>
                <w:sz w:val="24"/>
                <w:szCs w:val="24"/>
              </w:rPr>
            </w:pPr>
            <w:r>
              <w:rPr>
                <w:rFonts w:hint="eastAsia" w:cs="宋体"/>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1" w:hRule="atLeast"/>
        </w:trPr>
        <w:tc>
          <w:tcPr>
            <w:tcW w:w="738" w:type="dxa"/>
            <w:vAlign w:val="center"/>
          </w:tcPr>
          <w:p>
            <w:pPr>
              <w:spacing w:line="360" w:lineRule="auto"/>
              <w:jc w:val="center"/>
              <w:rPr>
                <w:rFonts w:cs="Arial"/>
                <w:bCs/>
                <w:sz w:val="24"/>
                <w:szCs w:val="24"/>
              </w:rPr>
            </w:pPr>
            <w:r>
              <w:rPr>
                <w:rFonts w:hint="eastAsia" w:cs="Arial"/>
                <w:bCs/>
                <w:sz w:val="24"/>
                <w:szCs w:val="24"/>
              </w:rPr>
              <w:t>2-4</w:t>
            </w:r>
          </w:p>
        </w:tc>
        <w:tc>
          <w:tcPr>
            <w:tcW w:w="7365" w:type="dxa"/>
            <w:vAlign w:val="center"/>
          </w:tcPr>
          <w:p>
            <w:pPr>
              <w:spacing w:line="360" w:lineRule="auto"/>
              <w:rPr>
                <w:spacing w:val="-8"/>
                <w:sz w:val="24"/>
                <w:szCs w:val="24"/>
              </w:rPr>
            </w:pPr>
            <w:r>
              <w:rPr>
                <w:rFonts w:hint="eastAsia" w:cs="宋体"/>
                <w:sz w:val="24"/>
                <w:szCs w:val="24"/>
              </w:rPr>
              <w:t>投标人2022年1月1日至开标当日同类产品(进口品牌机床)大修业绩（以合同签订时间为准）进行评价：</w:t>
            </w:r>
            <w:r>
              <w:rPr>
                <w:rFonts w:hint="eastAsia"/>
                <w:spacing w:val="-8"/>
                <w:sz w:val="24"/>
                <w:szCs w:val="24"/>
              </w:rPr>
              <w:t>投标人每提供一台同规格（或以上规格）的销售合同及相关发票复印件</w:t>
            </w:r>
          </w:p>
          <w:p>
            <w:pPr>
              <w:spacing w:line="360" w:lineRule="auto"/>
              <w:rPr>
                <w:rFonts w:cs="宋体"/>
                <w:sz w:val="24"/>
                <w:szCs w:val="24"/>
              </w:rPr>
            </w:pPr>
            <w:r>
              <w:rPr>
                <w:rFonts w:hint="eastAsia"/>
                <w:sz w:val="24"/>
                <w:szCs w:val="24"/>
              </w:rPr>
              <w:t>投标人需提供业绩表、合同复印件、相关发票复印件等，并加盖单位公章。</w:t>
            </w:r>
            <w:r>
              <w:rPr>
                <w:rFonts w:hint="eastAsia" w:ascii="宋体" w:hAnsi="宋体" w:cs="宋体"/>
                <w:color w:val="auto"/>
                <w:kern w:val="0"/>
                <w:sz w:val="24"/>
                <w:lang w:bidi="ar"/>
              </w:rPr>
              <w:t>分三个档进行评价:优</w:t>
            </w:r>
            <w:r>
              <w:rPr>
                <w:rFonts w:hint="eastAsia" w:ascii="宋体" w:hAnsi="宋体" w:cs="宋体"/>
                <w:color w:val="auto"/>
                <w:kern w:val="0"/>
                <w:sz w:val="24"/>
                <w:lang w:val="en-US" w:eastAsia="zh-CN" w:bidi="ar"/>
              </w:rPr>
              <w:t>6</w:t>
            </w:r>
            <w:r>
              <w:rPr>
                <w:rFonts w:hint="eastAsia" w:ascii="宋体" w:hAnsi="宋体" w:cs="宋体"/>
                <w:color w:val="auto"/>
                <w:kern w:val="0"/>
                <w:sz w:val="24"/>
                <w:lang w:bidi="ar"/>
              </w:rPr>
              <w:t>-</w:t>
            </w:r>
            <w:r>
              <w:rPr>
                <w:rFonts w:hint="eastAsia" w:ascii="宋体" w:hAnsi="宋体" w:cs="宋体"/>
                <w:color w:val="auto"/>
                <w:kern w:val="0"/>
                <w:sz w:val="24"/>
                <w:lang w:val="en-US" w:eastAsia="zh-CN" w:bidi="ar"/>
              </w:rPr>
              <w:t>8</w:t>
            </w:r>
            <w:r>
              <w:rPr>
                <w:rFonts w:hint="eastAsia" w:ascii="宋体" w:hAnsi="宋体" w:cs="宋体"/>
                <w:color w:val="auto"/>
                <w:kern w:val="0"/>
                <w:sz w:val="24"/>
                <w:lang w:bidi="ar"/>
              </w:rPr>
              <w:t>分、良2-</w:t>
            </w:r>
            <w:r>
              <w:rPr>
                <w:rFonts w:hint="eastAsia" w:ascii="宋体" w:hAnsi="宋体" w:cs="宋体"/>
                <w:color w:val="auto"/>
                <w:kern w:val="0"/>
                <w:sz w:val="24"/>
                <w:lang w:val="en-US" w:eastAsia="zh-CN" w:bidi="ar"/>
              </w:rPr>
              <w:t>5</w:t>
            </w:r>
            <w:r>
              <w:rPr>
                <w:rFonts w:hint="eastAsia" w:ascii="宋体" w:hAnsi="宋体" w:cs="宋体"/>
                <w:color w:val="auto"/>
                <w:kern w:val="0"/>
                <w:sz w:val="24"/>
                <w:lang w:bidi="ar"/>
              </w:rPr>
              <w:t>分、一般0-2分。</w:t>
            </w:r>
            <w:r>
              <w:rPr>
                <w:rFonts w:hint="eastAsia" w:cs="仿宋"/>
                <w:color w:val="auto"/>
                <w:sz w:val="24"/>
              </w:rPr>
              <w:t xml:space="preserve"> </w:t>
            </w:r>
          </w:p>
        </w:tc>
        <w:tc>
          <w:tcPr>
            <w:tcW w:w="867" w:type="dxa"/>
            <w:vAlign w:val="center"/>
          </w:tcPr>
          <w:p>
            <w:pPr>
              <w:spacing w:line="360" w:lineRule="auto"/>
              <w:jc w:val="center"/>
              <w:rPr>
                <w:rFonts w:cs="宋体"/>
                <w:sz w:val="24"/>
                <w:szCs w:val="24"/>
              </w:rPr>
            </w:pPr>
            <w:r>
              <w:rPr>
                <w:rFonts w:hint="eastAsia" w:cs="宋体"/>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8970" w:type="dxa"/>
            <w:gridSpan w:val="3"/>
            <w:vAlign w:val="center"/>
          </w:tcPr>
          <w:p>
            <w:pPr>
              <w:spacing w:line="360" w:lineRule="auto"/>
              <w:jc w:val="center"/>
              <w:rPr>
                <w:rFonts w:cs="宋体"/>
                <w:sz w:val="24"/>
                <w:szCs w:val="24"/>
              </w:rPr>
            </w:pPr>
            <w:r>
              <w:rPr>
                <w:rFonts w:hint="eastAsia" w:cs="宋体"/>
                <w:b/>
                <w:sz w:val="24"/>
                <w:szCs w:val="24"/>
              </w:rPr>
              <w:t>3、价格因素F3（满分50分）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4" w:hRule="atLeast"/>
        </w:trPr>
        <w:tc>
          <w:tcPr>
            <w:tcW w:w="738" w:type="dxa"/>
            <w:vAlign w:val="center"/>
          </w:tcPr>
          <w:p>
            <w:pPr>
              <w:spacing w:line="360" w:lineRule="auto"/>
              <w:jc w:val="center"/>
              <w:rPr>
                <w:rFonts w:cs="Arial"/>
                <w:bCs/>
                <w:sz w:val="24"/>
                <w:szCs w:val="24"/>
              </w:rPr>
            </w:pPr>
            <w:r>
              <w:rPr>
                <w:rFonts w:hint="eastAsia" w:cs="Arial"/>
                <w:bCs/>
                <w:sz w:val="24"/>
                <w:szCs w:val="24"/>
              </w:rPr>
              <w:t>3</w:t>
            </w:r>
          </w:p>
        </w:tc>
        <w:tc>
          <w:tcPr>
            <w:tcW w:w="8232" w:type="dxa"/>
            <w:gridSpan w:val="2"/>
            <w:vAlign w:val="center"/>
          </w:tcPr>
          <w:p>
            <w:pPr>
              <w:spacing w:line="240" w:lineRule="auto"/>
              <w:rPr>
                <w:spacing w:val="-8"/>
                <w:sz w:val="24"/>
                <w:szCs w:val="24"/>
              </w:rPr>
            </w:pPr>
            <w:r>
              <w:rPr>
                <w:rFonts w:hint="eastAsia"/>
                <w:spacing w:val="-8"/>
                <w:sz w:val="24"/>
                <w:szCs w:val="24"/>
              </w:rPr>
              <w:t>评标基准价=合格报价的最低投标报价</w:t>
            </w:r>
          </w:p>
          <w:p>
            <w:pPr>
              <w:spacing w:line="240" w:lineRule="auto"/>
              <w:rPr>
                <w:rFonts w:cs="宋体"/>
                <w:sz w:val="24"/>
                <w:szCs w:val="24"/>
              </w:rPr>
            </w:pPr>
            <w:r>
              <w:rPr>
                <w:rFonts w:hint="eastAsia"/>
                <w:spacing w:val="-8"/>
                <w:sz w:val="24"/>
                <w:szCs w:val="24"/>
              </w:rPr>
              <w:t>投标报价得分=50×评标基准价 / 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8970" w:type="dxa"/>
            <w:gridSpan w:val="3"/>
            <w:vAlign w:val="center"/>
          </w:tcPr>
          <w:p>
            <w:pPr>
              <w:spacing w:line="360" w:lineRule="auto"/>
              <w:jc w:val="center"/>
              <w:rPr>
                <w:sz w:val="24"/>
                <w:szCs w:val="24"/>
              </w:rPr>
            </w:pPr>
            <w:r>
              <w:rPr>
                <w:rFonts w:hint="eastAsia"/>
                <w:b/>
                <w:sz w:val="24"/>
              </w:rPr>
              <w:t>综合得分F＝F1＋F2＋F3</w:t>
            </w:r>
          </w:p>
        </w:tc>
      </w:tr>
    </w:tbl>
    <w:p>
      <w:r>
        <w:rPr>
          <w:rFonts w:hint="eastAsia" w:cs="宋体"/>
        </w:rPr>
        <w:br w:type="page"/>
      </w:r>
    </w:p>
    <w:p/>
    <w:p>
      <w:pPr>
        <w:rPr>
          <w:b/>
          <w:sz w:val="18"/>
          <w:szCs w:val="18"/>
        </w:rPr>
      </w:pPr>
    </w:p>
    <w:p>
      <w:pPr>
        <w:spacing w:line="360" w:lineRule="auto"/>
        <w:ind w:firstLine="723" w:firstLineChars="200"/>
        <w:jc w:val="center"/>
        <w:outlineLvl w:val="0"/>
        <w:rPr>
          <w:b/>
          <w:bCs/>
          <w:sz w:val="36"/>
          <w:szCs w:val="36"/>
        </w:rPr>
      </w:pPr>
      <w:bookmarkStart w:id="723" w:name="_Toc29394"/>
      <w:bookmarkStart w:id="724" w:name="_Toc6110"/>
      <w:bookmarkStart w:id="725" w:name="_Toc18277"/>
      <w:bookmarkStart w:id="726" w:name="_Toc2401"/>
      <w:bookmarkStart w:id="727" w:name="_Toc21612"/>
      <w:bookmarkStart w:id="728" w:name="_Toc148459143"/>
      <w:bookmarkStart w:id="729" w:name="_Toc16174"/>
      <w:bookmarkStart w:id="730" w:name="_Toc10625"/>
      <w:bookmarkStart w:id="731" w:name="_Toc789"/>
      <w:r>
        <w:rPr>
          <w:rFonts w:hint="eastAsia"/>
          <w:b/>
          <w:bCs/>
          <w:sz w:val="36"/>
          <w:szCs w:val="36"/>
        </w:rPr>
        <w:t>第四章  招标内容及要求</w:t>
      </w:r>
      <w:bookmarkEnd w:id="723"/>
      <w:bookmarkEnd w:id="724"/>
      <w:bookmarkEnd w:id="725"/>
      <w:bookmarkEnd w:id="726"/>
      <w:bookmarkEnd w:id="727"/>
      <w:bookmarkEnd w:id="728"/>
      <w:bookmarkEnd w:id="729"/>
      <w:bookmarkEnd w:id="730"/>
      <w:bookmarkEnd w:id="731"/>
    </w:p>
    <w:p>
      <w:pPr>
        <w:spacing w:line="360" w:lineRule="auto"/>
        <w:ind w:firstLine="482" w:firstLineChars="200"/>
        <w:rPr>
          <w:rFonts w:cs="宋体"/>
          <w:b/>
          <w:bCs/>
          <w:sz w:val="24"/>
        </w:rPr>
      </w:pPr>
      <w:r>
        <w:rPr>
          <w:rFonts w:hint="eastAsia" w:cs="宋体"/>
          <w:b/>
          <w:bCs/>
          <w:sz w:val="24"/>
        </w:rPr>
        <w:t>提示说明：</w:t>
      </w:r>
    </w:p>
    <w:p>
      <w:pPr>
        <w:spacing w:line="360" w:lineRule="auto"/>
        <w:ind w:firstLine="482" w:firstLineChars="200"/>
        <w:rPr>
          <w:rFonts w:cs="宋体"/>
          <w:b/>
          <w:bCs/>
          <w:sz w:val="24"/>
        </w:rPr>
      </w:pPr>
      <w:r>
        <w:rPr>
          <w:rFonts w:hint="eastAsia" w:cs="宋体"/>
          <w:b/>
          <w:bCs/>
          <w:sz w:val="24"/>
        </w:rPr>
        <w:t>(1)全文中带有“★”的条款为关键性条款，对这些关键性条款的任何负偏离或不满足将作无效投标处理。</w:t>
      </w:r>
    </w:p>
    <w:p>
      <w:pPr>
        <w:spacing w:line="360" w:lineRule="auto"/>
        <w:ind w:firstLine="482" w:firstLineChars="200"/>
        <w:rPr>
          <w:rFonts w:cs="宋体"/>
          <w:b/>
          <w:bCs/>
          <w:sz w:val="24"/>
        </w:rPr>
      </w:pPr>
      <w:r>
        <w:rPr>
          <w:rFonts w:hint="eastAsia" w:cs="宋体"/>
          <w:b/>
          <w:bCs/>
          <w:sz w:val="24"/>
        </w:rPr>
        <w:t>(2)投标人必须完整提供本项目要求的所有货物和服务，否则将作无效投标处理。</w:t>
      </w:r>
    </w:p>
    <w:p>
      <w:pPr>
        <w:spacing w:line="360" w:lineRule="auto"/>
        <w:ind w:firstLine="482" w:firstLineChars="200"/>
        <w:rPr>
          <w:rFonts w:cs="宋体"/>
          <w:b/>
          <w:bCs/>
          <w:sz w:val="24"/>
        </w:rPr>
      </w:pPr>
      <w:r>
        <w:rPr>
          <w:rFonts w:hint="eastAsia" w:cs="宋体"/>
          <w:b/>
          <w:bCs/>
          <w:sz w:val="24"/>
        </w:rPr>
        <w:t>(3)招标文件中所述技术要求，应视为保证货物运行所需的最低要求，如有遗漏，投标人应予以补充，否则一旦成为中标人将认为投标人认同遗漏部分并免费提供。</w:t>
      </w:r>
    </w:p>
    <w:p>
      <w:pPr>
        <w:spacing w:line="360" w:lineRule="auto"/>
        <w:ind w:firstLine="482" w:firstLineChars="200"/>
        <w:rPr>
          <w:rFonts w:cs="宋体"/>
          <w:b/>
          <w:bCs/>
          <w:sz w:val="24"/>
        </w:rPr>
      </w:pPr>
      <w:r>
        <w:rPr>
          <w:rFonts w:hint="eastAsia" w:cs="宋体"/>
          <w:b/>
          <w:bCs/>
          <w:sz w:val="24"/>
        </w:rPr>
        <w:t>(4) 若招标文件第四章所述内容与其它部分的条款发生理解冲突，则以第四章所述内容为主；如招标文件发生变更，则相关条款的解释以更改通知为准。</w:t>
      </w:r>
    </w:p>
    <w:p>
      <w:pPr>
        <w:spacing w:line="360" w:lineRule="auto"/>
        <w:ind w:firstLine="482" w:firstLineChars="200"/>
        <w:rPr>
          <w:rFonts w:cs="宋体"/>
          <w:b/>
          <w:bCs/>
          <w:sz w:val="24"/>
        </w:rPr>
      </w:pPr>
      <w:r>
        <w:rPr>
          <w:rFonts w:hint="eastAsia" w:cs="宋体"/>
          <w:b/>
          <w:bCs/>
          <w:sz w:val="24"/>
        </w:rPr>
        <w:t>(5) 经评标委员会认定要求澄清的证明文件必须在规定的时间内提供，否则其将不具有中标候选人的资格。</w:t>
      </w:r>
    </w:p>
    <w:p>
      <w:pPr>
        <w:pStyle w:val="15"/>
        <w:spacing w:line="360" w:lineRule="auto"/>
        <w:ind w:firstLine="720" w:firstLineChars="300"/>
        <w:rPr>
          <w:b/>
          <w:bCs/>
          <w:sz w:val="36"/>
          <w:szCs w:val="36"/>
        </w:rPr>
      </w:pPr>
      <w:r>
        <w:rPr>
          <w:rFonts w:hint="eastAsia" w:hAnsi="宋体"/>
          <w:sz w:val="24"/>
          <w:szCs w:val="24"/>
        </w:rPr>
        <w:t xml:space="preserve"> </w:t>
      </w:r>
    </w:p>
    <w:p>
      <w:pPr>
        <w:outlineLvl w:val="1"/>
        <w:rPr>
          <w:b/>
          <w:bCs/>
          <w:sz w:val="28"/>
          <w:szCs w:val="28"/>
        </w:rPr>
      </w:pPr>
      <w:bookmarkStart w:id="732" w:name="_Toc21191"/>
      <w:bookmarkStart w:id="733" w:name="_Toc26343"/>
      <w:bookmarkStart w:id="734" w:name="_Toc19627"/>
      <w:bookmarkStart w:id="735" w:name="_Toc9624"/>
      <w:bookmarkStart w:id="736" w:name="_Toc18168"/>
      <w:bookmarkStart w:id="737" w:name="_Toc6280"/>
      <w:bookmarkStart w:id="738" w:name="_Toc30145"/>
      <w:r>
        <w:rPr>
          <w:rFonts w:hint="eastAsia"/>
          <w:b/>
          <w:bCs/>
          <w:sz w:val="28"/>
          <w:szCs w:val="28"/>
        </w:rPr>
        <w:t>概述</w:t>
      </w:r>
      <w:bookmarkEnd w:id="732"/>
      <w:bookmarkEnd w:id="733"/>
      <w:bookmarkEnd w:id="734"/>
      <w:bookmarkEnd w:id="735"/>
      <w:bookmarkEnd w:id="736"/>
      <w:bookmarkEnd w:id="737"/>
      <w:bookmarkEnd w:id="738"/>
    </w:p>
    <w:p>
      <w:pPr>
        <w:pStyle w:val="50"/>
        <w:numPr>
          <w:ilvl w:val="255"/>
          <w:numId w:val="0"/>
        </w:numPr>
        <w:spacing w:line="360" w:lineRule="auto"/>
        <w:jc w:val="left"/>
        <w:rPr>
          <w:rFonts w:ascii="宋体" w:hAnsi="宋体"/>
          <w:b/>
          <w:bCs/>
          <w:sz w:val="30"/>
          <w:szCs w:val="30"/>
        </w:rPr>
      </w:pPr>
      <w:r>
        <w:rPr>
          <w:rFonts w:hint="eastAsia" w:ascii="宋体" w:hAnsi="宋体"/>
          <w:b/>
          <w:bCs/>
          <w:sz w:val="30"/>
          <w:szCs w:val="30"/>
        </w:rPr>
        <w:t>机床基本情况 ：</w:t>
      </w:r>
    </w:p>
    <w:tbl>
      <w:tblPr>
        <w:tblStyle w:val="28"/>
        <w:tblW w:w="864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98"/>
        <w:gridCol w:w="6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2298" w:type="dxa"/>
            <w:vAlign w:val="center"/>
          </w:tcPr>
          <w:p>
            <w:pPr>
              <w:spacing w:line="276" w:lineRule="auto"/>
              <w:jc w:val="center"/>
              <w:rPr>
                <w:rFonts w:ascii="宋体" w:hAnsi="宋体"/>
                <w:b/>
                <w:bCs/>
                <w:sz w:val="24"/>
                <w:szCs w:val="24"/>
              </w:rPr>
            </w:pPr>
            <w:r>
              <w:rPr>
                <w:rFonts w:hint="eastAsia" w:ascii="宋体" w:hAnsi="宋体"/>
                <w:b/>
                <w:bCs/>
                <w:sz w:val="24"/>
                <w:szCs w:val="24"/>
              </w:rPr>
              <w:t>设备型号</w:t>
            </w:r>
          </w:p>
        </w:tc>
        <w:tc>
          <w:tcPr>
            <w:tcW w:w="6349" w:type="dxa"/>
            <w:vAlign w:val="center"/>
          </w:tcPr>
          <w:p>
            <w:pPr>
              <w:spacing w:line="276" w:lineRule="auto"/>
              <w:rPr>
                <w:rFonts w:ascii="宋体" w:hAnsi="宋体"/>
                <w:sz w:val="24"/>
                <w:szCs w:val="24"/>
              </w:rPr>
            </w:pPr>
            <w:r>
              <w:rPr>
                <w:rFonts w:hint="eastAsia" w:ascii="宋体" w:hAnsi="宋体"/>
                <w:sz w:val="24"/>
                <w:szCs w:val="24"/>
              </w:rPr>
              <w:t>WHN130MC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2298" w:type="dxa"/>
            <w:vAlign w:val="center"/>
          </w:tcPr>
          <w:p>
            <w:pPr>
              <w:spacing w:line="276" w:lineRule="auto"/>
              <w:jc w:val="center"/>
              <w:rPr>
                <w:rFonts w:ascii="宋体" w:hAnsi="宋体"/>
                <w:b/>
                <w:bCs/>
                <w:sz w:val="24"/>
                <w:szCs w:val="24"/>
              </w:rPr>
            </w:pPr>
            <w:r>
              <w:rPr>
                <w:rFonts w:hint="eastAsia" w:ascii="宋体" w:hAnsi="宋体"/>
                <w:b/>
                <w:bCs/>
                <w:sz w:val="24"/>
                <w:szCs w:val="24"/>
              </w:rPr>
              <w:t>机床名称</w:t>
            </w:r>
          </w:p>
        </w:tc>
        <w:tc>
          <w:tcPr>
            <w:tcW w:w="6349" w:type="dxa"/>
            <w:vAlign w:val="center"/>
          </w:tcPr>
          <w:p>
            <w:pPr>
              <w:spacing w:line="276" w:lineRule="auto"/>
              <w:rPr>
                <w:rFonts w:ascii="宋体" w:hAnsi="宋体"/>
                <w:sz w:val="24"/>
                <w:szCs w:val="24"/>
              </w:rPr>
            </w:pPr>
            <w:r>
              <w:rPr>
                <w:rFonts w:hint="eastAsia" w:ascii="宋体" w:hAnsi="宋体" w:cs="Arial"/>
                <w:spacing w:val="-18"/>
                <w:kern w:val="0"/>
                <w:sz w:val="24"/>
                <w:szCs w:val="24"/>
              </w:rPr>
              <w:t>双工位卧式铣镗加工中心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2298" w:type="dxa"/>
            <w:vAlign w:val="center"/>
          </w:tcPr>
          <w:p>
            <w:pPr>
              <w:spacing w:line="276" w:lineRule="auto"/>
              <w:jc w:val="center"/>
              <w:rPr>
                <w:rFonts w:ascii="宋体" w:hAnsi="宋体"/>
                <w:b/>
                <w:bCs/>
                <w:sz w:val="24"/>
                <w:szCs w:val="24"/>
              </w:rPr>
            </w:pPr>
            <w:r>
              <w:rPr>
                <w:rFonts w:hint="eastAsia" w:ascii="宋体" w:hAnsi="宋体"/>
                <w:b/>
                <w:bCs/>
                <w:sz w:val="24"/>
                <w:szCs w:val="24"/>
              </w:rPr>
              <w:t>制造厂商</w:t>
            </w:r>
          </w:p>
        </w:tc>
        <w:tc>
          <w:tcPr>
            <w:tcW w:w="6349" w:type="dxa"/>
            <w:vAlign w:val="center"/>
          </w:tcPr>
          <w:p>
            <w:pPr>
              <w:spacing w:line="276" w:lineRule="auto"/>
              <w:rPr>
                <w:rFonts w:hint="default" w:ascii="宋体" w:hAnsi="宋体" w:eastAsia="宋体"/>
                <w:sz w:val="24"/>
                <w:szCs w:val="24"/>
                <w:lang w:val="en-US" w:eastAsia="zh-CN"/>
              </w:rPr>
            </w:pPr>
            <w:r>
              <w:rPr>
                <w:rFonts w:hint="eastAsia" w:ascii="宋体" w:hAnsi="宋体"/>
                <w:sz w:val="24"/>
                <w:szCs w:val="24"/>
              </w:rPr>
              <w:t>昆明道斯</w:t>
            </w:r>
            <w:r>
              <w:rPr>
                <w:rFonts w:hint="eastAsia" w:ascii="宋体" w:hAnsi="宋体"/>
                <w:sz w:val="24"/>
                <w:szCs w:val="24"/>
                <w:lang w:val="en-US" w:eastAsia="zh-CN"/>
              </w:rPr>
              <w:t>机床有限公司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2298" w:type="dxa"/>
            <w:vAlign w:val="center"/>
          </w:tcPr>
          <w:p>
            <w:pPr>
              <w:spacing w:line="276" w:lineRule="auto"/>
              <w:jc w:val="center"/>
              <w:rPr>
                <w:rFonts w:ascii="宋体" w:hAnsi="宋体"/>
                <w:b/>
                <w:bCs/>
                <w:sz w:val="24"/>
                <w:szCs w:val="24"/>
              </w:rPr>
            </w:pPr>
            <w:r>
              <w:rPr>
                <w:rFonts w:hint="eastAsia" w:ascii="宋体" w:hAnsi="宋体"/>
                <w:b/>
                <w:bCs/>
                <w:sz w:val="24"/>
                <w:szCs w:val="24"/>
              </w:rPr>
              <w:t>设备编号</w:t>
            </w:r>
          </w:p>
        </w:tc>
        <w:tc>
          <w:tcPr>
            <w:tcW w:w="6349" w:type="dxa"/>
            <w:vAlign w:val="center"/>
          </w:tcPr>
          <w:p>
            <w:pPr>
              <w:spacing w:line="276" w:lineRule="auto"/>
              <w:rPr>
                <w:rFonts w:ascii="宋体" w:hAnsi="宋体"/>
                <w:sz w:val="24"/>
                <w:szCs w:val="24"/>
              </w:rPr>
            </w:pPr>
            <w:r>
              <w:rPr>
                <w:rFonts w:hint="eastAsia" w:ascii="宋体" w:hAnsi="宋体"/>
                <w:sz w:val="24"/>
                <w:szCs w:val="24"/>
              </w:rPr>
              <w:t>004-17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2298" w:type="dxa"/>
            <w:vAlign w:val="center"/>
          </w:tcPr>
          <w:p>
            <w:pPr>
              <w:spacing w:line="276" w:lineRule="auto"/>
              <w:jc w:val="center"/>
              <w:rPr>
                <w:rFonts w:ascii="宋体" w:hAnsi="宋体"/>
                <w:b/>
                <w:bCs/>
                <w:sz w:val="24"/>
                <w:szCs w:val="24"/>
              </w:rPr>
            </w:pPr>
            <w:r>
              <w:rPr>
                <w:rFonts w:hint="eastAsia" w:ascii="宋体" w:hAnsi="宋体"/>
                <w:b/>
                <w:bCs/>
                <w:sz w:val="24"/>
                <w:szCs w:val="24"/>
              </w:rPr>
              <w:t>维修等级</w:t>
            </w:r>
          </w:p>
        </w:tc>
        <w:tc>
          <w:tcPr>
            <w:tcW w:w="6349" w:type="dxa"/>
            <w:vAlign w:val="center"/>
          </w:tcPr>
          <w:p>
            <w:pPr>
              <w:spacing w:line="276" w:lineRule="auto"/>
              <w:rPr>
                <w:rFonts w:ascii="宋体" w:hAnsi="宋体"/>
                <w:sz w:val="24"/>
                <w:szCs w:val="24"/>
              </w:rPr>
            </w:pPr>
            <w:r>
              <w:rPr>
                <w:rFonts w:hint="eastAsia" w:ascii="宋体" w:hAnsi="宋体"/>
                <w:sz w:val="24"/>
                <w:szCs w:val="24"/>
              </w:rPr>
              <w:t>系统全新升级，设备项修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2298" w:type="dxa"/>
            <w:vAlign w:val="center"/>
          </w:tcPr>
          <w:p>
            <w:pPr>
              <w:spacing w:line="276" w:lineRule="auto"/>
              <w:jc w:val="center"/>
              <w:rPr>
                <w:rFonts w:ascii="宋体" w:hAnsi="宋体"/>
                <w:b/>
                <w:bCs/>
                <w:sz w:val="24"/>
                <w:szCs w:val="24"/>
              </w:rPr>
            </w:pPr>
            <w:r>
              <w:rPr>
                <w:rFonts w:hint="eastAsia" w:ascii="宋体" w:hAnsi="宋体"/>
                <w:b/>
                <w:bCs/>
                <w:sz w:val="24"/>
                <w:szCs w:val="24"/>
              </w:rPr>
              <w:t>验收标准</w:t>
            </w:r>
          </w:p>
        </w:tc>
        <w:tc>
          <w:tcPr>
            <w:tcW w:w="6349" w:type="dxa"/>
            <w:vAlign w:val="center"/>
          </w:tcPr>
          <w:p>
            <w:pPr>
              <w:spacing w:line="276" w:lineRule="auto"/>
              <w:rPr>
                <w:rFonts w:ascii="宋体" w:hAnsi="宋体"/>
                <w:sz w:val="24"/>
                <w:szCs w:val="24"/>
              </w:rPr>
            </w:pPr>
            <w:r>
              <w:rPr>
                <w:rFonts w:hint="eastAsia" w:ascii="宋体" w:hAnsi="宋体"/>
                <w:sz w:val="24"/>
                <w:szCs w:val="24"/>
              </w:rPr>
              <w:t xml:space="preserve">西门子828D系统及以上，功能无缝衔接； </w:t>
            </w:r>
          </w:p>
          <w:p>
            <w:pPr>
              <w:spacing w:line="276" w:lineRule="auto"/>
              <w:rPr>
                <w:rFonts w:ascii="宋体" w:hAnsi="宋体"/>
                <w:sz w:val="24"/>
                <w:szCs w:val="24"/>
              </w:rPr>
            </w:pPr>
            <w:r>
              <w:rPr>
                <w:rFonts w:hint="eastAsia" w:ascii="宋体" w:hAnsi="宋体"/>
                <w:sz w:val="24"/>
                <w:szCs w:val="24"/>
              </w:rPr>
              <w:t>机床精度达到新机出厂标准，质保1</w:t>
            </w:r>
            <w:r>
              <w:rPr>
                <w:rFonts w:ascii="宋体" w:hAnsi="宋体"/>
                <w:sz w:val="24"/>
                <w:szCs w:val="24"/>
              </w:rPr>
              <w:t>2</w:t>
            </w:r>
            <w:r>
              <w:rPr>
                <w:rFonts w:hint="eastAsia" w:ascii="宋体" w:hAnsi="宋体"/>
                <w:sz w:val="24"/>
                <w:szCs w:val="24"/>
              </w:rPr>
              <w:t xml:space="preserve">个月；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atLeast"/>
          <w:jc w:val="center"/>
        </w:trPr>
        <w:tc>
          <w:tcPr>
            <w:tcW w:w="2298" w:type="dxa"/>
            <w:vAlign w:val="center"/>
          </w:tcPr>
          <w:p>
            <w:pPr>
              <w:spacing w:line="276" w:lineRule="auto"/>
              <w:jc w:val="center"/>
              <w:rPr>
                <w:rFonts w:ascii="宋体" w:hAnsi="宋体"/>
                <w:sz w:val="24"/>
                <w:szCs w:val="24"/>
              </w:rPr>
            </w:pPr>
            <w:r>
              <w:rPr>
                <w:rFonts w:hint="eastAsia" w:ascii="宋体" w:hAnsi="宋体"/>
                <w:sz w:val="24"/>
                <w:szCs w:val="24"/>
              </w:rPr>
              <w:t>设备状况</w:t>
            </w:r>
          </w:p>
        </w:tc>
        <w:tc>
          <w:tcPr>
            <w:tcW w:w="6349" w:type="dxa"/>
            <w:vAlign w:val="center"/>
          </w:tcPr>
          <w:p>
            <w:pPr>
              <w:spacing w:line="276" w:lineRule="auto"/>
              <w:ind w:left="480" w:hanging="480" w:hangingChars="200"/>
              <w:rPr>
                <w:rFonts w:ascii="宋体" w:hAnsi="宋体"/>
                <w:sz w:val="24"/>
                <w:szCs w:val="24"/>
              </w:rPr>
            </w:pPr>
            <w:r>
              <w:rPr>
                <w:rFonts w:hint="eastAsia" w:ascii="宋体" w:hAnsi="宋体"/>
                <w:sz w:val="24"/>
                <w:szCs w:val="24"/>
              </w:rPr>
              <w:t>1、 海德汉数控系统老旧，MCC主机模块已停产，出现异常报警后不易修复，影响正常生产；</w:t>
            </w:r>
          </w:p>
          <w:p>
            <w:pPr>
              <w:spacing w:line="276" w:lineRule="auto"/>
              <w:ind w:left="480" w:hanging="480" w:hangingChars="200"/>
              <w:rPr>
                <w:rFonts w:ascii="宋体" w:hAnsi="宋体"/>
                <w:sz w:val="24"/>
                <w:szCs w:val="24"/>
              </w:rPr>
            </w:pPr>
            <w:r>
              <w:rPr>
                <w:rFonts w:hint="eastAsia" w:ascii="宋体" w:hAnsi="宋体"/>
                <w:sz w:val="24"/>
                <w:szCs w:val="24"/>
              </w:rPr>
              <w:t>2、 电缆破损接触不良，易产生信息误报；</w:t>
            </w:r>
          </w:p>
          <w:p>
            <w:pPr>
              <w:spacing w:line="276" w:lineRule="auto"/>
              <w:ind w:left="480" w:hanging="480" w:hangingChars="200"/>
              <w:rPr>
                <w:rFonts w:ascii="宋体" w:hAnsi="宋体"/>
                <w:sz w:val="24"/>
                <w:szCs w:val="24"/>
              </w:rPr>
            </w:pPr>
            <w:r>
              <w:rPr>
                <w:rFonts w:hint="eastAsia" w:ascii="宋体" w:hAnsi="宋体"/>
                <w:sz w:val="24"/>
                <w:szCs w:val="24"/>
              </w:rPr>
              <w:t>3、 电柜老旧，重新做漆，更新升级柜内相关模块；</w:t>
            </w:r>
          </w:p>
          <w:p>
            <w:pPr>
              <w:spacing w:line="276" w:lineRule="auto"/>
              <w:ind w:left="480" w:hanging="480" w:hangingChars="200"/>
              <w:rPr>
                <w:rFonts w:ascii="宋体" w:hAnsi="宋体"/>
                <w:sz w:val="24"/>
                <w:szCs w:val="24"/>
              </w:rPr>
            </w:pPr>
            <w:r>
              <w:rPr>
                <w:rFonts w:hint="eastAsia" w:ascii="宋体" w:hAnsi="宋体"/>
                <w:sz w:val="24"/>
                <w:szCs w:val="24"/>
              </w:rPr>
              <w:t>4、 机床各直线轴导轨磨损严重，导轨贴塑老化，进给负载超差、爬行，设备不能满足日常生产任务，处于异常工作状态；</w:t>
            </w:r>
          </w:p>
          <w:p>
            <w:pPr>
              <w:spacing w:line="276" w:lineRule="auto"/>
              <w:ind w:left="480" w:hanging="480" w:hangingChars="200"/>
              <w:rPr>
                <w:rFonts w:ascii="宋体" w:hAnsi="宋体"/>
                <w:sz w:val="24"/>
                <w:szCs w:val="24"/>
              </w:rPr>
            </w:pPr>
            <w:r>
              <w:rPr>
                <w:rFonts w:hint="eastAsia" w:ascii="宋体" w:hAnsi="宋体"/>
                <w:sz w:val="24"/>
                <w:szCs w:val="24"/>
              </w:rPr>
              <w:t>5、 整机液压、润滑油路长期工作，无完整保养；</w:t>
            </w:r>
          </w:p>
          <w:p>
            <w:pPr>
              <w:spacing w:line="276" w:lineRule="auto"/>
              <w:ind w:left="480" w:hanging="480" w:hangingChars="200"/>
              <w:rPr>
                <w:rFonts w:ascii="宋体" w:hAnsi="宋体"/>
                <w:sz w:val="24"/>
                <w:szCs w:val="24"/>
              </w:rPr>
            </w:pPr>
            <w:r>
              <w:rPr>
                <w:rFonts w:hint="eastAsia" w:ascii="宋体" w:hAnsi="宋体"/>
                <w:sz w:val="24"/>
                <w:szCs w:val="24"/>
              </w:rPr>
              <w:t>6、 主轴镗杆与锥孔磨损、精度下降、发热有噪音；</w:t>
            </w:r>
          </w:p>
          <w:p>
            <w:pPr>
              <w:spacing w:line="276" w:lineRule="auto"/>
              <w:ind w:left="480" w:hanging="480" w:hangingChars="200"/>
              <w:rPr>
                <w:rFonts w:ascii="宋体" w:hAnsi="宋体"/>
                <w:sz w:val="24"/>
                <w:szCs w:val="24"/>
              </w:rPr>
            </w:pPr>
            <w:r>
              <w:rPr>
                <w:rFonts w:hint="eastAsia" w:ascii="宋体" w:hAnsi="宋体"/>
                <w:sz w:val="24"/>
                <w:szCs w:val="24"/>
              </w:rPr>
              <w:t xml:space="preserve">7、 主轴箱内部轴承、隔套等磨损严重、主轴旋转时箱体振动； </w:t>
            </w:r>
          </w:p>
          <w:p>
            <w:pPr>
              <w:spacing w:line="276" w:lineRule="auto"/>
              <w:ind w:left="480" w:hanging="480" w:hangingChars="200"/>
              <w:rPr>
                <w:rFonts w:ascii="宋体" w:hAnsi="宋体"/>
                <w:sz w:val="24"/>
                <w:szCs w:val="24"/>
              </w:rPr>
            </w:pPr>
            <w:r>
              <w:rPr>
                <w:rFonts w:hint="eastAsia" w:ascii="宋体" w:hAnsi="宋体"/>
                <w:sz w:val="24"/>
                <w:szCs w:val="24"/>
              </w:rPr>
              <w:t>8、 工作台B轴旋转抖动，影响设备使用效率与零件加工精度；</w:t>
            </w:r>
          </w:p>
          <w:p>
            <w:pPr>
              <w:spacing w:line="276" w:lineRule="auto"/>
              <w:ind w:left="480" w:hanging="480" w:hangingChars="200"/>
              <w:rPr>
                <w:rFonts w:ascii="宋体" w:hAnsi="宋体"/>
                <w:sz w:val="24"/>
                <w:szCs w:val="24"/>
              </w:rPr>
            </w:pPr>
            <w:r>
              <w:rPr>
                <w:rFonts w:hint="eastAsia" w:ascii="宋体" w:hAnsi="宋体"/>
                <w:sz w:val="24"/>
                <w:szCs w:val="24"/>
              </w:rPr>
              <w:t xml:space="preserve">9、 双工位交换台换台有卡顿情况，需进行整体保养； </w:t>
            </w:r>
          </w:p>
          <w:p>
            <w:pPr>
              <w:spacing w:line="276" w:lineRule="auto"/>
              <w:ind w:left="480" w:hanging="480" w:hangingChars="200"/>
              <w:rPr>
                <w:rFonts w:ascii="宋体" w:hAnsi="宋体"/>
                <w:sz w:val="24"/>
                <w:szCs w:val="24"/>
              </w:rPr>
            </w:pPr>
            <w:r>
              <w:rPr>
                <w:rFonts w:hint="eastAsia" w:ascii="宋体" w:hAnsi="宋体"/>
                <w:sz w:val="24"/>
                <w:szCs w:val="24"/>
              </w:rPr>
              <w:t>10、设备状况，最终以机床停机前，双方技术人员签字确认。</w:t>
            </w:r>
          </w:p>
        </w:tc>
      </w:tr>
    </w:tbl>
    <w:p>
      <w:pPr>
        <w:pStyle w:val="2"/>
      </w:pPr>
    </w:p>
    <w:p>
      <w:pPr>
        <w:numPr>
          <w:ilvl w:val="0"/>
          <w:numId w:val="4"/>
        </w:numPr>
        <w:adjustRightInd w:val="0"/>
        <w:snapToGrid w:val="0"/>
        <w:spacing w:line="360" w:lineRule="auto"/>
        <w:outlineLvl w:val="1"/>
        <w:rPr>
          <w:rFonts w:cs="宋体"/>
          <w:bCs/>
          <w:sz w:val="24"/>
          <w:szCs w:val="24"/>
        </w:rPr>
      </w:pPr>
      <w:bookmarkStart w:id="739" w:name="_Toc15876"/>
      <w:bookmarkStart w:id="740" w:name="_Toc23902"/>
      <w:bookmarkStart w:id="741" w:name="_Toc2267"/>
      <w:bookmarkStart w:id="742" w:name="_Toc27872"/>
      <w:bookmarkStart w:id="743" w:name="_Toc13859"/>
      <w:r>
        <w:rPr>
          <w:rFonts w:hint="eastAsia" w:cs="宋体"/>
          <w:bCs/>
          <w:sz w:val="24"/>
          <w:szCs w:val="24"/>
        </w:rPr>
        <w:t>维修技术方案概述</w:t>
      </w:r>
      <w:bookmarkEnd w:id="739"/>
      <w:bookmarkEnd w:id="740"/>
      <w:bookmarkEnd w:id="741"/>
      <w:bookmarkEnd w:id="742"/>
    </w:p>
    <w:bookmarkEnd w:id="743"/>
    <w:p>
      <w:pPr>
        <w:numPr>
          <w:ilvl w:val="255"/>
          <w:numId w:val="0"/>
        </w:numPr>
        <w:adjustRightInd w:val="0"/>
        <w:snapToGrid w:val="0"/>
        <w:spacing w:line="360" w:lineRule="auto"/>
        <w:outlineLvl w:val="9"/>
        <w:rPr>
          <w:rFonts w:cs="宋体"/>
          <w:bCs/>
          <w:sz w:val="24"/>
          <w:szCs w:val="24"/>
        </w:rPr>
      </w:pPr>
      <w:r>
        <w:rPr>
          <w:rFonts w:hint="eastAsia" w:cs="宋体"/>
          <w:bCs/>
          <w:sz w:val="24"/>
          <w:szCs w:val="24"/>
        </w:rPr>
        <w:t>（一）维修模式：</w:t>
      </w:r>
    </w:p>
    <w:p>
      <w:pPr>
        <w:numPr>
          <w:ilvl w:val="0"/>
          <w:numId w:val="5"/>
        </w:numPr>
        <w:spacing w:line="360" w:lineRule="auto"/>
        <w:ind w:right="-341" w:firstLine="480" w:firstLineChars="200"/>
        <w:jc w:val="left"/>
        <w:rPr>
          <w:rFonts w:ascii="宋体" w:hAnsi="宋体"/>
          <w:bCs/>
          <w:sz w:val="24"/>
        </w:rPr>
      </w:pPr>
      <w:r>
        <w:rPr>
          <w:rFonts w:hint="eastAsia" w:ascii="宋体" w:hAnsi="宋体"/>
          <w:bCs/>
          <w:sz w:val="24"/>
        </w:rPr>
        <w:t>选择西门子原生数控系统，系统更加高级、先进，面向未来。确保设备改造后操作系统在未来很长一段时间内仍具有强大的实用性，稳定性。</w:t>
      </w:r>
    </w:p>
    <w:p>
      <w:pPr>
        <w:spacing w:line="360" w:lineRule="auto"/>
        <w:ind w:right="-341" w:firstLine="420"/>
        <w:jc w:val="left"/>
        <w:rPr>
          <w:rFonts w:ascii="宋体" w:hAnsi="宋体"/>
          <w:sz w:val="24"/>
          <w:szCs w:val="24"/>
        </w:rPr>
      </w:pPr>
      <w:r>
        <w:rPr>
          <w:rFonts w:hint="eastAsia" w:ascii="宋体" w:hAnsi="宋体"/>
          <w:sz w:val="24"/>
          <w:szCs w:val="24"/>
        </w:rPr>
        <w:t>整机控制程序与系统参数升级至欧洲道斯最新原装程序，原机所有功能无缝衔接，并开发道斯专用人机交互控制界面。</w:t>
      </w:r>
    </w:p>
    <w:p>
      <w:pPr>
        <w:spacing w:line="360" w:lineRule="auto"/>
        <w:ind w:right="-341" w:firstLine="480" w:firstLineChars="200"/>
        <w:jc w:val="left"/>
        <w:rPr>
          <w:rFonts w:ascii="宋体" w:hAnsi="宋体"/>
          <w:sz w:val="24"/>
          <w:szCs w:val="24"/>
        </w:rPr>
      </w:pPr>
      <w:r>
        <w:rPr>
          <w:rFonts w:hint="eastAsia" w:ascii="宋体" w:hAnsi="宋体"/>
          <w:sz w:val="24"/>
          <w:szCs w:val="24"/>
        </w:rPr>
        <w:t>2、对机床进行彻底的解体、清洗与检查。</w:t>
      </w:r>
    </w:p>
    <w:p>
      <w:pPr>
        <w:spacing w:line="360" w:lineRule="auto"/>
        <w:ind w:right="-341" w:firstLine="480" w:firstLineChars="200"/>
        <w:jc w:val="left"/>
        <w:rPr>
          <w:rFonts w:ascii="宋体" w:hAnsi="宋体"/>
          <w:sz w:val="24"/>
          <w:szCs w:val="24"/>
        </w:rPr>
      </w:pPr>
      <w:r>
        <w:rPr>
          <w:rFonts w:hint="eastAsia" w:ascii="宋体" w:hAnsi="宋体"/>
          <w:sz w:val="24"/>
          <w:szCs w:val="24"/>
        </w:rPr>
        <w:t>3、</w:t>
      </w:r>
      <w:r>
        <w:rPr>
          <w:rFonts w:hint="eastAsia" w:ascii="宋体" w:hAnsi="宋体" w:eastAsia="宋体" w:cs="Times New Roman"/>
          <w:b w:val="0"/>
          <w:sz w:val="24"/>
          <w:szCs w:val="20"/>
          <w:lang w:val="en-US" w:eastAsia="zh-CN"/>
        </w:rPr>
        <w:t>上德国科宝磨床全新磨削Z轴后床身，与及其它需要磨削的床身与大件。</w:t>
      </w:r>
    </w:p>
    <w:p>
      <w:pPr>
        <w:spacing w:line="360" w:lineRule="auto"/>
        <w:ind w:right="-341" w:firstLine="480" w:firstLineChars="200"/>
        <w:jc w:val="left"/>
        <w:rPr>
          <w:rFonts w:ascii="宋体" w:hAnsi="宋体"/>
          <w:sz w:val="24"/>
          <w:szCs w:val="24"/>
        </w:rPr>
      </w:pPr>
      <w:r>
        <w:rPr>
          <w:rFonts w:hint="eastAsia" w:ascii="宋体" w:hAnsi="宋体"/>
          <w:sz w:val="24"/>
          <w:szCs w:val="24"/>
        </w:rPr>
        <w:t>4、更换主轴系统所有</w:t>
      </w:r>
      <w:r>
        <w:rPr>
          <w:rFonts w:hint="eastAsia" w:ascii="宋体" w:hAnsi="宋体"/>
          <w:color w:val="EE0000"/>
          <w:sz w:val="24"/>
          <w:szCs w:val="24"/>
        </w:rPr>
        <w:t>失效，损坏的</w:t>
      </w:r>
      <w:r>
        <w:rPr>
          <w:rFonts w:hint="eastAsia" w:ascii="宋体" w:hAnsi="宋体"/>
          <w:sz w:val="24"/>
          <w:szCs w:val="24"/>
        </w:rPr>
        <w:t>轴承、保养主轴箱润滑系统。</w:t>
      </w:r>
    </w:p>
    <w:p>
      <w:pPr>
        <w:spacing w:line="360" w:lineRule="auto"/>
        <w:ind w:right="-341" w:firstLine="480" w:firstLineChars="200"/>
        <w:jc w:val="left"/>
        <w:rPr>
          <w:rFonts w:ascii="宋体" w:hAnsi="宋体"/>
          <w:sz w:val="24"/>
          <w:szCs w:val="24"/>
        </w:rPr>
      </w:pPr>
      <w:r>
        <w:rPr>
          <w:rFonts w:hint="eastAsia" w:ascii="宋体" w:hAnsi="宋体"/>
          <w:sz w:val="24"/>
          <w:szCs w:val="24"/>
        </w:rPr>
        <w:t>5、保养双工位交换台。</w:t>
      </w:r>
    </w:p>
    <w:p>
      <w:pPr>
        <w:spacing w:line="360" w:lineRule="auto"/>
        <w:ind w:right="-341" w:firstLine="480" w:firstLineChars="200"/>
        <w:jc w:val="left"/>
        <w:rPr>
          <w:rFonts w:ascii="宋体" w:hAnsi="宋体"/>
          <w:sz w:val="24"/>
          <w:szCs w:val="24"/>
        </w:rPr>
      </w:pPr>
      <w:r>
        <w:rPr>
          <w:rFonts w:hint="eastAsia" w:ascii="宋体" w:hAnsi="宋体"/>
          <w:sz w:val="24"/>
          <w:szCs w:val="24"/>
        </w:rPr>
        <w:t>6、更换其它损坏的零部件及易损件（费用限1万元内）。</w:t>
      </w:r>
    </w:p>
    <w:p>
      <w:pPr>
        <w:spacing w:line="360" w:lineRule="auto"/>
        <w:ind w:right="-341" w:firstLine="480" w:firstLineChars="200"/>
        <w:jc w:val="left"/>
        <w:rPr>
          <w:rFonts w:ascii="宋体" w:hAnsi="宋体"/>
          <w:sz w:val="24"/>
          <w:szCs w:val="24"/>
        </w:rPr>
      </w:pPr>
      <w:r>
        <w:rPr>
          <w:rFonts w:hint="eastAsia" w:ascii="宋体" w:hAnsi="宋体"/>
          <w:sz w:val="24"/>
          <w:szCs w:val="24"/>
        </w:rPr>
        <w:t>7、完成所有修理工作，恢复设备至出厂精度，交付使用</w:t>
      </w:r>
    </w:p>
    <w:p>
      <w:pPr>
        <w:spacing w:line="360" w:lineRule="auto"/>
        <w:ind w:right="-341" w:firstLine="480" w:firstLineChars="200"/>
        <w:jc w:val="left"/>
        <w:rPr>
          <w:rFonts w:ascii="宋体" w:hAnsi="宋体"/>
          <w:sz w:val="24"/>
          <w:szCs w:val="24"/>
        </w:rPr>
      </w:pPr>
      <w:r>
        <w:rPr>
          <w:rFonts w:hint="eastAsia" w:ascii="宋体" w:hAnsi="宋体"/>
          <w:sz w:val="24"/>
          <w:szCs w:val="24"/>
        </w:rPr>
        <w:t>机床预检的范围包括机床的精度、现存的问题、机床控制功能。通过此次预检，记录机床的几何精度、并进一步确认机床已存在的问题和发现有可能隐藏的问题，此次预检得到的信息，作为机床大修时的重要参考。</w:t>
      </w:r>
    </w:p>
    <w:p>
      <w:pPr>
        <w:numPr>
          <w:ilvl w:val="0"/>
          <w:numId w:val="6"/>
        </w:numPr>
        <w:adjustRightInd w:val="0"/>
        <w:snapToGrid w:val="0"/>
        <w:spacing w:line="360" w:lineRule="auto"/>
        <w:rPr>
          <w:rFonts w:cs="宋体"/>
          <w:bCs/>
          <w:sz w:val="24"/>
          <w:szCs w:val="24"/>
        </w:rPr>
      </w:pPr>
      <w:r>
        <w:rPr>
          <w:rFonts w:hint="eastAsia" w:cs="宋体"/>
          <w:bCs/>
          <w:sz w:val="24"/>
          <w:szCs w:val="24"/>
        </w:rPr>
        <w:t>工作内容：</w:t>
      </w:r>
    </w:p>
    <w:p>
      <w:pPr>
        <w:numPr>
          <w:ilvl w:val="0"/>
          <w:numId w:val="7"/>
        </w:numPr>
        <w:spacing w:line="360" w:lineRule="auto"/>
        <w:ind w:right="-341" w:firstLine="480" w:firstLineChars="200"/>
        <w:jc w:val="left"/>
        <w:rPr>
          <w:rFonts w:ascii="宋体" w:hAnsi="宋体"/>
          <w:sz w:val="24"/>
          <w:szCs w:val="24"/>
        </w:rPr>
      </w:pPr>
      <w:r>
        <w:rPr>
          <w:rFonts w:hint="eastAsia" w:ascii="宋体" w:hAnsi="宋体"/>
          <w:sz w:val="24"/>
          <w:szCs w:val="24"/>
        </w:rPr>
        <w:t>电气部分：</w:t>
      </w:r>
    </w:p>
    <w:p>
      <w:pPr>
        <w:tabs>
          <w:tab w:val="left" w:pos="0"/>
          <w:tab w:val="left" w:pos="567"/>
        </w:tabs>
        <w:spacing w:line="360" w:lineRule="auto"/>
        <w:rPr>
          <w:rFonts w:ascii="宋体" w:hAnsi="宋体"/>
          <w:sz w:val="24"/>
          <w:szCs w:val="24"/>
        </w:rPr>
      </w:pPr>
      <w:r>
        <w:rPr>
          <w:rFonts w:hint="eastAsia" w:ascii="宋体" w:hAnsi="宋体"/>
          <w:sz w:val="24"/>
          <w:szCs w:val="24"/>
        </w:rPr>
        <w:tab/>
      </w:r>
      <w:r>
        <w:rPr>
          <w:rFonts w:hint="eastAsia" w:ascii="宋体" w:hAnsi="宋体"/>
          <w:sz w:val="24"/>
          <w:szCs w:val="24"/>
        </w:rPr>
        <w:t>概述：重新设计机床电气控制系统，数控系统选用德国西门子SINUMERIK系统，配置欧洲道斯最新</w:t>
      </w:r>
      <w:r>
        <w:rPr>
          <w:rFonts w:ascii="宋体" w:hAnsi="宋体"/>
          <w:sz w:val="24"/>
          <w:szCs w:val="24"/>
        </w:rPr>
        <w:t>数控系统</w:t>
      </w:r>
      <w:r>
        <w:rPr>
          <w:rFonts w:hint="eastAsia" w:ascii="宋体" w:hAnsi="宋体"/>
          <w:sz w:val="24"/>
          <w:szCs w:val="24"/>
        </w:rPr>
        <w:t>程序与参数，所有原机功能无缝升级衔接。</w:t>
      </w:r>
    </w:p>
    <w:p>
      <w:pPr>
        <w:outlineLvl w:val="9"/>
        <w:rPr>
          <w:rFonts w:ascii="宋体" w:hAnsi="宋体" w:eastAsia="宋体" w:cs="Times New Roman"/>
          <w:b w:val="0"/>
          <w:bCs w:val="0"/>
          <w:sz w:val="24"/>
          <w:szCs w:val="24"/>
        </w:rPr>
      </w:pPr>
      <w:r>
        <w:rPr>
          <w:rFonts w:hint="eastAsia" w:ascii="宋体" w:hAnsi="宋体" w:eastAsia="宋体" w:cs="Times New Roman"/>
          <w:b w:val="0"/>
          <w:bCs w:val="0"/>
          <w:sz w:val="24"/>
          <w:szCs w:val="24"/>
        </w:rPr>
        <w:t>SINUMERIK系统具备断电数据保护功能，不用再担心系统老化，数据、加工程序丢失问题。</w:t>
      </w:r>
    </w:p>
    <w:tbl>
      <w:tblPr>
        <w:tblStyle w:val="28"/>
        <w:tblW w:w="905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7122"/>
        <w:gridCol w:w="11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1.1</w:t>
            </w:r>
          </w:p>
        </w:tc>
        <w:tc>
          <w:tcPr>
            <w:tcW w:w="7122" w:type="dxa"/>
          </w:tcPr>
          <w:p>
            <w:pPr>
              <w:tabs>
                <w:tab w:val="left" w:pos="0"/>
                <w:tab w:val="left" w:pos="567"/>
              </w:tabs>
              <w:spacing w:line="360" w:lineRule="auto"/>
              <w:rPr>
                <w:rFonts w:hint="eastAsia" w:ascii="宋体" w:hAnsi="宋体"/>
                <w:sz w:val="24"/>
                <w:szCs w:val="24"/>
              </w:rPr>
            </w:pPr>
            <w:r>
              <w:rPr>
                <w:rFonts w:hint="eastAsia" w:ascii="宋体" w:hAnsi="宋体"/>
                <w:sz w:val="24"/>
                <w:szCs w:val="24"/>
              </w:rPr>
              <w:t>欧洲道斯最新数控系统程序包括但不限于以下控制功能：</w:t>
            </w:r>
          </w:p>
          <w:p>
            <w:pPr>
              <w:tabs>
                <w:tab w:val="left" w:pos="0"/>
                <w:tab w:val="left" w:pos="567"/>
              </w:tabs>
              <w:spacing w:line="360" w:lineRule="auto"/>
              <w:rPr>
                <w:rFonts w:hint="eastAsia" w:ascii="宋体" w:hAnsi="宋体"/>
                <w:sz w:val="24"/>
                <w:szCs w:val="24"/>
              </w:rPr>
            </w:pPr>
            <w:r>
              <w:rPr>
                <w:rFonts w:hint="eastAsia" w:ascii="宋体" w:hAnsi="宋体"/>
                <w:sz w:val="24"/>
                <w:szCs w:val="24"/>
              </w:rPr>
              <w:t>o机床各轴的控制和保护程序；</w:t>
            </w:r>
          </w:p>
          <w:p>
            <w:pPr>
              <w:tabs>
                <w:tab w:val="left" w:pos="0"/>
                <w:tab w:val="left" w:pos="567"/>
              </w:tabs>
              <w:spacing w:line="360" w:lineRule="auto"/>
              <w:rPr>
                <w:rFonts w:hint="eastAsia" w:ascii="宋体" w:hAnsi="宋体"/>
                <w:sz w:val="24"/>
                <w:szCs w:val="24"/>
              </w:rPr>
            </w:pPr>
            <w:r>
              <w:rPr>
                <w:rFonts w:hint="eastAsia" w:ascii="宋体" w:hAnsi="宋体"/>
                <w:sz w:val="24"/>
                <w:szCs w:val="24"/>
              </w:rPr>
              <w:t>o机床液压的控制和保护程序；</w:t>
            </w:r>
          </w:p>
          <w:p>
            <w:pPr>
              <w:tabs>
                <w:tab w:val="left" w:pos="0"/>
                <w:tab w:val="left" w:pos="567"/>
              </w:tabs>
              <w:spacing w:line="360" w:lineRule="auto"/>
              <w:rPr>
                <w:rFonts w:hint="eastAsia" w:ascii="宋体" w:hAnsi="宋体"/>
                <w:sz w:val="24"/>
                <w:szCs w:val="24"/>
              </w:rPr>
            </w:pPr>
            <w:r>
              <w:rPr>
                <w:rFonts w:hint="eastAsia" w:ascii="宋体" w:hAnsi="宋体"/>
                <w:sz w:val="24"/>
                <w:szCs w:val="24"/>
              </w:rPr>
              <w:t>o机床润滑的控制和保护程序；</w:t>
            </w:r>
          </w:p>
          <w:p>
            <w:pPr>
              <w:tabs>
                <w:tab w:val="left" w:pos="0"/>
                <w:tab w:val="left" w:pos="567"/>
              </w:tabs>
              <w:spacing w:line="360" w:lineRule="auto"/>
              <w:rPr>
                <w:rFonts w:hint="eastAsia" w:ascii="宋体" w:hAnsi="宋体"/>
                <w:sz w:val="24"/>
                <w:szCs w:val="24"/>
              </w:rPr>
            </w:pPr>
            <w:r>
              <w:rPr>
                <w:rFonts w:hint="eastAsia" w:ascii="宋体" w:hAnsi="宋体"/>
                <w:sz w:val="24"/>
                <w:szCs w:val="24"/>
              </w:rPr>
              <w:t>o机床冷却的控制和保护程序；</w:t>
            </w:r>
          </w:p>
          <w:p>
            <w:pPr>
              <w:tabs>
                <w:tab w:val="left" w:pos="0"/>
                <w:tab w:val="left" w:pos="567"/>
              </w:tabs>
              <w:spacing w:line="360" w:lineRule="auto"/>
              <w:rPr>
                <w:rFonts w:hint="eastAsia" w:ascii="宋体" w:hAnsi="宋体"/>
                <w:sz w:val="24"/>
                <w:szCs w:val="24"/>
              </w:rPr>
            </w:pPr>
            <w:r>
              <w:rPr>
                <w:rFonts w:hint="eastAsia" w:ascii="宋体" w:hAnsi="宋体"/>
                <w:sz w:val="24"/>
                <w:szCs w:val="24"/>
              </w:rPr>
              <w:t>o机床档位控制和保护程序；</w:t>
            </w:r>
          </w:p>
          <w:p>
            <w:pPr>
              <w:tabs>
                <w:tab w:val="left" w:pos="0"/>
                <w:tab w:val="left" w:pos="567"/>
              </w:tabs>
              <w:spacing w:line="360" w:lineRule="auto"/>
              <w:rPr>
                <w:rFonts w:hint="eastAsia" w:ascii="宋体" w:hAnsi="宋体"/>
                <w:sz w:val="24"/>
                <w:szCs w:val="24"/>
              </w:rPr>
            </w:pPr>
            <w:r>
              <w:rPr>
                <w:rFonts w:hint="eastAsia" w:ascii="宋体" w:hAnsi="宋体"/>
                <w:sz w:val="24"/>
                <w:szCs w:val="24"/>
              </w:rPr>
              <w:t>o机床安全保护程序设计；</w:t>
            </w:r>
          </w:p>
          <w:p>
            <w:pPr>
              <w:tabs>
                <w:tab w:val="left" w:pos="0"/>
                <w:tab w:val="left" w:pos="567"/>
              </w:tabs>
              <w:spacing w:line="360" w:lineRule="auto"/>
              <w:rPr>
                <w:rFonts w:hint="eastAsia" w:ascii="宋体" w:hAnsi="宋体"/>
                <w:sz w:val="24"/>
                <w:szCs w:val="24"/>
              </w:rPr>
            </w:pPr>
            <w:r>
              <w:rPr>
                <w:rFonts w:hint="eastAsia" w:ascii="宋体" w:hAnsi="宋体"/>
                <w:sz w:val="24"/>
                <w:szCs w:val="24"/>
              </w:rPr>
              <w:t>o ATC刀库的控制和保护程序；</w:t>
            </w:r>
          </w:p>
          <w:p>
            <w:pPr>
              <w:tabs>
                <w:tab w:val="left" w:pos="0"/>
                <w:tab w:val="left" w:pos="567"/>
              </w:tabs>
              <w:spacing w:line="360" w:lineRule="auto"/>
              <w:rPr>
                <w:rFonts w:hint="eastAsia" w:ascii="宋体" w:hAnsi="宋体"/>
                <w:sz w:val="24"/>
                <w:szCs w:val="24"/>
              </w:rPr>
            </w:pPr>
            <w:r>
              <w:rPr>
                <w:rFonts w:hint="eastAsia" w:ascii="宋体" w:hAnsi="宋体"/>
                <w:sz w:val="24"/>
                <w:szCs w:val="24"/>
              </w:rPr>
              <w:t>o APC双工位交换台控制和保护程序；</w:t>
            </w:r>
          </w:p>
          <w:p>
            <w:pPr>
              <w:tabs>
                <w:tab w:val="left" w:pos="0"/>
                <w:tab w:val="left" w:pos="567"/>
              </w:tabs>
              <w:spacing w:line="360" w:lineRule="auto"/>
              <w:rPr>
                <w:rFonts w:hint="eastAsia" w:ascii="宋体" w:hAnsi="宋体"/>
                <w:sz w:val="24"/>
                <w:szCs w:val="24"/>
              </w:rPr>
            </w:pPr>
            <w:r>
              <w:rPr>
                <w:rFonts w:hint="eastAsia" w:ascii="宋体" w:hAnsi="宋体"/>
                <w:sz w:val="24"/>
                <w:szCs w:val="24"/>
              </w:rPr>
              <w:t>o机床其他动作及操作箱功能按钮的功能设计；</w:t>
            </w:r>
          </w:p>
          <w:p>
            <w:pPr>
              <w:tabs>
                <w:tab w:val="left" w:pos="0"/>
                <w:tab w:val="left" w:pos="567"/>
              </w:tabs>
              <w:spacing w:line="360" w:lineRule="auto"/>
              <w:rPr>
                <w:rFonts w:hint="eastAsia" w:ascii="宋体" w:hAnsi="宋体"/>
                <w:sz w:val="24"/>
                <w:szCs w:val="24"/>
              </w:rPr>
            </w:pPr>
            <w:r>
              <w:rPr>
                <w:rFonts w:hint="eastAsia" w:ascii="宋体" w:hAnsi="宋体"/>
                <w:sz w:val="24"/>
                <w:szCs w:val="24"/>
              </w:rPr>
              <w:t>o机床各项动作的操作信息及报警信息的程序设计，基本覆盖机床所有的输入点及输出点；</w:t>
            </w:r>
          </w:p>
          <w:p>
            <w:pPr>
              <w:tabs>
                <w:tab w:val="left" w:pos="0"/>
                <w:tab w:val="left" w:pos="567"/>
              </w:tabs>
              <w:spacing w:line="360" w:lineRule="auto"/>
              <w:rPr>
                <w:rFonts w:hint="eastAsia" w:ascii="宋体" w:hAnsi="宋体"/>
                <w:sz w:val="24"/>
                <w:szCs w:val="24"/>
              </w:rPr>
            </w:pPr>
            <w:r>
              <w:rPr>
                <w:rFonts w:hint="eastAsia" w:ascii="宋体" w:hAnsi="宋体"/>
                <w:sz w:val="24"/>
                <w:szCs w:val="24"/>
              </w:rPr>
              <w:t>o报警号完全，解释文本指向清晰，便于机床保养和维修排故。</w:t>
            </w:r>
          </w:p>
          <w:p>
            <w:pPr>
              <w:tabs>
                <w:tab w:val="left" w:pos="0"/>
                <w:tab w:val="left" w:pos="567"/>
              </w:tabs>
              <w:spacing w:line="360" w:lineRule="auto"/>
              <w:rPr>
                <w:rFonts w:hint="eastAsia" w:ascii="宋体" w:hAnsi="宋体"/>
                <w:sz w:val="24"/>
                <w:szCs w:val="24"/>
              </w:rPr>
            </w:pPr>
            <w:r>
              <w:rPr>
                <w:rFonts w:hint="eastAsia" w:ascii="宋体" w:hAnsi="宋体"/>
                <w:sz w:val="24"/>
                <w:szCs w:val="24"/>
              </w:rPr>
              <w:t>o配置欧洲道斯专有人机交互界面。</w:t>
            </w:r>
          </w:p>
          <w:p>
            <w:pPr>
              <w:tabs>
                <w:tab w:val="left" w:pos="0"/>
                <w:tab w:val="left" w:pos="567"/>
              </w:tabs>
              <w:spacing w:line="360" w:lineRule="auto"/>
              <w:rPr>
                <w:rFonts w:hint="eastAsia" w:ascii="宋体" w:hAnsi="宋体"/>
                <w:sz w:val="24"/>
                <w:szCs w:val="24"/>
              </w:rPr>
            </w:pPr>
            <w:r>
              <w:rPr>
                <w:rFonts w:hint="eastAsia" w:ascii="宋体" w:hAnsi="宋体"/>
                <w:sz w:val="24"/>
                <w:szCs w:val="24"/>
              </w:rPr>
              <w:t>o配置欧洲道斯专用西门子TP700刀库操作人机控制面板。</w:t>
            </w:r>
          </w:p>
          <w:p>
            <w:pPr>
              <w:tabs>
                <w:tab w:val="left" w:pos="0"/>
                <w:tab w:val="left" w:pos="567"/>
              </w:tabs>
              <w:spacing w:line="360" w:lineRule="auto"/>
            </w:pPr>
            <w:r>
              <w:rPr>
                <w:rFonts w:hint="eastAsia" w:ascii="宋体" w:hAnsi="宋体"/>
                <w:sz w:val="24"/>
                <w:szCs w:val="24"/>
              </w:rPr>
              <w:t>o所有原机功能</w:t>
            </w:r>
            <w:r>
              <w:rPr>
                <w:rFonts w:hint="eastAsia" w:ascii="宋体" w:hAnsi="宋体"/>
                <w:sz w:val="24"/>
                <w:szCs w:val="24"/>
                <w:lang w:val="en-US" w:eastAsia="zh-CN"/>
              </w:rPr>
              <w:t>必须</w:t>
            </w:r>
            <w:r>
              <w:rPr>
                <w:rFonts w:hint="eastAsia" w:ascii="宋体" w:hAnsi="宋体"/>
                <w:sz w:val="24"/>
                <w:szCs w:val="24"/>
              </w:rPr>
              <w:t>无缝升级衔接。</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1.2</w:t>
            </w:r>
          </w:p>
        </w:tc>
        <w:tc>
          <w:tcPr>
            <w:tcW w:w="7122" w:type="dxa"/>
          </w:tcPr>
          <w:p>
            <w:pPr>
              <w:tabs>
                <w:tab w:val="left" w:pos="0"/>
                <w:tab w:val="left" w:pos="567"/>
              </w:tabs>
              <w:spacing w:line="360" w:lineRule="auto"/>
              <w:rPr>
                <w:rFonts w:ascii="宋体" w:hAnsi="宋体"/>
                <w:sz w:val="24"/>
                <w:szCs w:val="24"/>
              </w:rPr>
            </w:pPr>
            <w:r>
              <w:rPr>
                <w:rFonts w:hint="eastAsia" w:ascii="宋体" w:hAnsi="宋体"/>
                <w:sz w:val="24"/>
                <w:szCs w:val="24"/>
              </w:rPr>
              <w:t>电气数控系统的主要配置及详细功能描述如下：</w:t>
            </w:r>
          </w:p>
          <w:p>
            <w:pPr>
              <w:tabs>
                <w:tab w:val="left" w:pos="0"/>
                <w:tab w:val="left" w:pos="567"/>
              </w:tabs>
              <w:spacing w:line="360" w:lineRule="auto"/>
              <w:rPr>
                <w:rFonts w:ascii="宋体" w:hAnsi="宋体"/>
                <w:sz w:val="24"/>
                <w:szCs w:val="24"/>
              </w:rPr>
            </w:pPr>
            <w:r>
              <w:rPr>
                <w:rFonts w:hint="eastAsia" w:ascii="宋体" w:hAnsi="宋体"/>
                <w:sz w:val="24"/>
                <w:szCs w:val="24"/>
              </w:rPr>
              <w:t>SINUMERIK 系统+</w:t>
            </w:r>
            <w:r>
              <w:rPr>
                <w:rFonts w:ascii="宋体" w:hAnsi="宋体"/>
                <w:bCs/>
                <w:sz w:val="24"/>
              </w:rPr>
              <w:t>SINAMICS S120</w:t>
            </w:r>
            <w:r>
              <w:rPr>
                <w:rFonts w:hint="eastAsia" w:ascii="宋体" w:hAnsi="宋体"/>
                <w:bCs/>
                <w:sz w:val="24"/>
              </w:rPr>
              <w:t>驱动系统，</w:t>
            </w:r>
            <w:r>
              <w:rPr>
                <w:rFonts w:hint="eastAsia" w:ascii="宋体" w:hAnsi="宋体"/>
                <w:sz w:val="24"/>
                <w:szCs w:val="24"/>
              </w:rPr>
              <w:t>人机界面ITC1500 V3 15.6寸大尺寸TFT彩色显示屏，便于用户输入与管理程序。 Operate 软件，内置中、 德、英、法、意、西6种语言，可在中文和其它任意一种语言之间任意切换。</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1.3</w:t>
            </w:r>
          </w:p>
        </w:tc>
        <w:tc>
          <w:tcPr>
            <w:tcW w:w="7122" w:type="dxa"/>
          </w:tcPr>
          <w:p>
            <w:pPr>
              <w:tabs>
                <w:tab w:val="left" w:pos="0"/>
                <w:tab w:val="left" w:pos="567"/>
              </w:tabs>
              <w:spacing w:line="360" w:lineRule="auto"/>
              <w:rPr>
                <w:rFonts w:ascii="宋体" w:hAnsi="宋体"/>
                <w:sz w:val="24"/>
                <w:szCs w:val="24"/>
              </w:rPr>
            </w:pPr>
            <w:r>
              <w:rPr>
                <w:rFonts w:hint="eastAsia" w:ascii="宋体" w:hAnsi="宋体"/>
                <w:sz w:val="24"/>
                <w:szCs w:val="24"/>
              </w:rPr>
              <w:t>机床操作面板选用：全字母KB1500机械键盘 + MCP483C标准机床控制面板，方便机加人员便捷操作。</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1.4</w:t>
            </w:r>
          </w:p>
        </w:tc>
        <w:tc>
          <w:tcPr>
            <w:tcW w:w="7122" w:type="dxa"/>
          </w:tcPr>
          <w:p>
            <w:pPr>
              <w:tabs>
                <w:tab w:val="left" w:pos="0"/>
                <w:tab w:val="left" w:pos="567"/>
              </w:tabs>
              <w:spacing w:line="360" w:lineRule="auto"/>
              <w:rPr>
                <w:rFonts w:ascii="宋体" w:hAnsi="宋体"/>
                <w:sz w:val="24"/>
                <w:szCs w:val="24"/>
              </w:rPr>
            </w:pPr>
            <w:r>
              <w:rPr>
                <w:rFonts w:hint="eastAsia" w:ascii="宋体" w:hAnsi="宋体"/>
                <w:sz w:val="24"/>
                <w:szCs w:val="24"/>
              </w:rPr>
              <w:t>便携式手持操作单元：带急停按钮，倍率修调，并可在手持单元实现JOG等操作模式，便于操作者对刀操作。</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1.5</w:t>
            </w:r>
          </w:p>
        </w:tc>
        <w:tc>
          <w:tcPr>
            <w:tcW w:w="7122" w:type="dxa"/>
          </w:tcPr>
          <w:p>
            <w:pPr>
              <w:tabs>
                <w:tab w:val="left" w:pos="0"/>
                <w:tab w:val="left" w:pos="567"/>
              </w:tabs>
              <w:spacing w:line="360" w:lineRule="auto"/>
              <w:rPr>
                <w:rFonts w:ascii="宋体" w:hAnsi="宋体"/>
                <w:sz w:val="24"/>
                <w:szCs w:val="24"/>
              </w:rPr>
            </w:pPr>
            <w:r>
              <w:rPr>
                <w:rFonts w:hint="eastAsia" w:ascii="宋体" w:hAnsi="宋体"/>
                <w:sz w:val="24"/>
                <w:szCs w:val="24"/>
              </w:rPr>
              <w:t>数控单元NCU：NCU1740系列 ,带CF卡。</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1.6</w:t>
            </w:r>
          </w:p>
        </w:tc>
        <w:tc>
          <w:tcPr>
            <w:tcW w:w="7122" w:type="dxa"/>
          </w:tcPr>
          <w:p>
            <w:pPr>
              <w:tabs>
                <w:tab w:val="left" w:pos="0"/>
                <w:tab w:val="left" w:pos="567"/>
              </w:tabs>
              <w:spacing w:line="360" w:lineRule="auto"/>
              <w:rPr>
                <w:rFonts w:ascii="宋体" w:hAnsi="宋体"/>
                <w:sz w:val="24"/>
                <w:szCs w:val="24"/>
              </w:rPr>
            </w:pPr>
            <w:r>
              <w:rPr>
                <w:rFonts w:hint="eastAsia" w:ascii="宋体" w:hAnsi="宋体"/>
                <w:sz w:val="24"/>
                <w:szCs w:val="24"/>
              </w:rPr>
              <w:t>数控系统交流进给驱动模块：SINAMIC</w:t>
            </w:r>
            <w:r>
              <w:rPr>
                <w:rFonts w:ascii="宋体" w:hAnsi="宋体"/>
                <w:sz w:val="24"/>
                <w:szCs w:val="24"/>
              </w:rPr>
              <w:t>S</w:t>
            </w:r>
            <w:r>
              <w:rPr>
                <w:rFonts w:hint="eastAsia" w:ascii="宋体" w:hAnsi="宋体"/>
                <w:sz w:val="24"/>
                <w:szCs w:val="24"/>
              </w:rPr>
              <w:t xml:space="preserve"> S120,各伺服电机分别配置相关驱动模块（SP\X\Y</w:t>
            </w:r>
            <w:r>
              <w:rPr>
                <w:rFonts w:ascii="宋体" w:hAnsi="宋体"/>
                <w:sz w:val="24"/>
                <w:szCs w:val="24"/>
              </w:rPr>
              <w:t>\</w:t>
            </w:r>
            <w:r>
              <w:rPr>
                <w:rFonts w:hint="eastAsia" w:ascii="宋体" w:hAnsi="宋体"/>
                <w:sz w:val="24"/>
                <w:szCs w:val="24"/>
              </w:rPr>
              <w:t>Z\</w:t>
            </w:r>
            <w:r>
              <w:rPr>
                <w:rFonts w:ascii="宋体" w:hAnsi="宋体"/>
                <w:sz w:val="24"/>
                <w:szCs w:val="24"/>
              </w:rPr>
              <w:t>W</w:t>
            </w:r>
            <w:r>
              <w:rPr>
                <w:rFonts w:hint="eastAsia" w:ascii="宋体" w:hAnsi="宋体"/>
                <w:sz w:val="24"/>
                <w:szCs w:val="24"/>
              </w:rPr>
              <w:t>\B\ATC）。</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1.7</w:t>
            </w:r>
          </w:p>
        </w:tc>
        <w:tc>
          <w:tcPr>
            <w:tcW w:w="7122" w:type="dxa"/>
          </w:tcPr>
          <w:p>
            <w:pPr>
              <w:tabs>
                <w:tab w:val="left" w:pos="0"/>
                <w:tab w:val="left" w:pos="567"/>
              </w:tabs>
              <w:spacing w:line="360" w:lineRule="auto"/>
              <w:rPr>
                <w:rFonts w:ascii="宋体" w:hAnsi="宋体"/>
                <w:sz w:val="24"/>
                <w:szCs w:val="24"/>
              </w:rPr>
            </w:pPr>
            <w:r>
              <w:rPr>
                <w:rFonts w:hint="eastAsia" w:ascii="宋体" w:hAnsi="宋体"/>
                <w:sz w:val="24"/>
                <w:szCs w:val="24"/>
              </w:rPr>
              <w:t>控制轴数：5个进给轴+1个主轴+1个刀库轴，可实现</w:t>
            </w:r>
            <w:r>
              <w:rPr>
                <w:rFonts w:hint="eastAsia" w:ascii="宋体" w:hAnsi="宋体"/>
                <w:sz w:val="24"/>
              </w:rPr>
              <w:t>X、Y、Z、B四轴插补联动，最小分辨率0.001mm</w:t>
            </w:r>
            <w:r>
              <w:rPr>
                <w:rFonts w:hint="eastAsia" w:ascii="宋体" w:hAnsi="宋体"/>
                <w:sz w:val="24"/>
                <w:szCs w:val="24"/>
              </w:rPr>
              <w:t>。</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1.8</w:t>
            </w:r>
          </w:p>
        </w:tc>
        <w:tc>
          <w:tcPr>
            <w:tcW w:w="7122" w:type="dxa"/>
          </w:tcPr>
          <w:p>
            <w:pPr>
              <w:tabs>
                <w:tab w:val="left" w:pos="0"/>
                <w:tab w:val="left" w:pos="567"/>
              </w:tabs>
              <w:spacing w:line="360" w:lineRule="auto"/>
              <w:rPr>
                <w:rFonts w:ascii="宋体" w:hAnsi="宋体"/>
                <w:sz w:val="24"/>
                <w:szCs w:val="24"/>
              </w:rPr>
            </w:pPr>
            <w:r>
              <w:rPr>
                <w:rFonts w:hint="eastAsia" w:ascii="宋体" w:hAnsi="宋体"/>
                <w:sz w:val="24"/>
                <w:szCs w:val="24"/>
              </w:rPr>
              <w:t>主轴与进给轴电机：主轴SP；进给轴：X、Y、Z、W、B；刀库轴ATC均为伺服轴，防护等级IP64。</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1.9</w:t>
            </w:r>
          </w:p>
        </w:tc>
        <w:tc>
          <w:tcPr>
            <w:tcW w:w="7122" w:type="dxa"/>
          </w:tcPr>
          <w:p>
            <w:pPr>
              <w:tabs>
                <w:tab w:val="left" w:pos="0"/>
                <w:tab w:val="left" w:pos="567"/>
              </w:tabs>
              <w:spacing w:line="360" w:lineRule="auto"/>
              <w:rPr>
                <w:rFonts w:ascii="宋体" w:hAnsi="宋体"/>
                <w:sz w:val="24"/>
                <w:szCs w:val="24"/>
              </w:rPr>
            </w:pPr>
            <w:r>
              <w:rPr>
                <w:rFonts w:hint="eastAsia" w:ascii="宋体" w:hAnsi="宋体"/>
                <w:sz w:val="24"/>
                <w:szCs w:val="24"/>
              </w:rPr>
              <w:t>各轴位置检测：X、Y、Z轴原用德国海德汉光栅尺，LB186C系列，距离编码，可实现多点回零，实现全闭环控制； W轴利用西门子伺服电机内置编码器实现半闭环反馈；</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1.10</w:t>
            </w:r>
          </w:p>
        </w:tc>
        <w:tc>
          <w:tcPr>
            <w:tcW w:w="7122" w:type="dxa"/>
          </w:tcPr>
          <w:p>
            <w:pPr>
              <w:tabs>
                <w:tab w:val="left" w:pos="0"/>
                <w:tab w:val="left" w:pos="567"/>
              </w:tabs>
              <w:spacing w:line="360" w:lineRule="auto"/>
              <w:rPr>
                <w:rFonts w:ascii="宋体" w:hAnsi="宋体"/>
                <w:sz w:val="24"/>
                <w:szCs w:val="24"/>
              </w:rPr>
            </w:pPr>
            <w:r>
              <w:rPr>
                <w:rFonts w:hint="eastAsia" w:ascii="宋体" w:hAnsi="宋体"/>
                <w:sz w:val="24"/>
                <w:szCs w:val="24"/>
              </w:rPr>
              <w:t>逻辑控制配置：</w:t>
            </w:r>
            <w:r>
              <w:rPr>
                <w:rFonts w:hint="eastAsia" w:ascii="宋体" w:hAnsi="宋体"/>
                <w:bCs/>
                <w:sz w:val="24"/>
              </w:rPr>
              <w:t>选用SIMATIC S7-1500F PLC与ET200型输入输出模块</w:t>
            </w:r>
            <w:r>
              <w:rPr>
                <w:rFonts w:hint="eastAsia" w:ascii="宋体" w:hAnsi="宋体"/>
                <w:sz w:val="24"/>
                <w:szCs w:val="24"/>
              </w:rPr>
              <w:t>。</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1.11</w:t>
            </w:r>
          </w:p>
        </w:tc>
        <w:tc>
          <w:tcPr>
            <w:tcW w:w="7122" w:type="dxa"/>
          </w:tcPr>
          <w:p>
            <w:pPr>
              <w:tabs>
                <w:tab w:val="left" w:pos="0"/>
                <w:tab w:val="left" w:pos="567"/>
              </w:tabs>
              <w:spacing w:line="360" w:lineRule="auto"/>
              <w:rPr>
                <w:rFonts w:ascii="宋体" w:hAnsi="宋体"/>
                <w:sz w:val="24"/>
                <w:szCs w:val="24"/>
              </w:rPr>
            </w:pPr>
            <w:r>
              <w:rPr>
                <w:rFonts w:hint="eastAsia" w:ascii="宋体" w:hAnsi="宋体"/>
                <w:sz w:val="24"/>
                <w:szCs w:val="24"/>
              </w:rPr>
              <w:t>各轴进给电机动力电缆、光栅尺及编码器反馈电缆采用西门子公司产品。数控系统与伺服单元、O</w:t>
            </w:r>
            <w:r>
              <w:rPr>
                <w:rFonts w:ascii="宋体" w:hAnsi="宋体"/>
                <w:sz w:val="24"/>
                <w:szCs w:val="24"/>
              </w:rPr>
              <w:t>P</w:t>
            </w:r>
            <w:r>
              <w:rPr>
                <w:rFonts w:hint="eastAsia" w:ascii="宋体" w:hAnsi="宋体"/>
                <w:sz w:val="24"/>
                <w:szCs w:val="24"/>
              </w:rPr>
              <w:t>单元、PLC、手持操作单元等采用西门子专用电缆进行连接。</w:t>
            </w:r>
          </w:p>
        </w:tc>
        <w:tc>
          <w:tcPr>
            <w:tcW w:w="1120" w:type="dxa"/>
            <w:vAlign w:val="center"/>
          </w:tcPr>
          <w:p>
            <w:pPr>
              <w:spacing w:line="360" w:lineRule="auto"/>
              <w:jc w:val="left"/>
              <w:rPr>
                <w:rFonts w:ascii="宋体" w:hAnsi="宋体"/>
                <w:bCs/>
                <w:sz w:val="24"/>
                <w:szCs w:val="24"/>
              </w:rPr>
            </w:pPr>
          </w:p>
        </w:tc>
      </w:tr>
      <w:tr>
        <w:tblPrEx>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1.12</w:t>
            </w:r>
          </w:p>
        </w:tc>
        <w:tc>
          <w:tcPr>
            <w:tcW w:w="7122" w:type="dxa"/>
          </w:tcPr>
          <w:p>
            <w:pPr>
              <w:tabs>
                <w:tab w:val="left" w:pos="0"/>
                <w:tab w:val="left" w:pos="567"/>
              </w:tabs>
              <w:spacing w:line="360" w:lineRule="auto"/>
              <w:rPr>
                <w:rFonts w:ascii="宋体" w:hAnsi="宋体"/>
                <w:sz w:val="24"/>
                <w:szCs w:val="24"/>
              </w:rPr>
            </w:pPr>
            <w:r>
              <w:rPr>
                <w:rFonts w:hint="eastAsia" w:ascii="宋体" w:hAnsi="宋体"/>
                <w:sz w:val="24"/>
                <w:szCs w:val="24"/>
              </w:rPr>
              <w:t>设计双通道安全继电器，配合双路急停按钮。确保急停安全可靠。在操作面板上设置“超程”按钮，保证设备安全。</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1.13</w:t>
            </w:r>
          </w:p>
        </w:tc>
        <w:tc>
          <w:tcPr>
            <w:tcW w:w="7122" w:type="dxa"/>
          </w:tcPr>
          <w:p>
            <w:pPr>
              <w:tabs>
                <w:tab w:val="left" w:pos="0"/>
                <w:tab w:val="left" w:pos="567"/>
              </w:tabs>
              <w:spacing w:line="360" w:lineRule="auto"/>
              <w:rPr>
                <w:rFonts w:ascii="宋体" w:hAnsi="宋体"/>
                <w:sz w:val="24"/>
                <w:szCs w:val="24"/>
              </w:rPr>
            </w:pPr>
            <w:r>
              <w:rPr>
                <w:rFonts w:hint="eastAsia" w:ascii="宋体" w:hAnsi="宋体"/>
                <w:sz w:val="24"/>
                <w:szCs w:val="24"/>
              </w:rPr>
              <w:t>主要低压电气元件如断路器、接触器、按钮、指示灯：选用施耐德/西门子/菲尼克斯/ABB/欧姆龙产品，其他元器件为国内知名品牌。</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1.14</w:t>
            </w:r>
          </w:p>
        </w:tc>
        <w:tc>
          <w:tcPr>
            <w:tcW w:w="7122" w:type="dxa"/>
          </w:tcPr>
          <w:p>
            <w:pPr>
              <w:tabs>
                <w:tab w:val="left" w:pos="0"/>
                <w:tab w:val="left" w:pos="567"/>
              </w:tabs>
              <w:spacing w:line="360" w:lineRule="auto"/>
              <w:rPr>
                <w:rFonts w:ascii="宋体" w:hAnsi="宋体"/>
                <w:sz w:val="24"/>
                <w:szCs w:val="24"/>
              </w:rPr>
            </w:pPr>
            <w:r>
              <w:rPr>
                <w:rFonts w:hint="eastAsia" w:ascii="宋体" w:hAnsi="宋体"/>
                <w:sz w:val="24"/>
                <w:szCs w:val="24"/>
              </w:rPr>
              <w:t>接线端子品牌：德国菲尼克斯。</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1.15</w:t>
            </w:r>
          </w:p>
        </w:tc>
        <w:tc>
          <w:tcPr>
            <w:tcW w:w="7122" w:type="dxa"/>
          </w:tcPr>
          <w:p>
            <w:pPr>
              <w:tabs>
                <w:tab w:val="left" w:pos="0"/>
                <w:tab w:val="left" w:pos="567"/>
              </w:tabs>
              <w:spacing w:line="360" w:lineRule="auto"/>
              <w:rPr>
                <w:rFonts w:ascii="宋体" w:hAnsi="宋体"/>
                <w:sz w:val="24"/>
                <w:szCs w:val="24"/>
              </w:rPr>
            </w:pPr>
            <w:r>
              <w:rPr>
                <w:rFonts w:hint="eastAsia" w:ascii="宋体" w:hAnsi="宋体"/>
                <w:sz w:val="24"/>
                <w:szCs w:val="24"/>
              </w:rPr>
              <w:t>电控柜内电线、电缆布置要求按国家标准执行，主回路、控制回路布线整齐合理颜色分明，线号标注清晰不易褪色。电缆、电线走线规范、防护屏蔽有效、标识清楚。电气柜内元器件分布合理整齐。电气安装及布线符合</w:t>
            </w:r>
            <w:r>
              <w:rPr>
                <w:rFonts w:ascii="宋体" w:hAnsi="宋体"/>
                <w:sz w:val="24"/>
                <w:szCs w:val="24"/>
              </w:rPr>
              <w:t>GB5226.1 – 96</w:t>
            </w:r>
            <w:r>
              <w:rPr>
                <w:rFonts w:hint="eastAsia" w:ascii="宋体" w:hAnsi="宋体"/>
                <w:sz w:val="24"/>
                <w:szCs w:val="24"/>
              </w:rPr>
              <w:t>标准。</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1.16</w:t>
            </w:r>
          </w:p>
        </w:tc>
        <w:tc>
          <w:tcPr>
            <w:tcW w:w="7122" w:type="dxa"/>
          </w:tcPr>
          <w:p>
            <w:pPr>
              <w:tabs>
                <w:tab w:val="left" w:pos="0"/>
                <w:tab w:val="left" w:pos="567"/>
              </w:tabs>
              <w:spacing w:line="360" w:lineRule="auto"/>
              <w:rPr>
                <w:rFonts w:ascii="宋体" w:hAnsi="宋体"/>
                <w:sz w:val="24"/>
                <w:szCs w:val="24"/>
              </w:rPr>
            </w:pPr>
            <w:r>
              <w:rPr>
                <w:rFonts w:hint="eastAsia" w:ascii="宋体" w:hAnsi="宋体"/>
                <w:sz w:val="24"/>
                <w:szCs w:val="24"/>
              </w:rPr>
              <w:t>电控柜体：沿用设备原电柜。电柜防护等级： IP54。配置足够容量的工业电柜空调（宝鸡雷博）。电柜内部空间宽敞、通风顺畅。为防止外来干扰、电波伤害、以及漏电等，在电柜内设置有总接地排。电柜放置于地面，方便检查与维修。</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1.17</w:t>
            </w:r>
          </w:p>
        </w:tc>
        <w:tc>
          <w:tcPr>
            <w:tcW w:w="7122" w:type="dxa"/>
          </w:tcPr>
          <w:p>
            <w:pPr>
              <w:tabs>
                <w:tab w:val="left" w:pos="0"/>
                <w:tab w:val="left" w:pos="567"/>
              </w:tabs>
              <w:spacing w:line="360" w:lineRule="auto"/>
              <w:rPr>
                <w:rFonts w:ascii="宋体" w:hAnsi="宋体"/>
                <w:sz w:val="24"/>
                <w:szCs w:val="24"/>
              </w:rPr>
            </w:pPr>
            <w:r>
              <w:rPr>
                <w:rFonts w:hint="eastAsia" w:ascii="宋体" w:hAnsi="宋体"/>
                <w:sz w:val="24"/>
                <w:szCs w:val="24"/>
              </w:rPr>
              <w:t>更换机床所有控制电缆，控制电缆选用德国Lapp进口品牌高柔性带数字线号的多芯控制电缆。电缆耐油耐折，控制线带线码，做标识，线号字迹清晰、不易脱落、经久耐用，外部使用保护套保护，可拖拽。</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1.18</w:t>
            </w:r>
          </w:p>
        </w:tc>
        <w:tc>
          <w:tcPr>
            <w:tcW w:w="7122" w:type="dxa"/>
          </w:tcPr>
          <w:p>
            <w:pPr>
              <w:tabs>
                <w:tab w:val="left" w:pos="0"/>
                <w:tab w:val="left" w:pos="567"/>
              </w:tabs>
              <w:spacing w:line="360" w:lineRule="auto"/>
              <w:rPr>
                <w:rFonts w:ascii="宋体" w:hAnsi="宋体"/>
                <w:sz w:val="24"/>
                <w:szCs w:val="24"/>
              </w:rPr>
            </w:pPr>
            <w:r>
              <w:rPr>
                <w:rFonts w:hint="eastAsia" w:ascii="宋体" w:hAnsi="宋体"/>
                <w:sz w:val="24"/>
                <w:szCs w:val="24"/>
              </w:rPr>
              <w:t>废除机床原有的海德汉操作站，设计符合人体工程学的西门子系统操作站。新的操作站箱体可旋转，旋转角度&lt;</w:t>
            </w:r>
            <w:r>
              <w:rPr>
                <w:rFonts w:ascii="宋体" w:hAnsi="宋体"/>
                <w:sz w:val="24"/>
                <w:szCs w:val="24"/>
              </w:rPr>
              <w:t>360</w:t>
            </w:r>
            <w:r>
              <w:rPr>
                <w:rFonts w:hint="eastAsia" w:ascii="宋体" w:hAnsi="宋体"/>
                <w:sz w:val="24"/>
                <w:szCs w:val="24"/>
              </w:rPr>
              <w:t>°。将OP单元、MCP面板与按钮、指示灯与状态显示仪表等集中安排在新的操作箱上。</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1.19</w:t>
            </w:r>
          </w:p>
        </w:tc>
        <w:tc>
          <w:tcPr>
            <w:tcW w:w="7122" w:type="dxa"/>
          </w:tcPr>
          <w:p>
            <w:pPr>
              <w:tabs>
                <w:tab w:val="left" w:pos="0"/>
                <w:tab w:val="left" w:pos="567"/>
              </w:tabs>
              <w:spacing w:line="360" w:lineRule="auto"/>
              <w:rPr>
                <w:rFonts w:ascii="宋体" w:hAnsi="宋体"/>
                <w:sz w:val="24"/>
                <w:szCs w:val="24"/>
              </w:rPr>
            </w:pPr>
            <w:r>
              <w:rPr>
                <w:rFonts w:hint="eastAsia" w:ascii="宋体" w:hAnsi="宋体"/>
                <w:sz w:val="24"/>
                <w:szCs w:val="24"/>
              </w:rPr>
              <w:t>通讯端口配置USB、CF卡、以太网接口等；</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1.20</w:t>
            </w:r>
          </w:p>
        </w:tc>
        <w:tc>
          <w:tcPr>
            <w:tcW w:w="7122" w:type="dxa"/>
          </w:tcPr>
          <w:p>
            <w:pPr>
              <w:tabs>
                <w:tab w:val="left" w:pos="0"/>
                <w:tab w:val="left" w:pos="567"/>
              </w:tabs>
              <w:spacing w:line="360" w:lineRule="auto"/>
              <w:rPr>
                <w:rFonts w:ascii="宋体" w:hAnsi="宋体"/>
                <w:sz w:val="24"/>
                <w:szCs w:val="24"/>
              </w:rPr>
            </w:pPr>
            <w:r>
              <w:rPr>
                <w:rFonts w:hint="eastAsia" w:ascii="宋体" w:hAnsi="宋体"/>
                <w:sz w:val="24"/>
                <w:szCs w:val="24"/>
              </w:rPr>
              <w:t>编制机床报警文本、详细提示设备各个故障点，便于维护检修。</w:t>
            </w:r>
          </w:p>
        </w:tc>
        <w:tc>
          <w:tcPr>
            <w:tcW w:w="1120" w:type="dxa"/>
            <w:vAlign w:val="center"/>
          </w:tcPr>
          <w:p>
            <w:pPr>
              <w:spacing w:line="360" w:lineRule="auto"/>
              <w:jc w:val="left"/>
              <w:rPr>
                <w:rFonts w:ascii="宋体" w:hAnsi="宋体"/>
                <w:bCs/>
                <w:sz w:val="24"/>
                <w:szCs w:val="24"/>
              </w:rPr>
            </w:pPr>
          </w:p>
        </w:tc>
      </w:tr>
    </w:tbl>
    <w:p>
      <w:pPr>
        <w:numPr>
          <w:ilvl w:val="0"/>
          <w:numId w:val="7"/>
        </w:numPr>
        <w:spacing w:line="360" w:lineRule="auto"/>
        <w:ind w:right="-341" w:firstLine="480" w:firstLineChars="200"/>
        <w:jc w:val="left"/>
        <w:rPr>
          <w:rFonts w:ascii="宋体" w:hAnsi="宋体"/>
          <w:sz w:val="24"/>
          <w:szCs w:val="24"/>
        </w:rPr>
      </w:pPr>
      <w:r>
        <w:rPr>
          <w:rFonts w:hint="eastAsia" w:ascii="宋体" w:hAnsi="宋体"/>
          <w:sz w:val="24"/>
          <w:szCs w:val="24"/>
        </w:rPr>
        <w:t>数控系统功能：</w:t>
      </w:r>
    </w:p>
    <w:tbl>
      <w:tblPr>
        <w:tblStyle w:val="28"/>
        <w:tblW w:w="905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7122"/>
        <w:gridCol w:w="11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2.1</w:t>
            </w:r>
          </w:p>
        </w:tc>
        <w:tc>
          <w:tcPr>
            <w:tcW w:w="7122" w:type="dxa"/>
          </w:tcPr>
          <w:p>
            <w:pPr>
              <w:tabs>
                <w:tab w:val="left" w:pos="0"/>
                <w:tab w:val="left" w:pos="567"/>
              </w:tabs>
              <w:spacing w:line="360" w:lineRule="auto"/>
              <w:rPr>
                <w:rFonts w:ascii="宋体" w:hAnsi="宋体"/>
                <w:sz w:val="24"/>
                <w:szCs w:val="24"/>
              </w:rPr>
            </w:pPr>
            <w:r>
              <w:rPr>
                <w:rFonts w:ascii="宋体" w:hAnsi="宋体"/>
                <w:sz w:val="24"/>
                <w:szCs w:val="24"/>
              </w:rPr>
              <w:t>机床设计有完善的保护措施，确保人身、设备的安全。例如：在自动运行程序时，主轴停止走刀进给必须停止；主轴刀具夹紧信号没有确认，不允许转主轴。</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2.2</w:t>
            </w:r>
          </w:p>
        </w:tc>
        <w:tc>
          <w:tcPr>
            <w:tcW w:w="7122" w:type="dxa"/>
          </w:tcPr>
          <w:p>
            <w:pPr>
              <w:tabs>
                <w:tab w:val="left" w:pos="0"/>
                <w:tab w:val="left" w:pos="567"/>
              </w:tabs>
              <w:spacing w:line="360" w:lineRule="auto"/>
              <w:rPr>
                <w:rFonts w:ascii="宋体" w:hAnsi="宋体"/>
                <w:sz w:val="24"/>
                <w:szCs w:val="24"/>
              </w:rPr>
            </w:pPr>
            <w:r>
              <w:rPr>
                <w:rFonts w:ascii="宋体" w:hAnsi="宋体"/>
                <w:sz w:val="24"/>
                <w:szCs w:val="24"/>
              </w:rPr>
              <w:t>主轴具有机械换档功能，通过数控系统程序中M、S代码控制主轴换档动作，也可以用面板自定义键手动换档，通过S代码指定主轴转速。主轴有档位指</w:t>
            </w:r>
            <w:r>
              <w:rPr>
                <w:rFonts w:hint="eastAsia" w:ascii="宋体" w:hAnsi="宋体"/>
                <w:sz w:val="24"/>
                <w:szCs w:val="24"/>
              </w:rPr>
              <w:tab/>
            </w:r>
            <w:r>
              <w:rPr>
                <w:rFonts w:ascii="宋体" w:hAnsi="宋体"/>
                <w:sz w:val="24"/>
                <w:szCs w:val="24"/>
              </w:rPr>
              <w:t>示灯显示。主轴换档功能分为数控自动换档半自动M辅助功能换档和手动换档三种方式。</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2.3</w:t>
            </w:r>
          </w:p>
        </w:tc>
        <w:tc>
          <w:tcPr>
            <w:tcW w:w="7122" w:type="dxa"/>
          </w:tcPr>
          <w:p>
            <w:pPr>
              <w:tabs>
                <w:tab w:val="left" w:pos="0"/>
                <w:tab w:val="left" w:pos="567"/>
              </w:tabs>
              <w:spacing w:line="360" w:lineRule="auto"/>
              <w:rPr>
                <w:rFonts w:ascii="宋体" w:hAnsi="宋体"/>
                <w:sz w:val="24"/>
                <w:szCs w:val="24"/>
              </w:rPr>
            </w:pPr>
            <w:r>
              <w:rPr>
                <w:rFonts w:ascii="宋体" w:hAnsi="宋体"/>
                <w:sz w:val="24"/>
                <w:szCs w:val="24"/>
              </w:rPr>
              <w:t>按照DIN66025标准，使用高级语言元素编程（用户变量，间接编程，程序跳跃和分支，算术和三角函数，宏功能和查函数）</w:t>
            </w:r>
            <w:r>
              <w:rPr>
                <w:rFonts w:hint="eastAsia" w:ascii="宋体" w:hAnsi="宋体"/>
                <w:sz w:val="24"/>
                <w:szCs w:val="24"/>
              </w:rPr>
              <w:t>。</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2.4</w:t>
            </w:r>
          </w:p>
        </w:tc>
        <w:tc>
          <w:tcPr>
            <w:tcW w:w="7122" w:type="dxa"/>
          </w:tcPr>
          <w:p>
            <w:pPr>
              <w:tabs>
                <w:tab w:val="left" w:pos="0"/>
                <w:tab w:val="left" w:pos="567"/>
              </w:tabs>
              <w:spacing w:line="360" w:lineRule="auto"/>
              <w:rPr>
                <w:rFonts w:ascii="宋体" w:hAnsi="宋体"/>
                <w:sz w:val="24"/>
                <w:szCs w:val="24"/>
              </w:rPr>
            </w:pPr>
            <w:r>
              <w:rPr>
                <w:rFonts w:ascii="宋体" w:hAnsi="宋体"/>
                <w:sz w:val="24"/>
                <w:szCs w:val="24"/>
              </w:rPr>
              <w:t>编程和加工同步</w:t>
            </w:r>
            <w:r>
              <w:rPr>
                <w:rFonts w:hint="eastAsia" w:ascii="宋体" w:hAnsi="宋体"/>
                <w:sz w:val="24"/>
                <w:szCs w:val="24"/>
              </w:rPr>
              <w:t>，</w:t>
            </w:r>
            <w:r>
              <w:rPr>
                <w:rFonts w:hint="eastAsia" w:ascii="宋体" w:hAnsi="宋体"/>
                <w:sz w:val="24"/>
              </w:rPr>
              <w:t>具有ShopMil/ShopTurn工步编程，自动关联功能</w:t>
            </w:r>
            <w:r>
              <w:rPr>
                <w:rFonts w:hint="eastAsia" w:ascii="宋体" w:hAnsi="宋体"/>
                <w:sz w:val="24"/>
                <w:szCs w:val="24"/>
              </w:rPr>
              <w:t>。</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2.5</w:t>
            </w:r>
          </w:p>
        </w:tc>
        <w:tc>
          <w:tcPr>
            <w:tcW w:w="7122" w:type="dxa"/>
          </w:tcPr>
          <w:p>
            <w:pPr>
              <w:tabs>
                <w:tab w:val="left" w:pos="0"/>
                <w:tab w:val="left" w:pos="567"/>
              </w:tabs>
              <w:spacing w:line="360" w:lineRule="auto"/>
              <w:rPr>
                <w:rFonts w:ascii="宋体" w:hAnsi="宋体"/>
                <w:sz w:val="24"/>
                <w:szCs w:val="24"/>
              </w:rPr>
            </w:pPr>
            <w:r>
              <w:rPr>
                <w:rFonts w:ascii="宋体" w:hAnsi="宋体"/>
                <w:sz w:val="24"/>
                <w:szCs w:val="24"/>
              </w:rPr>
              <w:t>用公制和英制输入尺寸</w:t>
            </w:r>
            <w:r>
              <w:rPr>
                <w:rFonts w:hint="eastAsia" w:ascii="宋体" w:hAnsi="宋体"/>
                <w:sz w:val="24"/>
                <w:szCs w:val="24"/>
              </w:rPr>
              <w:t>。</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2.6</w:t>
            </w:r>
          </w:p>
        </w:tc>
        <w:tc>
          <w:tcPr>
            <w:tcW w:w="7122" w:type="dxa"/>
          </w:tcPr>
          <w:p>
            <w:pPr>
              <w:tabs>
                <w:tab w:val="left" w:pos="0"/>
                <w:tab w:val="left" w:pos="567"/>
              </w:tabs>
              <w:spacing w:line="360" w:lineRule="auto"/>
              <w:rPr>
                <w:rFonts w:ascii="宋体" w:hAnsi="宋体"/>
                <w:sz w:val="24"/>
                <w:szCs w:val="24"/>
              </w:rPr>
            </w:pPr>
            <w:r>
              <w:rPr>
                <w:rFonts w:ascii="宋体" w:hAnsi="宋体"/>
                <w:sz w:val="24"/>
                <w:szCs w:val="24"/>
              </w:rPr>
              <w:t>可调式零点偏移设置（最多达20个）</w:t>
            </w:r>
            <w:r>
              <w:rPr>
                <w:rFonts w:hint="eastAsia" w:ascii="宋体" w:hAnsi="宋体"/>
                <w:sz w:val="24"/>
                <w:szCs w:val="24"/>
              </w:rPr>
              <w:t>,系统默认</w:t>
            </w:r>
            <w:r>
              <w:rPr>
                <w:rFonts w:ascii="宋体" w:hAnsi="宋体"/>
                <w:sz w:val="24"/>
                <w:szCs w:val="24"/>
              </w:rPr>
              <w:t>为4个</w:t>
            </w:r>
            <w:r>
              <w:rPr>
                <w:rFonts w:hint="eastAsia" w:ascii="宋体" w:hAnsi="宋体"/>
                <w:sz w:val="24"/>
                <w:szCs w:val="24"/>
              </w:rPr>
              <w:t>。</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2.7</w:t>
            </w:r>
          </w:p>
        </w:tc>
        <w:tc>
          <w:tcPr>
            <w:tcW w:w="7122" w:type="dxa"/>
          </w:tcPr>
          <w:p>
            <w:pPr>
              <w:tabs>
                <w:tab w:val="left" w:pos="0"/>
                <w:tab w:val="left" w:pos="567"/>
              </w:tabs>
              <w:spacing w:line="360" w:lineRule="auto"/>
              <w:rPr>
                <w:rFonts w:ascii="宋体" w:hAnsi="宋体"/>
                <w:sz w:val="24"/>
                <w:szCs w:val="24"/>
              </w:rPr>
            </w:pPr>
            <w:r>
              <w:rPr>
                <w:rFonts w:ascii="宋体" w:hAnsi="宋体"/>
                <w:sz w:val="24"/>
                <w:szCs w:val="24"/>
              </w:rPr>
              <w:t>程序和工件管理</w:t>
            </w:r>
            <w:r>
              <w:rPr>
                <w:rFonts w:hint="eastAsia" w:ascii="宋体" w:hAnsi="宋体"/>
                <w:sz w:val="24"/>
                <w:szCs w:val="24"/>
              </w:rPr>
              <w:t>。</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2.8</w:t>
            </w:r>
          </w:p>
        </w:tc>
        <w:tc>
          <w:tcPr>
            <w:tcW w:w="7122" w:type="dxa"/>
          </w:tcPr>
          <w:p>
            <w:pPr>
              <w:tabs>
                <w:tab w:val="left" w:pos="0"/>
                <w:tab w:val="left" w:pos="567"/>
              </w:tabs>
              <w:spacing w:line="360" w:lineRule="auto"/>
              <w:rPr>
                <w:rFonts w:ascii="宋体" w:hAnsi="宋体"/>
                <w:sz w:val="24"/>
                <w:szCs w:val="24"/>
              </w:rPr>
            </w:pPr>
            <w:r>
              <w:rPr>
                <w:rFonts w:ascii="宋体" w:hAnsi="宋体"/>
                <w:sz w:val="24"/>
                <w:szCs w:val="24"/>
              </w:rPr>
              <w:t>钻削/铣削工艺循环（钻削，平底扩孔，深孔钻削，刚性攻丝，腔体铣削、螺纹切削功能等）</w:t>
            </w:r>
            <w:r>
              <w:rPr>
                <w:rFonts w:hint="eastAsia" w:ascii="宋体" w:hAnsi="宋体"/>
                <w:sz w:val="24"/>
                <w:szCs w:val="24"/>
              </w:rPr>
              <w:t>。</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2.9</w:t>
            </w:r>
          </w:p>
        </w:tc>
        <w:tc>
          <w:tcPr>
            <w:tcW w:w="7122" w:type="dxa"/>
          </w:tcPr>
          <w:p>
            <w:pPr>
              <w:tabs>
                <w:tab w:val="left" w:pos="0"/>
                <w:tab w:val="left" w:pos="567"/>
              </w:tabs>
              <w:spacing w:line="360" w:lineRule="auto"/>
              <w:rPr>
                <w:rFonts w:ascii="宋体" w:hAnsi="宋体"/>
                <w:sz w:val="24"/>
                <w:szCs w:val="24"/>
              </w:rPr>
            </w:pPr>
            <w:r>
              <w:rPr>
                <w:rFonts w:ascii="宋体" w:hAnsi="宋体"/>
                <w:sz w:val="24"/>
                <w:szCs w:val="24"/>
              </w:rPr>
              <w:t>文本编辑器</w:t>
            </w:r>
            <w:r>
              <w:rPr>
                <w:rFonts w:hint="eastAsia" w:ascii="宋体" w:hAnsi="宋体"/>
                <w:sz w:val="24"/>
                <w:szCs w:val="24"/>
              </w:rPr>
              <w:t>。</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2.10</w:t>
            </w:r>
          </w:p>
        </w:tc>
        <w:tc>
          <w:tcPr>
            <w:tcW w:w="7122" w:type="dxa"/>
          </w:tcPr>
          <w:p>
            <w:pPr>
              <w:tabs>
                <w:tab w:val="left" w:pos="0"/>
                <w:tab w:val="left" w:pos="567"/>
              </w:tabs>
              <w:spacing w:line="360" w:lineRule="auto"/>
              <w:rPr>
                <w:rFonts w:ascii="宋体" w:hAnsi="宋体"/>
                <w:sz w:val="24"/>
                <w:szCs w:val="24"/>
              </w:rPr>
            </w:pPr>
            <w:r>
              <w:rPr>
                <w:rFonts w:ascii="宋体" w:hAnsi="宋体"/>
                <w:sz w:val="24"/>
                <w:szCs w:val="24"/>
              </w:rPr>
              <w:t>带编程图形/任意轮廓输入的几何处理器</w:t>
            </w:r>
            <w:r>
              <w:rPr>
                <w:rFonts w:hint="eastAsia" w:ascii="宋体" w:hAnsi="宋体"/>
                <w:sz w:val="24"/>
                <w:szCs w:val="24"/>
              </w:rPr>
              <w:t>。</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2.11</w:t>
            </w:r>
          </w:p>
        </w:tc>
        <w:tc>
          <w:tcPr>
            <w:tcW w:w="7122" w:type="dxa"/>
          </w:tcPr>
          <w:p>
            <w:pPr>
              <w:tabs>
                <w:tab w:val="left" w:pos="0"/>
                <w:tab w:val="left" w:pos="567"/>
              </w:tabs>
              <w:spacing w:line="360" w:lineRule="auto"/>
              <w:rPr>
                <w:rFonts w:ascii="宋体" w:hAnsi="宋体"/>
                <w:sz w:val="24"/>
                <w:szCs w:val="24"/>
              </w:rPr>
            </w:pPr>
            <w:r>
              <w:rPr>
                <w:rFonts w:ascii="宋体" w:hAnsi="宋体"/>
                <w:sz w:val="24"/>
                <w:szCs w:val="24"/>
              </w:rPr>
              <w:t>2D/3D加工模拟显示功能</w:t>
            </w:r>
            <w:r>
              <w:rPr>
                <w:rFonts w:hint="eastAsia" w:ascii="宋体" w:hAnsi="宋体"/>
                <w:sz w:val="24"/>
                <w:szCs w:val="24"/>
              </w:rPr>
              <w:t>。</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2.12</w:t>
            </w:r>
          </w:p>
        </w:tc>
        <w:tc>
          <w:tcPr>
            <w:tcW w:w="7122" w:type="dxa"/>
          </w:tcPr>
          <w:p>
            <w:pPr>
              <w:tabs>
                <w:tab w:val="left" w:pos="0"/>
                <w:tab w:val="left" w:pos="567"/>
              </w:tabs>
              <w:spacing w:line="360" w:lineRule="auto"/>
              <w:rPr>
                <w:rFonts w:ascii="宋体" w:hAnsi="宋体"/>
                <w:sz w:val="24"/>
                <w:szCs w:val="24"/>
              </w:rPr>
            </w:pPr>
            <w:r>
              <w:rPr>
                <w:rFonts w:ascii="宋体" w:hAnsi="宋体"/>
                <w:sz w:val="24"/>
                <w:szCs w:val="24"/>
              </w:rPr>
              <w:t>坐标系统转换及使用FRAME加工斜面(转换, 旋转, 测量, 镜象)</w:t>
            </w:r>
            <w:r>
              <w:rPr>
                <w:rFonts w:hint="eastAsia" w:ascii="宋体" w:hAnsi="宋体"/>
                <w:sz w:val="24"/>
                <w:szCs w:val="24"/>
              </w:rPr>
              <w:t>。</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2.13</w:t>
            </w:r>
          </w:p>
        </w:tc>
        <w:tc>
          <w:tcPr>
            <w:tcW w:w="7122" w:type="dxa"/>
          </w:tcPr>
          <w:p>
            <w:pPr>
              <w:tabs>
                <w:tab w:val="left" w:pos="0"/>
                <w:tab w:val="left" w:pos="567"/>
              </w:tabs>
              <w:spacing w:line="360" w:lineRule="auto"/>
              <w:rPr>
                <w:rFonts w:ascii="宋体" w:hAnsi="宋体"/>
                <w:sz w:val="24"/>
                <w:szCs w:val="24"/>
              </w:rPr>
            </w:pPr>
            <w:r>
              <w:rPr>
                <w:rFonts w:ascii="宋体" w:hAnsi="宋体"/>
                <w:sz w:val="24"/>
                <w:szCs w:val="24"/>
              </w:rPr>
              <w:t>预测功能（look ahead）和动态前馈控制，以实现高速加工中的频繁运动控制</w:t>
            </w:r>
            <w:r>
              <w:rPr>
                <w:rFonts w:hint="eastAsia" w:ascii="宋体" w:hAnsi="宋体"/>
                <w:sz w:val="24"/>
                <w:szCs w:val="24"/>
              </w:rPr>
              <w:t>。</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2.14</w:t>
            </w:r>
          </w:p>
        </w:tc>
        <w:tc>
          <w:tcPr>
            <w:tcW w:w="7122" w:type="dxa"/>
          </w:tcPr>
          <w:p>
            <w:pPr>
              <w:tabs>
                <w:tab w:val="left" w:pos="0"/>
                <w:tab w:val="left" w:pos="567"/>
              </w:tabs>
              <w:spacing w:line="360" w:lineRule="auto"/>
              <w:rPr>
                <w:rFonts w:ascii="宋体" w:hAnsi="宋体"/>
                <w:sz w:val="24"/>
                <w:szCs w:val="24"/>
              </w:rPr>
            </w:pPr>
            <w:r>
              <w:rPr>
                <w:rFonts w:ascii="宋体" w:hAnsi="宋体"/>
                <w:sz w:val="24"/>
                <w:szCs w:val="24"/>
              </w:rPr>
              <w:t>通过接近和退出的方式实现刀具尺寸（半径与长度）补偿, 交叉点计算</w:t>
            </w:r>
            <w:r>
              <w:rPr>
                <w:rFonts w:hint="eastAsia" w:ascii="宋体" w:hAnsi="宋体"/>
                <w:sz w:val="24"/>
                <w:szCs w:val="24"/>
              </w:rPr>
              <w:t>。</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2.15</w:t>
            </w:r>
          </w:p>
        </w:tc>
        <w:tc>
          <w:tcPr>
            <w:tcW w:w="7122" w:type="dxa"/>
          </w:tcPr>
          <w:p>
            <w:pPr>
              <w:tabs>
                <w:tab w:val="left" w:pos="0"/>
                <w:tab w:val="left" w:pos="567"/>
              </w:tabs>
              <w:spacing w:line="360" w:lineRule="auto"/>
              <w:rPr>
                <w:rFonts w:ascii="宋体" w:hAnsi="宋体"/>
                <w:sz w:val="24"/>
                <w:szCs w:val="24"/>
              </w:rPr>
            </w:pPr>
            <w:r>
              <w:rPr>
                <w:rFonts w:ascii="宋体" w:hAnsi="宋体"/>
                <w:sz w:val="24"/>
                <w:szCs w:val="24"/>
              </w:rPr>
              <w:t>轮廓加工与主轴监控</w:t>
            </w:r>
            <w:r>
              <w:rPr>
                <w:rFonts w:hint="eastAsia" w:ascii="宋体" w:hAnsi="宋体"/>
                <w:sz w:val="24"/>
                <w:szCs w:val="24"/>
              </w:rPr>
              <w:t>。</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2.16</w:t>
            </w:r>
          </w:p>
        </w:tc>
        <w:tc>
          <w:tcPr>
            <w:tcW w:w="7122" w:type="dxa"/>
          </w:tcPr>
          <w:p>
            <w:pPr>
              <w:tabs>
                <w:tab w:val="left" w:pos="0"/>
                <w:tab w:val="left" w:pos="567"/>
              </w:tabs>
              <w:spacing w:line="360" w:lineRule="auto"/>
              <w:rPr>
                <w:rFonts w:ascii="宋体" w:hAnsi="宋体"/>
                <w:sz w:val="24"/>
                <w:szCs w:val="24"/>
              </w:rPr>
            </w:pPr>
            <w:r>
              <w:rPr>
                <w:rFonts w:ascii="宋体" w:hAnsi="宋体"/>
                <w:sz w:val="24"/>
                <w:szCs w:val="24"/>
              </w:rPr>
              <w:t>安全功能，加工区域限制</w:t>
            </w:r>
            <w:r>
              <w:rPr>
                <w:rFonts w:hint="eastAsia" w:ascii="宋体" w:hAnsi="宋体"/>
                <w:sz w:val="24"/>
                <w:szCs w:val="24"/>
              </w:rPr>
              <w:t>。</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2.17</w:t>
            </w:r>
          </w:p>
        </w:tc>
        <w:tc>
          <w:tcPr>
            <w:tcW w:w="7122" w:type="dxa"/>
          </w:tcPr>
          <w:p>
            <w:pPr>
              <w:tabs>
                <w:tab w:val="left" w:pos="0"/>
                <w:tab w:val="left" w:pos="567"/>
              </w:tabs>
              <w:spacing w:line="360" w:lineRule="auto"/>
              <w:rPr>
                <w:rFonts w:ascii="宋体" w:hAnsi="宋体"/>
                <w:sz w:val="24"/>
                <w:szCs w:val="24"/>
              </w:rPr>
            </w:pPr>
            <w:r>
              <w:rPr>
                <w:rFonts w:ascii="宋体" w:hAnsi="宋体"/>
                <w:sz w:val="24"/>
                <w:szCs w:val="24"/>
              </w:rPr>
              <w:t>螺距误差补偿、测量系统误差补偿、过象限误差补偿</w:t>
            </w:r>
            <w:r>
              <w:rPr>
                <w:rFonts w:hint="eastAsia" w:ascii="宋体" w:hAnsi="宋体"/>
                <w:sz w:val="24"/>
                <w:szCs w:val="24"/>
              </w:rPr>
              <w:t>、多维悬垂补偿。</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2.18</w:t>
            </w:r>
          </w:p>
        </w:tc>
        <w:tc>
          <w:tcPr>
            <w:tcW w:w="7122" w:type="dxa"/>
          </w:tcPr>
          <w:p>
            <w:pPr>
              <w:tabs>
                <w:tab w:val="left" w:pos="0"/>
                <w:tab w:val="left" w:pos="567"/>
              </w:tabs>
              <w:spacing w:line="360" w:lineRule="auto"/>
              <w:rPr>
                <w:rFonts w:ascii="宋体" w:hAnsi="宋体"/>
                <w:sz w:val="24"/>
                <w:szCs w:val="24"/>
              </w:rPr>
            </w:pPr>
            <w:r>
              <w:rPr>
                <w:rFonts w:hint="eastAsia" w:ascii="宋体" w:hAnsi="宋体"/>
                <w:sz w:val="24"/>
                <w:szCs w:val="24"/>
              </w:rPr>
              <w:t>PLC用户报警</w:t>
            </w:r>
            <w:r>
              <w:rPr>
                <w:rFonts w:ascii="宋体" w:hAnsi="宋体"/>
                <w:sz w:val="24"/>
                <w:szCs w:val="24"/>
              </w:rPr>
              <w:t>对故障进行详细描述及指导故障排除的文档</w:t>
            </w:r>
            <w:r>
              <w:rPr>
                <w:rFonts w:hint="eastAsia" w:ascii="宋体" w:hAnsi="宋体"/>
                <w:sz w:val="24"/>
                <w:szCs w:val="24"/>
              </w:rPr>
              <w:t>。实现对机床的动作状态的监控，进行预警提示，报警显示，故障停机的全方位安全保护。</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2.19</w:t>
            </w:r>
          </w:p>
        </w:tc>
        <w:tc>
          <w:tcPr>
            <w:tcW w:w="7122" w:type="dxa"/>
          </w:tcPr>
          <w:p>
            <w:pPr>
              <w:tabs>
                <w:tab w:val="left" w:pos="0"/>
                <w:tab w:val="left" w:pos="567"/>
              </w:tabs>
              <w:spacing w:line="360" w:lineRule="auto"/>
              <w:rPr>
                <w:rFonts w:ascii="宋体" w:hAnsi="宋体"/>
                <w:sz w:val="24"/>
                <w:szCs w:val="24"/>
              </w:rPr>
            </w:pPr>
            <w:r>
              <w:rPr>
                <w:rFonts w:hint="eastAsia" w:ascii="宋体" w:hAnsi="宋体"/>
                <w:sz w:val="24"/>
                <w:szCs w:val="24"/>
              </w:rPr>
              <w:t>数控系统开放OPCUA通讯协议，可通过上位机和数控系统通讯，实现数据采集功能，比如采集指标：1.“设备当前开机，加工，空闲，关机，断电，急停状态等。2.设备各轴状态数据等。</w:t>
            </w:r>
          </w:p>
        </w:tc>
        <w:tc>
          <w:tcPr>
            <w:tcW w:w="1120" w:type="dxa"/>
            <w:vAlign w:val="center"/>
          </w:tcPr>
          <w:p>
            <w:pPr>
              <w:spacing w:line="360" w:lineRule="auto"/>
              <w:jc w:val="left"/>
              <w:rPr>
                <w:rFonts w:ascii="宋体" w:hAnsi="宋体"/>
                <w:bCs/>
                <w:sz w:val="24"/>
                <w:szCs w:val="24"/>
              </w:rPr>
            </w:pPr>
          </w:p>
        </w:tc>
      </w:tr>
    </w:tbl>
    <w:p>
      <w:pPr>
        <w:numPr>
          <w:ilvl w:val="0"/>
          <w:numId w:val="7"/>
        </w:numPr>
        <w:spacing w:line="360" w:lineRule="auto"/>
        <w:ind w:right="-341" w:firstLine="480" w:firstLineChars="200"/>
        <w:jc w:val="left"/>
        <w:rPr>
          <w:rFonts w:ascii="宋体" w:hAnsi="宋体"/>
          <w:sz w:val="24"/>
          <w:szCs w:val="24"/>
        </w:rPr>
      </w:pPr>
      <w:r>
        <w:rPr>
          <w:rFonts w:hint="eastAsia" w:ascii="宋体" w:hAnsi="宋体"/>
          <w:sz w:val="24"/>
          <w:szCs w:val="24"/>
        </w:rPr>
        <w:t>机床检查、拆解</w:t>
      </w:r>
    </w:p>
    <w:p>
      <w:pPr>
        <w:numPr>
          <w:ilvl w:val="255"/>
          <w:numId w:val="0"/>
        </w:numPr>
        <w:spacing w:line="360" w:lineRule="auto"/>
        <w:ind w:right="-341"/>
        <w:jc w:val="left"/>
        <w:rPr>
          <w:rFonts w:ascii="宋体" w:hAnsi="宋体"/>
          <w:sz w:val="24"/>
          <w:szCs w:val="24"/>
        </w:rPr>
      </w:pPr>
      <w:r>
        <w:rPr>
          <w:rFonts w:hint="eastAsia" w:ascii="宋体" w:hAnsi="宋体"/>
          <w:bCs/>
          <w:sz w:val="24"/>
          <w:szCs w:val="24"/>
        </w:rPr>
        <w:t>3.1</w:t>
      </w:r>
      <w:r>
        <w:rPr>
          <w:rFonts w:hint="eastAsia" w:ascii="宋体" w:hAnsi="宋体"/>
          <w:sz w:val="24"/>
          <w:szCs w:val="24"/>
        </w:rPr>
        <w:t>机床停机前，</w:t>
      </w:r>
      <w:r>
        <w:rPr>
          <w:rFonts w:hint="eastAsia" w:ascii="宋体" w:hAnsi="宋体" w:cs="Arial"/>
          <w:sz w:val="24"/>
          <w:szCs w:val="24"/>
        </w:rPr>
        <w:t>做好各项数据备份，</w:t>
      </w:r>
      <w:r>
        <w:rPr>
          <w:rFonts w:hint="eastAsia" w:ascii="宋体" w:hAnsi="宋体"/>
          <w:sz w:val="24"/>
          <w:szCs w:val="24"/>
        </w:rPr>
        <w:t>对机床进行预检。根据设备出厂精度表内容，逐项对设备精度进行检测和确认；对设备功能如ATC、APC等进行检测和确认，以实际功能配置为准；对机床主要附件及状态进行清点和确认。通过此次预检，形成机床预检报告、并进一步确认机床已存在的问题和发现有可能隐藏的问题，此次预检得到的信息，作为机床大修时的重要参考。</w:t>
      </w:r>
    </w:p>
    <w:p>
      <w:pPr>
        <w:numPr>
          <w:ilvl w:val="255"/>
          <w:numId w:val="0"/>
        </w:numPr>
        <w:spacing w:line="360" w:lineRule="auto"/>
        <w:ind w:right="-341"/>
        <w:jc w:val="left"/>
        <w:rPr>
          <w:rFonts w:ascii="宋体" w:hAnsi="宋体" w:cs="宋体"/>
          <w:sz w:val="24"/>
          <w:szCs w:val="24"/>
        </w:rPr>
      </w:pPr>
      <w:r>
        <w:rPr>
          <w:rFonts w:hint="eastAsia" w:ascii="宋体" w:hAnsi="宋体"/>
          <w:sz w:val="24"/>
          <w:szCs w:val="24"/>
        </w:rPr>
        <w:t>3.2按照道斯工艺对设备进行拆卸，对相关部件做好标记，核心关键部位保护，外漏导轨运动副防锈保护。设备拆解后床身、立柱进行简易包装，</w:t>
      </w:r>
      <w:r>
        <w:rPr>
          <w:rFonts w:hint="eastAsia" w:ascii="宋体" w:hAnsi="宋体" w:cs="宋体"/>
          <w:sz w:val="24"/>
          <w:szCs w:val="24"/>
        </w:rPr>
        <w:t>做好油液收集工作，确保在维修过程中不出现漏油漏液。</w:t>
      </w:r>
    </w:p>
    <w:p>
      <w:pPr>
        <w:numPr>
          <w:ilvl w:val="0"/>
          <w:numId w:val="7"/>
        </w:numPr>
        <w:spacing w:line="360" w:lineRule="auto"/>
        <w:ind w:right="-341" w:firstLine="480" w:firstLineChars="200"/>
        <w:jc w:val="left"/>
        <w:rPr>
          <w:rFonts w:ascii="宋体" w:hAnsi="宋体"/>
          <w:sz w:val="24"/>
          <w:szCs w:val="24"/>
        </w:rPr>
      </w:pPr>
      <w:r>
        <w:rPr>
          <w:rFonts w:hint="eastAsia" w:ascii="宋体" w:hAnsi="宋体"/>
          <w:sz w:val="24"/>
          <w:szCs w:val="24"/>
        </w:rPr>
        <w:t>机械与液压润滑部分</w:t>
      </w:r>
    </w:p>
    <w:tbl>
      <w:tblPr>
        <w:tblStyle w:val="28"/>
        <w:tblW w:w="905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7122"/>
        <w:gridCol w:w="11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line="360" w:lineRule="auto"/>
              <w:jc w:val="center"/>
              <w:rPr>
                <w:rFonts w:ascii="宋体" w:hAnsi="宋体"/>
                <w:b/>
                <w:sz w:val="24"/>
                <w:szCs w:val="24"/>
              </w:rPr>
            </w:pPr>
            <w:r>
              <w:rPr>
                <w:rFonts w:hint="eastAsia" w:ascii="宋体" w:hAnsi="宋体"/>
                <w:b/>
                <w:sz w:val="24"/>
                <w:szCs w:val="24"/>
              </w:rPr>
              <w:t>1</w:t>
            </w:r>
          </w:p>
        </w:tc>
        <w:tc>
          <w:tcPr>
            <w:tcW w:w="7122" w:type="dxa"/>
            <w:vAlign w:val="center"/>
          </w:tcPr>
          <w:p>
            <w:pPr>
              <w:spacing w:line="360" w:lineRule="auto"/>
              <w:rPr>
                <w:rFonts w:ascii="宋体" w:hAnsi="宋体"/>
                <w:b/>
                <w:spacing w:val="-18"/>
                <w:kern w:val="0"/>
                <w:sz w:val="24"/>
                <w:szCs w:val="24"/>
              </w:rPr>
            </w:pPr>
            <w:r>
              <w:rPr>
                <w:rFonts w:hint="eastAsia" w:ascii="宋体" w:hAnsi="宋体"/>
                <w:b/>
                <w:spacing w:val="-18"/>
                <w:kern w:val="0"/>
                <w:sz w:val="24"/>
                <w:szCs w:val="24"/>
              </w:rPr>
              <w:t>床身（X轴 Z轴）</w:t>
            </w:r>
          </w:p>
        </w:tc>
        <w:tc>
          <w:tcPr>
            <w:tcW w:w="1120" w:type="dxa"/>
            <w:vAlign w:val="center"/>
          </w:tcPr>
          <w:p>
            <w:pPr>
              <w:spacing w:line="360" w:lineRule="auto"/>
              <w:jc w:val="center"/>
              <w:rPr>
                <w:rFonts w:ascii="宋体" w:hAnsi="宋体"/>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line="360" w:lineRule="auto"/>
              <w:jc w:val="center"/>
              <w:rPr>
                <w:rFonts w:hint="default" w:ascii="宋体" w:hAnsi="宋体" w:eastAsia="宋体"/>
                <w:b/>
                <w:sz w:val="24"/>
                <w:szCs w:val="24"/>
                <w:lang w:val="en-US" w:eastAsia="zh-CN"/>
              </w:rPr>
            </w:pPr>
            <w:r>
              <w:rPr>
                <w:rFonts w:hint="eastAsia" w:ascii="宋体" w:hAnsi="宋体"/>
                <w:b/>
                <w:sz w:val="24"/>
                <w:szCs w:val="24"/>
                <w:lang w:val="en-US" w:eastAsia="zh-CN"/>
              </w:rPr>
              <w:t>1.1</w:t>
            </w:r>
          </w:p>
        </w:tc>
        <w:tc>
          <w:tcPr>
            <w:tcW w:w="7122" w:type="dxa"/>
            <w:vAlign w:val="center"/>
          </w:tcPr>
          <w:p>
            <w:pPr>
              <w:spacing w:line="360" w:lineRule="auto"/>
              <w:rPr>
                <w:rFonts w:hint="eastAsia" w:ascii="宋体" w:hAnsi="宋体"/>
                <w:b/>
                <w:spacing w:val="-18"/>
                <w:kern w:val="0"/>
                <w:sz w:val="24"/>
                <w:szCs w:val="24"/>
              </w:rPr>
            </w:pPr>
            <w:r>
              <w:rPr>
                <w:rFonts w:hint="eastAsia" w:ascii="宋体" w:hAnsi="宋体" w:eastAsia="宋体" w:cs="Times New Roman"/>
                <w:b w:val="0"/>
                <w:sz w:val="24"/>
                <w:szCs w:val="24"/>
                <w:lang w:val="en-US" w:eastAsia="zh-CN"/>
              </w:rPr>
              <w:t>上德国科宝磨床全新磨削Z轴后床身，与及其它需要磨削的床身与大件。</w:t>
            </w:r>
          </w:p>
        </w:tc>
        <w:tc>
          <w:tcPr>
            <w:tcW w:w="1120" w:type="dxa"/>
            <w:vAlign w:val="center"/>
          </w:tcPr>
          <w:p>
            <w:pPr>
              <w:spacing w:line="360" w:lineRule="auto"/>
              <w:jc w:val="center"/>
              <w:rPr>
                <w:rFonts w:ascii="宋体" w:hAnsi="宋体"/>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w:t>
            </w:r>
            <w:r>
              <w:rPr>
                <w:rFonts w:ascii="宋体" w:hAnsi="宋体"/>
                <w:b/>
                <w:sz w:val="24"/>
                <w:szCs w:val="24"/>
              </w:rPr>
              <w:t>.2</w:t>
            </w:r>
          </w:p>
        </w:tc>
        <w:tc>
          <w:tcPr>
            <w:tcW w:w="7122" w:type="dxa"/>
            <w:vAlign w:val="center"/>
          </w:tcPr>
          <w:p>
            <w:pPr>
              <w:tabs>
                <w:tab w:val="left" w:pos="0"/>
                <w:tab w:val="left" w:pos="567"/>
              </w:tabs>
              <w:spacing w:line="360" w:lineRule="auto"/>
              <w:rPr>
                <w:rFonts w:ascii="宋体" w:hAnsi="宋体"/>
                <w:sz w:val="24"/>
                <w:szCs w:val="24"/>
              </w:rPr>
            </w:pPr>
            <w:r>
              <w:rPr>
                <w:rFonts w:hint="eastAsia" w:ascii="宋体" w:hAnsi="宋体"/>
                <w:sz w:val="24"/>
                <w:szCs w:val="24"/>
              </w:rPr>
              <w:t>检查X、Z轴贴塑面，清洗保养贴塑，直接刮研修复精度。若贴塑面磨损严重，人工去除X轴与Z轴床身滑座原有贴塑面，重新粘贴意大利进口低摩擦系数导轨贴塑面（需具有极高的机械强度与极低的摩擦系数）。更换新贴塑面后，再对贴塑面进行加工、开润滑油腔并与修复后的床身导轨进行合研，进行人工配铲相关几何精度及装配间隙，满足复合硬轨要求，恢复X轴相关精度至出厂标准（表面配合接触点数25mm×25mm面积内，不少于15个接触点，导轨副接触面达到75%以上）。</w:t>
            </w:r>
          </w:p>
        </w:tc>
        <w:tc>
          <w:tcPr>
            <w:tcW w:w="1120" w:type="dxa"/>
            <w:vAlign w:val="center"/>
          </w:tcPr>
          <w:p>
            <w:pPr>
              <w:spacing w:line="360" w:lineRule="auto"/>
              <w:rPr>
                <w:rFonts w:ascii="宋体" w:hAnsi="宋体"/>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w:t>
            </w:r>
            <w:r>
              <w:rPr>
                <w:rFonts w:ascii="宋体" w:hAnsi="宋体"/>
                <w:b/>
                <w:sz w:val="24"/>
                <w:szCs w:val="24"/>
              </w:rPr>
              <w:t>.3</w:t>
            </w:r>
          </w:p>
        </w:tc>
        <w:tc>
          <w:tcPr>
            <w:tcW w:w="7122" w:type="dxa"/>
            <w:vAlign w:val="center"/>
          </w:tcPr>
          <w:p>
            <w:pPr>
              <w:tabs>
                <w:tab w:val="left" w:pos="0"/>
                <w:tab w:val="left" w:pos="567"/>
              </w:tabs>
              <w:spacing w:line="360" w:lineRule="auto"/>
              <w:rPr>
                <w:rFonts w:ascii="宋体" w:hAnsi="宋体"/>
                <w:sz w:val="24"/>
                <w:szCs w:val="24"/>
              </w:rPr>
            </w:pPr>
            <w:r>
              <w:rPr>
                <w:rFonts w:hint="eastAsia" w:ascii="宋体" w:hAnsi="宋体"/>
                <w:sz w:val="24"/>
                <w:szCs w:val="24"/>
              </w:rPr>
              <w:t>更换X轴与Z轴镶条与定位面贴塑面（材料与下滑座底部导轨材料相同），然后开润滑油槽，配刮调整，达到装配间隙要求。</w:t>
            </w:r>
          </w:p>
        </w:tc>
        <w:tc>
          <w:tcPr>
            <w:tcW w:w="1120" w:type="dxa"/>
            <w:vAlign w:val="center"/>
          </w:tcPr>
          <w:p>
            <w:pPr>
              <w:spacing w:line="360" w:lineRule="auto"/>
              <w:rPr>
                <w:rFonts w:ascii="宋体" w:hAnsi="宋体"/>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w:t>
            </w:r>
            <w:r>
              <w:rPr>
                <w:rFonts w:ascii="宋体" w:hAnsi="宋体"/>
                <w:b/>
                <w:sz w:val="24"/>
                <w:szCs w:val="24"/>
              </w:rPr>
              <w:t>.4</w:t>
            </w:r>
          </w:p>
        </w:tc>
        <w:tc>
          <w:tcPr>
            <w:tcW w:w="7122" w:type="dxa"/>
            <w:vAlign w:val="center"/>
          </w:tcPr>
          <w:p>
            <w:pPr>
              <w:tabs>
                <w:tab w:val="left" w:pos="0"/>
                <w:tab w:val="left" w:pos="567"/>
              </w:tabs>
              <w:spacing w:line="360" w:lineRule="auto"/>
              <w:rPr>
                <w:rFonts w:ascii="宋体" w:hAnsi="宋体"/>
                <w:sz w:val="24"/>
                <w:szCs w:val="24"/>
              </w:rPr>
            </w:pPr>
            <w:r>
              <w:rPr>
                <w:rFonts w:hint="eastAsia" w:ascii="宋体" w:hAnsi="宋体"/>
                <w:sz w:val="24"/>
                <w:szCs w:val="24"/>
              </w:rPr>
              <w:t>更换道斯原厂滚动体，接通润滑，调整上浮量，达到装配间隙要求。</w:t>
            </w:r>
          </w:p>
        </w:tc>
        <w:tc>
          <w:tcPr>
            <w:tcW w:w="1120" w:type="dxa"/>
            <w:vAlign w:val="center"/>
          </w:tcPr>
          <w:p>
            <w:pPr>
              <w:spacing w:line="360" w:lineRule="auto"/>
              <w:rPr>
                <w:rFonts w:ascii="宋体" w:hAnsi="宋体"/>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w:t>
            </w:r>
            <w:r>
              <w:rPr>
                <w:rFonts w:ascii="宋体" w:hAnsi="宋体"/>
                <w:b/>
                <w:sz w:val="24"/>
                <w:szCs w:val="24"/>
              </w:rPr>
              <w:t>.5</w:t>
            </w:r>
          </w:p>
        </w:tc>
        <w:tc>
          <w:tcPr>
            <w:tcW w:w="7122" w:type="dxa"/>
            <w:vAlign w:val="center"/>
          </w:tcPr>
          <w:p>
            <w:pPr>
              <w:tabs>
                <w:tab w:val="left" w:pos="0"/>
                <w:tab w:val="left" w:pos="567"/>
              </w:tabs>
              <w:spacing w:line="360" w:lineRule="auto"/>
              <w:rPr>
                <w:rFonts w:ascii="宋体" w:hAnsi="宋体"/>
                <w:sz w:val="24"/>
                <w:szCs w:val="24"/>
              </w:rPr>
            </w:pPr>
            <w:r>
              <w:rPr>
                <w:rFonts w:hint="eastAsia" w:ascii="宋体" w:hAnsi="宋体"/>
                <w:sz w:val="24"/>
                <w:szCs w:val="24"/>
              </w:rPr>
              <w:t>更换压板轴承，根据加工合格的基础大件，调整定位，压板预紧力达到装配要求（轴承使用NSK进口轴承）。</w:t>
            </w:r>
          </w:p>
        </w:tc>
        <w:tc>
          <w:tcPr>
            <w:tcW w:w="1120" w:type="dxa"/>
            <w:vAlign w:val="center"/>
          </w:tcPr>
          <w:p>
            <w:pPr>
              <w:spacing w:line="360" w:lineRule="auto"/>
              <w:rPr>
                <w:rFonts w:ascii="宋体" w:hAnsi="宋体"/>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w:t>
            </w:r>
            <w:r>
              <w:rPr>
                <w:rFonts w:ascii="宋体" w:hAnsi="宋体"/>
                <w:b/>
                <w:sz w:val="24"/>
                <w:szCs w:val="24"/>
              </w:rPr>
              <w:t>.6</w:t>
            </w:r>
          </w:p>
        </w:tc>
        <w:tc>
          <w:tcPr>
            <w:tcW w:w="7122" w:type="dxa"/>
            <w:vAlign w:val="center"/>
          </w:tcPr>
          <w:p>
            <w:pPr>
              <w:tabs>
                <w:tab w:val="left" w:pos="0"/>
                <w:tab w:val="left" w:pos="567"/>
              </w:tabs>
              <w:spacing w:line="360" w:lineRule="auto"/>
              <w:rPr>
                <w:rFonts w:ascii="宋体" w:hAnsi="宋体"/>
                <w:sz w:val="24"/>
                <w:szCs w:val="24"/>
              </w:rPr>
            </w:pPr>
            <w:r>
              <w:rPr>
                <w:rFonts w:hint="eastAsia" w:ascii="宋体" w:hAnsi="宋体"/>
                <w:sz w:val="24"/>
                <w:szCs w:val="24"/>
              </w:rPr>
              <w:t>解体、清洗、检查、保养X轴传动链、联轴器、同步带、伺服电机。</w:t>
            </w:r>
          </w:p>
        </w:tc>
        <w:tc>
          <w:tcPr>
            <w:tcW w:w="1120" w:type="dxa"/>
            <w:vAlign w:val="center"/>
          </w:tcPr>
          <w:p>
            <w:pPr>
              <w:spacing w:line="360" w:lineRule="auto"/>
              <w:rPr>
                <w:rFonts w:ascii="宋体" w:hAnsi="宋体"/>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w:t>
            </w:r>
            <w:r>
              <w:rPr>
                <w:rFonts w:ascii="宋体" w:hAnsi="宋体"/>
                <w:b/>
                <w:sz w:val="24"/>
                <w:szCs w:val="24"/>
              </w:rPr>
              <w:t>.7</w:t>
            </w:r>
          </w:p>
        </w:tc>
        <w:tc>
          <w:tcPr>
            <w:tcW w:w="7122" w:type="dxa"/>
            <w:vAlign w:val="center"/>
          </w:tcPr>
          <w:p>
            <w:pPr>
              <w:tabs>
                <w:tab w:val="left" w:pos="0"/>
                <w:tab w:val="left" w:pos="567"/>
              </w:tabs>
              <w:spacing w:line="360" w:lineRule="auto"/>
              <w:rPr>
                <w:rFonts w:ascii="宋体" w:hAnsi="宋体"/>
                <w:sz w:val="24"/>
                <w:szCs w:val="24"/>
              </w:rPr>
            </w:pPr>
            <w:r>
              <w:rPr>
                <w:rFonts w:hint="eastAsia" w:ascii="宋体" w:hAnsi="宋体"/>
                <w:sz w:val="24"/>
                <w:szCs w:val="24"/>
              </w:rPr>
              <w:t>解体、清洗并检查X轴、Z轴丝杆传动链，包括丝杆轴承、同步带轮、伺服电机等，由专业工程师复装X轴、Z轴滚珠丝杆，按新机装配工艺校正丝杆平行度、直线度，合理预紧丝杆，安装调试合格。同时更换丝杆两端支撑轴承，按照新机装配工艺预紧轴承，保证传动间隙合理，运行可靠，轴承使用NSK品牌，与道斯原厂型号一致。更换全新盖茨传动齿型带，其余各部件若磨损尚可，则保养后继续使用，若发现有损坏或者失效的部件，则直接更换，更换的元器件选用道斯原装件。</w:t>
            </w:r>
          </w:p>
        </w:tc>
        <w:tc>
          <w:tcPr>
            <w:tcW w:w="1120" w:type="dxa"/>
            <w:vAlign w:val="center"/>
          </w:tcPr>
          <w:p>
            <w:pPr>
              <w:spacing w:line="360" w:lineRule="auto"/>
              <w:rPr>
                <w:rFonts w:ascii="宋体" w:hAnsi="宋体"/>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1.8</w:t>
            </w:r>
          </w:p>
        </w:tc>
        <w:tc>
          <w:tcPr>
            <w:tcW w:w="7122" w:type="dxa"/>
            <w:vAlign w:val="center"/>
          </w:tcPr>
          <w:p>
            <w:pPr>
              <w:tabs>
                <w:tab w:val="left" w:pos="0"/>
                <w:tab w:val="left" w:pos="567"/>
              </w:tabs>
              <w:spacing w:line="360" w:lineRule="auto"/>
              <w:rPr>
                <w:rFonts w:ascii="宋体" w:hAnsi="宋体"/>
                <w:sz w:val="24"/>
                <w:szCs w:val="24"/>
              </w:rPr>
            </w:pPr>
            <w:r>
              <w:rPr>
                <w:rFonts w:hint="eastAsia" w:ascii="宋体" w:hAnsi="宋体"/>
                <w:sz w:val="24"/>
                <w:szCs w:val="24"/>
              </w:rPr>
              <w:t>更换X轴、Z轴床身导轨刮屑板，配打新的安装孔，保证刮屑清污良好有效。</w:t>
            </w:r>
          </w:p>
        </w:tc>
        <w:tc>
          <w:tcPr>
            <w:tcW w:w="1120" w:type="dxa"/>
            <w:vAlign w:val="center"/>
          </w:tcPr>
          <w:p>
            <w:pPr>
              <w:spacing w:line="360" w:lineRule="auto"/>
              <w:rPr>
                <w:rFonts w:ascii="宋体" w:hAnsi="宋体"/>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lang w:val="en-US" w:eastAsia="zh-CN"/>
              </w:rPr>
              <w:t>1.9</w:t>
            </w:r>
          </w:p>
        </w:tc>
        <w:tc>
          <w:tcPr>
            <w:tcW w:w="7122" w:type="dxa"/>
            <w:vAlign w:val="center"/>
          </w:tcPr>
          <w:p>
            <w:pPr>
              <w:tabs>
                <w:tab w:val="left" w:pos="0"/>
                <w:tab w:val="left" w:pos="567"/>
              </w:tabs>
              <w:spacing w:line="360" w:lineRule="auto"/>
              <w:rPr>
                <w:rFonts w:ascii="宋体" w:hAnsi="宋体"/>
                <w:sz w:val="24"/>
                <w:szCs w:val="24"/>
              </w:rPr>
            </w:pPr>
            <w:r>
              <w:rPr>
                <w:rFonts w:hint="eastAsia" w:ascii="宋体" w:hAnsi="宋体"/>
                <w:bCs/>
                <w:spacing w:val="-18"/>
                <w:kern w:val="0"/>
                <w:sz w:val="24"/>
                <w:szCs w:val="24"/>
              </w:rPr>
              <w:t>以导轨为基准，检查校准X轴、</w:t>
            </w:r>
            <w:r>
              <w:rPr>
                <w:rFonts w:ascii="宋体" w:hAnsi="宋体"/>
                <w:bCs/>
                <w:spacing w:val="-18"/>
                <w:kern w:val="0"/>
                <w:sz w:val="24"/>
                <w:szCs w:val="24"/>
              </w:rPr>
              <w:t>Z</w:t>
            </w:r>
            <w:r>
              <w:rPr>
                <w:rFonts w:hint="eastAsia" w:ascii="宋体" w:hAnsi="宋体"/>
                <w:bCs/>
                <w:spacing w:val="-18"/>
                <w:kern w:val="0"/>
                <w:sz w:val="24"/>
                <w:szCs w:val="24"/>
              </w:rPr>
              <w:t>轴海德汉光栅尺，清洗尺子，更换读数头，更换光栅尺专用密封条。</w:t>
            </w:r>
          </w:p>
        </w:tc>
        <w:tc>
          <w:tcPr>
            <w:tcW w:w="1120" w:type="dxa"/>
            <w:vAlign w:val="center"/>
          </w:tcPr>
          <w:p>
            <w:pPr>
              <w:spacing w:line="360" w:lineRule="auto"/>
              <w:rPr>
                <w:rFonts w:ascii="宋体" w:hAnsi="宋体"/>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2</w:t>
            </w:r>
          </w:p>
        </w:tc>
        <w:tc>
          <w:tcPr>
            <w:tcW w:w="7122" w:type="dxa"/>
            <w:vAlign w:val="center"/>
          </w:tcPr>
          <w:p>
            <w:pPr>
              <w:tabs>
                <w:tab w:val="left" w:pos="0"/>
                <w:tab w:val="left" w:pos="567"/>
              </w:tabs>
              <w:spacing w:line="360" w:lineRule="auto"/>
              <w:rPr>
                <w:rFonts w:ascii="宋体" w:hAnsi="宋体"/>
                <w:b/>
                <w:sz w:val="24"/>
                <w:szCs w:val="24"/>
              </w:rPr>
            </w:pPr>
            <w:r>
              <w:rPr>
                <w:rFonts w:hint="eastAsia" w:ascii="宋体" w:hAnsi="宋体"/>
                <w:b/>
                <w:sz w:val="24"/>
                <w:szCs w:val="24"/>
              </w:rPr>
              <w:t>立柱（Y轴）</w:t>
            </w:r>
          </w:p>
        </w:tc>
        <w:tc>
          <w:tcPr>
            <w:tcW w:w="1120" w:type="dxa"/>
            <w:vAlign w:val="center"/>
          </w:tcPr>
          <w:p>
            <w:pPr>
              <w:spacing w:line="360" w:lineRule="auto"/>
              <w:rPr>
                <w:rFonts w:ascii="宋体" w:hAnsi="宋体"/>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ascii="宋体" w:hAnsi="宋体"/>
                <w:b/>
                <w:sz w:val="24"/>
                <w:szCs w:val="24"/>
              </w:rPr>
              <w:t>2.1</w:t>
            </w:r>
          </w:p>
        </w:tc>
        <w:tc>
          <w:tcPr>
            <w:tcW w:w="7122" w:type="dxa"/>
            <w:vAlign w:val="center"/>
          </w:tcPr>
          <w:p>
            <w:pPr>
              <w:tabs>
                <w:tab w:val="left" w:pos="0"/>
                <w:tab w:val="left" w:pos="567"/>
              </w:tabs>
              <w:spacing w:line="360" w:lineRule="auto"/>
              <w:rPr>
                <w:rFonts w:ascii="宋体" w:hAnsi="宋体"/>
                <w:sz w:val="24"/>
                <w:szCs w:val="24"/>
              </w:rPr>
            </w:pPr>
            <w:r>
              <w:rPr>
                <w:rFonts w:hint="eastAsia" w:ascii="宋体" w:hAnsi="宋体"/>
                <w:sz w:val="24"/>
                <w:szCs w:val="24"/>
              </w:rPr>
              <w:t>检查Y轴贴塑面，清洗保养贴塑，直接刮研修复精度。若贴塑面磨损严重，人工去除原有主轴箱贴塑面，重新粘贴意大利进口低摩擦系数导轨贴塑面（需具有极高的机械强度与极低的摩擦系数）。更换新贴塑面后，再对贴塑面进行加工、开润滑油腔并与修复后的立柱导轨进行合研，进行人工配铲相关几何精度及装配间隙，满足复合硬轨要求，恢复Y轴的相关精度至出厂标准（表面配合接触点数25mm×25mm面积内，不少于15个接触点，导轨副接触面达到75%以上）。</w:t>
            </w:r>
          </w:p>
        </w:tc>
        <w:tc>
          <w:tcPr>
            <w:tcW w:w="1120" w:type="dxa"/>
            <w:vAlign w:val="center"/>
          </w:tcPr>
          <w:p>
            <w:pPr>
              <w:spacing w:line="360" w:lineRule="auto"/>
              <w:rPr>
                <w:rFonts w:ascii="宋体" w:hAnsi="宋体"/>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ascii="宋体" w:hAnsi="宋体"/>
                <w:b/>
                <w:sz w:val="24"/>
                <w:szCs w:val="24"/>
              </w:rPr>
              <w:t>2.2</w:t>
            </w:r>
          </w:p>
        </w:tc>
        <w:tc>
          <w:tcPr>
            <w:tcW w:w="7122" w:type="dxa"/>
            <w:vAlign w:val="center"/>
          </w:tcPr>
          <w:p>
            <w:pPr>
              <w:tabs>
                <w:tab w:val="left" w:pos="0"/>
                <w:tab w:val="left" w:pos="567"/>
              </w:tabs>
              <w:spacing w:line="360" w:lineRule="auto"/>
              <w:rPr>
                <w:rFonts w:ascii="宋体" w:hAnsi="宋体"/>
                <w:sz w:val="24"/>
                <w:szCs w:val="24"/>
              </w:rPr>
            </w:pPr>
            <w:r>
              <w:rPr>
                <w:rFonts w:hint="eastAsia" w:ascii="宋体" w:hAnsi="宋体"/>
                <w:sz w:val="24"/>
                <w:szCs w:val="24"/>
              </w:rPr>
              <w:t>更换Y轴镶条与定位面贴塑面（材料与下滑座底部导轨材料相同），然后开润滑油槽，配刮调整，达到装配间隙要求。</w:t>
            </w:r>
          </w:p>
        </w:tc>
        <w:tc>
          <w:tcPr>
            <w:tcW w:w="1120" w:type="dxa"/>
            <w:vAlign w:val="center"/>
          </w:tcPr>
          <w:p>
            <w:pPr>
              <w:spacing w:line="360" w:lineRule="auto"/>
              <w:rPr>
                <w:rFonts w:ascii="宋体" w:hAnsi="宋体"/>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ascii="宋体" w:hAnsi="宋体"/>
                <w:b/>
                <w:sz w:val="24"/>
                <w:szCs w:val="24"/>
              </w:rPr>
              <w:t>2.3</w:t>
            </w:r>
          </w:p>
        </w:tc>
        <w:tc>
          <w:tcPr>
            <w:tcW w:w="7122" w:type="dxa"/>
            <w:vAlign w:val="center"/>
          </w:tcPr>
          <w:p>
            <w:pPr>
              <w:tabs>
                <w:tab w:val="left" w:pos="0"/>
                <w:tab w:val="left" w:pos="567"/>
              </w:tabs>
              <w:spacing w:line="360" w:lineRule="auto"/>
              <w:rPr>
                <w:rFonts w:ascii="宋体" w:hAnsi="宋体"/>
                <w:sz w:val="24"/>
                <w:szCs w:val="24"/>
              </w:rPr>
            </w:pPr>
            <w:r>
              <w:rPr>
                <w:rFonts w:hint="eastAsia" w:ascii="宋体" w:hAnsi="宋体"/>
                <w:sz w:val="24"/>
                <w:szCs w:val="24"/>
              </w:rPr>
              <w:t>更换道斯原厂滚动体，接通润滑，调整上浮量，达到装配间隙要求。</w:t>
            </w:r>
          </w:p>
        </w:tc>
        <w:tc>
          <w:tcPr>
            <w:tcW w:w="1120" w:type="dxa"/>
            <w:vAlign w:val="center"/>
          </w:tcPr>
          <w:p>
            <w:pPr>
              <w:spacing w:line="360" w:lineRule="auto"/>
              <w:rPr>
                <w:rFonts w:ascii="宋体" w:hAnsi="宋体"/>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ascii="宋体" w:hAnsi="宋体"/>
                <w:b/>
                <w:sz w:val="24"/>
                <w:szCs w:val="24"/>
              </w:rPr>
              <w:t>2.4</w:t>
            </w:r>
          </w:p>
        </w:tc>
        <w:tc>
          <w:tcPr>
            <w:tcW w:w="7122" w:type="dxa"/>
            <w:vAlign w:val="center"/>
          </w:tcPr>
          <w:p>
            <w:pPr>
              <w:tabs>
                <w:tab w:val="left" w:pos="0"/>
                <w:tab w:val="left" w:pos="567"/>
              </w:tabs>
              <w:spacing w:line="360" w:lineRule="auto"/>
              <w:rPr>
                <w:rFonts w:ascii="宋体" w:hAnsi="宋体"/>
                <w:sz w:val="24"/>
                <w:szCs w:val="24"/>
              </w:rPr>
            </w:pPr>
            <w:r>
              <w:rPr>
                <w:rFonts w:hint="eastAsia" w:ascii="宋体" w:hAnsi="宋体"/>
                <w:sz w:val="24"/>
                <w:szCs w:val="24"/>
              </w:rPr>
              <w:t>解体、清洗并检查Y轴丝杆传动链，包括丝杆轴承、同步带轮、伺服电机等，由专业工程师复装Y轴滚珠丝杆，按新机装配工艺校正丝杆平行度、直线度，合理预紧丝杆，安装调试合格。同时更换丝杆两端支撑轴承，按照新机装配工艺预紧轴承，保证传动间隙合理，运行可靠，轴承使用NSK品牌，与道斯原厂型号一致。更换全新盖茨传动齿型带，其余各部件若磨损尚可，则保养后继续使用，若发现有损坏或者失效的部件，则直接更换，更换的元器件选用道斯原装件</w:t>
            </w:r>
          </w:p>
        </w:tc>
        <w:tc>
          <w:tcPr>
            <w:tcW w:w="1120" w:type="dxa"/>
            <w:vAlign w:val="center"/>
          </w:tcPr>
          <w:p>
            <w:pPr>
              <w:spacing w:line="360" w:lineRule="auto"/>
              <w:rPr>
                <w:rFonts w:ascii="宋体" w:hAnsi="宋体"/>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ascii="宋体" w:hAnsi="宋体"/>
                <w:b/>
                <w:sz w:val="24"/>
                <w:szCs w:val="24"/>
              </w:rPr>
              <w:t>2.5</w:t>
            </w:r>
          </w:p>
        </w:tc>
        <w:tc>
          <w:tcPr>
            <w:tcW w:w="7122" w:type="dxa"/>
            <w:vAlign w:val="center"/>
          </w:tcPr>
          <w:p>
            <w:pPr>
              <w:tabs>
                <w:tab w:val="left" w:pos="0"/>
                <w:tab w:val="left" w:pos="567"/>
              </w:tabs>
              <w:spacing w:line="360" w:lineRule="auto"/>
              <w:rPr>
                <w:rFonts w:ascii="宋体" w:hAnsi="宋体"/>
                <w:sz w:val="24"/>
                <w:szCs w:val="24"/>
              </w:rPr>
            </w:pPr>
            <w:r>
              <w:rPr>
                <w:rFonts w:hint="eastAsia" w:ascii="宋体" w:hAnsi="宋体"/>
                <w:sz w:val="24"/>
                <w:szCs w:val="24"/>
              </w:rPr>
              <w:t>更换压板轴承，根据加工合格的基础大件，调整定位，压板预紧力达到装配要求（轴承使用NSK进口轴承）。</w:t>
            </w:r>
          </w:p>
        </w:tc>
        <w:tc>
          <w:tcPr>
            <w:tcW w:w="1120" w:type="dxa"/>
            <w:vAlign w:val="center"/>
          </w:tcPr>
          <w:p>
            <w:pPr>
              <w:spacing w:line="360" w:lineRule="auto"/>
              <w:rPr>
                <w:rFonts w:ascii="宋体" w:hAnsi="宋体"/>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ascii="宋体" w:hAnsi="宋体"/>
                <w:b/>
                <w:sz w:val="24"/>
                <w:szCs w:val="24"/>
              </w:rPr>
              <w:t>2.6</w:t>
            </w:r>
          </w:p>
        </w:tc>
        <w:tc>
          <w:tcPr>
            <w:tcW w:w="7122" w:type="dxa"/>
            <w:vAlign w:val="center"/>
          </w:tcPr>
          <w:p>
            <w:pPr>
              <w:tabs>
                <w:tab w:val="left" w:pos="0"/>
                <w:tab w:val="left" w:pos="567"/>
              </w:tabs>
              <w:spacing w:line="360" w:lineRule="auto"/>
              <w:rPr>
                <w:rFonts w:ascii="宋体" w:hAnsi="宋体"/>
                <w:sz w:val="24"/>
                <w:szCs w:val="24"/>
              </w:rPr>
            </w:pPr>
            <w:r>
              <w:rPr>
                <w:rFonts w:hint="eastAsia" w:ascii="宋体" w:hAnsi="宋体"/>
                <w:bCs/>
                <w:spacing w:val="-18"/>
                <w:kern w:val="0"/>
                <w:sz w:val="24"/>
                <w:szCs w:val="24"/>
              </w:rPr>
              <w:t>以导轨为基准，检查校准</w:t>
            </w:r>
            <w:r>
              <w:rPr>
                <w:rFonts w:ascii="宋体" w:hAnsi="宋体"/>
                <w:bCs/>
                <w:spacing w:val="-18"/>
                <w:kern w:val="0"/>
                <w:sz w:val="24"/>
                <w:szCs w:val="24"/>
              </w:rPr>
              <w:t>Y</w:t>
            </w:r>
            <w:r>
              <w:rPr>
                <w:rFonts w:hint="eastAsia" w:ascii="宋体" w:hAnsi="宋体"/>
                <w:bCs/>
                <w:spacing w:val="-18"/>
                <w:kern w:val="0"/>
                <w:sz w:val="24"/>
                <w:szCs w:val="24"/>
              </w:rPr>
              <w:t>轴海德汉光栅尺，清洗尺子，更换读数头，更换光栅尺专用密封条。</w:t>
            </w:r>
          </w:p>
        </w:tc>
        <w:tc>
          <w:tcPr>
            <w:tcW w:w="1120" w:type="dxa"/>
            <w:vAlign w:val="center"/>
          </w:tcPr>
          <w:p>
            <w:pPr>
              <w:spacing w:line="360" w:lineRule="auto"/>
              <w:rPr>
                <w:rFonts w:ascii="宋体" w:hAnsi="宋体"/>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3</w:t>
            </w:r>
          </w:p>
        </w:tc>
        <w:tc>
          <w:tcPr>
            <w:tcW w:w="7122" w:type="dxa"/>
            <w:vAlign w:val="center"/>
          </w:tcPr>
          <w:p>
            <w:pPr>
              <w:tabs>
                <w:tab w:val="left" w:pos="0"/>
                <w:tab w:val="left" w:pos="567"/>
              </w:tabs>
              <w:spacing w:line="360" w:lineRule="auto"/>
              <w:rPr>
                <w:rFonts w:ascii="宋体" w:hAnsi="宋体"/>
                <w:b/>
                <w:sz w:val="24"/>
                <w:szCs w:val="24"/>
              </w:rPr>
            </w:pPr>
            <w:r>
              <w:rPr>
                <w:rFonts w:hint="eastAsia" w:ascii="宋体" w:hAnsi="宋体"/>
                <w:b/>
                <w:sz w:val="24"/>
                <w:szCs w:val="24"/>
              </w:rPr>
              <w:t>主轴箱</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3</w:t>
            </w:r>
            <w:r>
              <w:rPr>
                <w:rFonts w:ascii="宋体" w:hAnsi="宋体"/>
                <w:b/>
                <w:sz w:val="24"/>
                <w:szCs w:val="24"/>
              </w:rPr>
              <w:t>.1</w:t>
            </w:r>
          </w:p>
        </w:tc>
        <w:tc>
          <w:tcPr>
            <w:tcW w:w="7122" w:type="dxa"/>
            <w:vAlign w:val="center"/>
          </w:tcPr>
          <w:p>
            <w:pPr>
              <w:tabs>
                <w:tab w:val="left" w:pos="0"/>
                <w:tab w:val="left" w:pos="567"/>
              </w:tabs>
              <w:spacing w:line="360" w:lineRule="auto"/>
              <w:rPr>
                <w:rFonts w:ascii="宋体" w:hAnsi="宋体"/>
                <w:sz w:val="24"/>
                <w:szCs w:val="24"/>
              </w:rPr>
            </w:pPr>
            <w:r>
              <w:rPr>
                <w:rFonts w:hint="eastAsia" w:ascii="宋体" w:hAnsi="宋体"/>
                <w:sz w:val="24"/>
                <w:szCs w:val="24"/>
              </w:rPr>
              <w:t>对主轴箱进行彻底的解体、清理油污异物。按照道斯主轴箱装配工艺拆解全套主轴、各级齿轮、主轴轴承、各级传动轴轴承。拆主轴轴承时采用热风枪加热轴承至6</w:t>
            </w:r>
            <w:r>
              <w:rPr>
                <w:rFonts w:ascii="宋体" w:hAnsi="宋体"/>
                <w:sz w:val="24"/>
                <w:szCs w:val="24"/>
              </w:rPr>
              <w:t>5</w:t>
            </w:r>
            <w:r>
              <w:rPr>
                <w:rFonts w:hint="eastAsia" w:ascii="宋体" w:hAnsi="宋体"/>
                <w:sz w:val="24"/>
                <w:szCs w:val="24"/>
              </w:rPr>
              <w:t>℃---</w:t>
            </w:r>
            <w:r>
              <w:rPr>
                <w:rFonts w:ascii="宋体" w:hAnsi="宋体"/>
                <w:sz w:val="24"/>
                <w:szCs w:val="24"/>
              </w:rPr>
              <w:t>70</w:t>
            </w:r>
            <w:r>
              <w:rPr>
                <w:rFonts w:hint="eastAsia" w:ascii="宋体" w:hAnsi="宋体"/>
                <w:sz w:val="24"/>
                <w:szCs w:val="24"/>
              </w:rPr>
              <w:t>℃，不能用钝器敲击。主轴轴系全部解体、分解到各个元器件后，对各个元器件进行清洗，检查，人工修磨各零件的毛刺及锈蚀。</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3</w:t>
            </w:r>
            <w:r>
              <w:rPr>
                <w:rFonts w:ascii="宋体" w:hAnsi="宋体"/>
                <w:b/>
                <w:sz w:val="24"/>
                <w:szCs w:val="24"/>
              </w:rPr>
              <w:t>.2</w:t>
            </w:r>
          </w:p>
        </w:tc>
        <w:tc>
          <w:tcPr>
            <w:tcW w:w="7122" w:type="dxa"/>
            <w:vAlign w:val="center"/>
          </w:tcPr>
          <w:p>
            <w:pPr>
              <w:tabs>
                <w:tab w:val="left" w:pos="0"/>
                <w:tab w:val="left" w:pos="567"/>
              </w:tabs>
              <w:spacing w:line="360" w:lineRule="auto"/>
              <w:rPr>
                <w:rFonts w:ascii="宋体" w:hAnsi="宋体"/>
                <w:sz w:val="24"/>
                <w:szCs w:val="24"/>
              </w:rPr>
            </w:pPr>
            <w:r>
              <w:rPr>
                <w:rFonts w:hint="eastAsia" w:ascii="宋体" w:hAnsi="宋体"/>
                <w:sz w:val="24"/>
                <w:szCs w:val="24"/>
              </w:rPr>
              <w:t>检查主轴传动齿轮箱、主轴变速换挡机构的各个零部件的状况，包括各个齿轮、轴、换挡油缸等，如发现有磨损严重或失效的部件，则进行更换，费用另计。</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4</w:t>
            </w:r>
          </w:p>
        </w:tc>
        <w:tc>
          <w:tcPr>
            <w:tcW w:w="7122" w:type="dxa"/>
            <w:vAlign w:val="center"/>
          </w:tcPr>
          <w:p>
            <w:pPr>
              <w:tabs>
                <w:tab w:val="left" w:pos="0"/>
                <w:tab w:val="left" w:pos="567"/>
              </w:tabs>
              <w:spacing w:line="360" w:lineRule="auto"/>
              <w:rPr>
                <w:rFonts w:ascii="宋体" w:hAnsi="宋体"/>
                <w:b/>
                <w:sz w:val="24"/>
                <w:szCs w:val="24"/>
              </w:rPr>
            </w:pPr>
            <w:r>
              <w:rPr>
                <w:rFonts w:hint="eastAsia" w:ascii="宋体" w:hAnsi="宋体"/>
                <w:b/>
                <w:sz w:val="24"/>
                <w:szCs w:val="24"/>
              </w:rPr>
              <w:t>数控转台（B轴）</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4.1</w:t>
            </w:r>
          </w:p>
        </w:tc>
        <w:tc>
          <w:tcPr>
            <w:tcW w:w="7122" w:type="dxa"/>
            <w:vAlign w:val="center"/>
          </w:tcPr>
          <w:p>
            <w:pPr>
              <w:tabs>
                <w:tab w:val="left" w:pos="0"/>
                <w:tab w:val="left" w:pos="567"/>
              </w:tabs>
              <w:spacing w:line="360" w:lineRule="auto"/>
              <w:rPr>
                <w:rFonts w:ascii="宋体" w:hAnsi="宋体"/>
                <w:b/>
                <w:sz w:val="24"/>
                <w:szCs w:val="24"/>
              </w:rPr>
            </w:pPr>
            <w:r>
              <w:rPr>
                <w:rFonts w:hint="eastAsia" w:ascii="宋体" w:hAnsi="宋体"/>
                <w:sz w:val="24"/>
                <w:szCs w:val="24"/>
              </w:rPr>
              <w:t>检查B轴贴塑面，清洗保养贴塑，直接刮研修复精度。若贴塑面磨损严重，人工去除原有工作台滑座贴塑面，重新粘贴意大利进口低摩擦系数导轨贴塑面（需具有极高的机械强度与极低的摩擦系数）。更换新贴塑面后，再对贴塑面进行加工、开润滑油腔并与修复后的床身导轨进行合研，进行人工配铲相关几何精度及装配间隙，满足复合硬轨要求，恢复Y轴的相关精度至出厂标准（表面配合接触点数25mm×25mm面积内，不少于15个接触点，导轨副接触面达到75%以上）。</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4.2</w:t>
            </w:r>
          </w:p>
        </w:tc>
        <w:tc>
          <w:tcPr>
            <w:tcW w:w="7122" w:type="dxa"/>
            <w:vAlign w:val="center"/>
          </w:tcPr>
          <w:p>
            <w:pPr>
              <w:tabs>
                <w:tab w:val="left" w:pos="0"/>
                <w:tab w:val="left" w:pos="567"/>
              </w:tabs>
              <w:spacing w:line="360" w:lineRule="auto"/>
              <w:rPr>
                <w:rFonts w:ascii="宋体" w:hAnsi="宋体"/>
                <w:sz w:val="24"/>
                <w:szCs w:val="24"/>
              </w:rPr>
            </w:pPr>
            <w:r>
              <w:rPr>
                <w:rFonts w:hint="eastAsia" w:ascii="宋体" w:hAnsi="宋体"/>
                <w:sz w:val="24"/>
                <w:szCs w:val="24"/>
              </w:rPr>
              <w:t>解体、清洗工作台回转传动箱，保养工作台回转大齿圈及小齿轮副，保证涡轮蜗杆接触合格、小齿轮预紧消隙传动合格，工作台运行平稳可靠。</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5</w:t>
            </w:r>
          </w:p>
        </w:tc>
        <w:tc>
          <w:tcPr>
            <w:tcW w:w="7122" w:type="dxa"/>
            <w:vAlign w:val="center"/>
          </w:tcPr>
          <w:p>
            <w:pPr>
              <w:tabs>
                <w:tab w:val="left" w:pos="0"/>
              </w:tabs>
              <w:autoSpaceDE w:val="0"/>
              <w:autoSpaceDN w:val="0"/>
              <w:spacing w:line="360" w:lineRule="auto"/>
              <w:rPr>
                <w:rFonts w:ascii="宋体" w:hAnsi="宋体"/>
                <w:b/>
                <w:sz w:val="24"/>
                <w:szCs w:val="24"/>
              </w:rPr>
            </w:pPr>
            <w:r>
              <w:rPr>
                <w:rFonts w:hint="eastAsia" w:ascii="宋体" w:hAnsi="宋体"/>
                <w:b/>
                <w:sz w:val="24"/>
                <w:szCs w:val="24"/>
              </w:rPr>
              <w:t>液压、润滑、气压系统</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ascii="宋体" w:hAnsi="宋体"/>
                <w:b/>
                <w:sz w:val="24"/>
                <w:szCs w:val="24"/>
              </w:rPr>
              <w:t>5.1</w:t>
            </w:r>
          </w:p>
        </w:tc>
        <w:tc>
          <w:tcPr>
            <w:tcW w:w="7122" w:type="dxa"/>
          </w:tcPr>
          <w:p>
            <w:pPr>
              <w:tabs>
                <w:tab w:val="left" w:pos="0"/>
              </w:tabs>
              <w:autoSpaceDE w:val="0"/>
              <w:autoSpaceDN w:val="0"/>
              <w:spacing w:line="360" w:lineRule="auto"/>
              <w:rPr>
                <w:rFonts w:ascii="宋体" w:hAnsi="宋体"/>
                <w:b/>
                <w:sz w:val="24"/>
                <w:szCs w:val="24"/>
              </w:rPr>
            </w:pPr>
            <w:r>
              <w:rPr>
                <w:rFonts w:hint="eastAsia" w:ascii="宋体" w:hAnsi="宋体"/>
                <w:sz w:val="24"/>
                <w:szCs w:val="24"/>
              </w:rPr>
              <w:t>清洗保养液压站，更换滤芯、其余液压站液压元件保养后状态好的回收使用，降低维修成本。</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ascii="宋体" w:hAnsi="宋体"/>
                <w:b/>
                <w:sz w:val="24"/>
                <w:szCs w:val="24"/>
              </w:rPr>
              <w:t>5.</w:t>
            </w:r>
            <w:r>
              <w:rPr>
                <w:rFonts w:hint="eastAsia" w:ascii="宋体" w:hAnsi="宋体"/>
                <w:b/>
                <w:sz w:val="24"/>
                <w:szCs w:val="24"/>
              </w:rPr>
              <w:t>2</w:t>
            </w:r>
          </w:p>
        </w:tc>
        <w:tc>
          <w:tcPr>
            <w:tcW w:w="7122" w:type="dxa"/>
          </w:tcPr>
          <w:p>
            <w:pPr>
              <w:tabs>
                <w:tab w:val="left" w:pos="0"/>
                <w:tab w:val="left" w:pos="567"/>
              </w:tabs>
              <w:spacing w:line="360" w:lineRule="auto"/>
              <w:rPr>
                <w:rFonts w:ascii="宋体" w:hAnsi="宋体"/>
                <w:sz w:val="24"/>
                <w:szCs w:val="24"/>
              </w:rPr>
            </w:pPr>
            <w:r>
              <w:rPr>
                <w:rFonts w:hint="eastAsia" w:ascii="宋体" w:hAnsi="宋体"/>
                <w:bCs/>
                <w:sz w:val="24"/>
                <w:szCs w:val="24"/>
              </w:rPr>
              <w:t>检修整机液压油路，排除漏油点，按照新机装配工艺排列固定所有油管，并标识清除，方便日后维修保养。</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5</w:t>
            </w:r>
            <w:r>
              <w:rPr>
                <w:rFonts w:ascii="宋体" w:hAnsi="宋体"/>
                <w:b/>
                <w:sz w:val="24"/>
                <w:szCs w:val="24"/>
              </w:rPr>
              <w:t>.3</w:t>
            </w:r>
          </w:p>
        </w:tc>
        <w:tc>
          <w:tcPr>
            <w:tcW w:w="7122" w:type="dxa"/>
            <w:vAlign w:val="center"/>
          </w:tcPr>
          <w:p>
            <w:pPr>
              <w:tabs>
                <w:tab w:val="left" w:pos="0"/>
                <w:tab w:val="left" w:pos="567"/>
              </w:tabs>
              <w:spacing w:line="360" w:lineRule="auto"/>
              <w:rPr>
                <w:rFonts w:ascii="宋体" w:hAnsi="宋体"/>
                <w:sz w:val="24"/>
                <w:szCs w:val="24"/>
              </w:rPr>
            </w:pPr>
            <w:r>
              <w:rPr>
                <w:rFonts w:hint="eastAsia" w:ascii="宋体" w:hAnsi="宋体"/>
                <w:bCs/>
                <w:sz w:val="24"/>
                <w:szCs w:val="24"/>
              </w:rPr>
              <w:t>更换全部润滑单向阀及润滑油管。分</w:t>
            </w:r>
            <w:r>
              <w:rPr>
                <w:rFonts w:hint="eastAsia" w:ascii="宋体" w:hAnsi="宋体"/>
                <w:sz w:val="24"/>
                <w:szCs w:val="24"/>
              </w:rPr>
              <w:t>成前床身组件、主轴箱组件、后床身组件等大润滑油路，在每个组件上布置润滑分配器，使用润滑呢绒管接通各个润滑点，保证各润滑点润滑充分有效。</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ascii="宋体" w:hAnsi="宋体"/>
                <w:b/>
                <w:sz w:val="24"/>
                <w:szCs w:val="24"/>
              </w:rPr>
              <w:t>5.4</w:t>
            </w:r>
          </w:p>
        </w:tc>
        <w:tc>
          <w:tcPr>
            <w:tcW w:w="7122" w:type="dxa"/>
          </w:tcPr>
          <w:p>
            <w:pPr>
              <w:tabs>
                <w:tab w:val="left" w:pos="0"/>
                <w:tab w:val="left" w:pos="567"/>
              </w:tabs>
              <w:spacing w:line="360" w:lineRule="auto"/>
              <w:rPr>
                <w:rFonts w:ascii="宋体" w:hAnsi="宋体"/>
                <w:sz w:val="24"/>
                <w:szCs w:val="24"/>
              </w:rPr>
            </w:pPr>
            <w:r>
              <w:rPr>
                <w:rFonts w:hint="eastAsia" w:ascii="宋体" w:hAnsi="宋体"/>
                <w:sz w:val="24"/>
                <w:szCs w:val="24"/>
              </w:rPr>
              <w:t>全面检修机床的气动系统，包括气压电磁阀、压力继电器、管路接头等，气动电磁阀如功能失效或存在漏气现象则进行更换。</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6</w:t>
            </w:r>
          </w:p>
        </w:tc>
        <w:tc>
          <w:tcPr>
            <w:tcW w:w="7122" w:type="dxa"/>
            <w:vAlign w:val="center"/>
          </w:tcPr>
          <w:p>
            <w:pPr>
              <w:spacing w:line="360" w:lineRule="auto"/>
              <w:jc w:val="left"/>
              <w:rPr>
                <w:rFonts w:ascii="宋体" w:hAnsi="宋体"/>
                <w:bCs/>
                <w:sz w:val="24"/>
                <w:szCs w:val="24"/>
              </w:rPr>
            </w:pPr>
            <w:r>
              <w:rPr>
                <w:rFonts w:hint="eastAsia" w:ascii="宋体" w:hAnsi="宋体"/>
                <w:b/>
                <w:sz w:val="24"/>
                <w:szCs w:val="24"/>
              </w:rPr>
              <w:t>双工位交换系统</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6.1</w:t>
            </w:r>
          </w:p>
        </w:tc>
        <w:tc>
          <w:tcPr>
            <w:tcW w:w="7122" w:type="dxa"/>
          </w:tcPr>
          <w:p>
            <w:pPr>
              <w:tabs>
                <w:tab w:val="left" w:pos="0"/>
                <w:tab w:val="left" w:pos="567"/>
              </w:tabs>
              <w:spacing w:line="360" w:lineRule="auto"/>
              <w:rPr>
                <w:rFonts w:ascii="宋体" w:hAnsi="宋体"/>
                <w:b/>
                <w:sz w:val="24"/>
                <w:szCs w:val="24"/>
              </w:rPr>
            </w:pPr>
            <w:r>
              <w:rPr>
                <w:rFonts w:hint="eastAsia" w:ascii="宋体" w:hAnsi="宋体"/>
                <w:sz w:val="24"/>
                <w:szCs w:val="24"/>
              </w:rPr>
              <w:t>检修双交换台系统，清洗保养双工作台自动交换系统所有液压控制阀，油路、接头、分油板、密封件，保证所有油路畅通，润滑到位。</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7</w:t>
            </w:r>
          </w:p>
        </w:tc>
        <w:tc>
          <w:tcPr>
            <w:tcW w:w="7122" w:type="dxa"/>
          </w:tcPr>
          <w:p>
            <w:pPr>
              <w:tabs>
                <w:tab w:val="left" w:pos="0"/>
                <w:tab w:val="left" w:pos="567"/>
              </w:tabs>
              <w:spacing w:line="360" w:lineRule="auto"/>
              <w:rPr>
                <w:rFonts w:ascii="宋体" w:hAnsi="宋体"/>
                <w:b/>
                <w:sz w:val="24"/>
                <w:szCs w:val="24"/>
              </w:rPr>
            </w:pPr>
            <w:r>
              <w:rPr>
                <w:rFonts w:hint="eastAsia" w:ascii="宋体" w:hAnsi="宋体"/>
                <w:b/>
                <w:sz w:val="24"/>
                <w:szCs w:val="24"/>
              </w:rPr>
              <w:t>刀库</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p>
        </w:tc>
        <w:tc>
          <w:tcPr>
            <w:tcW w:w="7122" w:type="dxa"/>
            <w:vAlign w:val="center"/>
          </w:tcPr>
          <w:p>
            <w:pPr>
              <w:tabs>
                <w:tab w:val="left" w:pos="0"/>
                <w:tab w:val="left" w:pos="567"/>
              </w:tabs>
              <w:spacing w:line="360" w:lineRule="auto"/>
              <w:rPr>
                <w:rFonts w:ascii="宋体" w:hAnsi="宋体"/>
                <w:b/>
                <w:sz w:val="24"/>
                <w:szCs w:val="24"/>
              </w:rPr>
            </w:pPr>
            <w:r>
              <w:rPr>
                <w:rFonts w:hint="eastAsia" w:ascii="宋体" w:hAnsi="宋体"/>
                <w:sz w:val="24"/>
                <w:szCs w:val="24"/>
              </w:rPr>
              <w:t>重新设计合配西门子系统与TP700控制面板</w:t>
            </w:r>
          </w:p>
        </w:tc>
        <w:tc>
          <w:tcPr>
            <w:tcW w:w="1120" w:type="dxa"/>
            <w:vAlign w:val="center"/>
          </w:tcPr>
          <w:p>
            <w:pPr>
              <w:spacing w:line="360" w:lineRule="auto"/>
              <w:jc w:val="left"/>
              <w:rPr>
                <w:rFonts w:ascii="宋体" w:hAnsi="宋体"/>
                <w:bCs/>
                <w:sz w:val="24"/>
                <w:szCs w:val="24"/>
              </w:rPr>
            </w:pPr>
          </w:p>
        </w:tc>
      </w:tr>
    </w:tbl>
    <w:p>
      <w:pPr>
        <w:numPr>
          <w:ilvl w:val="0"/>
          <w:numId w:val="7"/>
        </w:numPr>
        <w:spacing w:line="360" w:lineRule="auto"/>
        <w:ind w:right="-341" w:firstLine="480" w:firstLineChars="200"/>
        <w:jc w:val="left"/>
        <w:rPr>
          <w:rFonts w:ascii="宋体" w:hAnsi="宋体"/>
          <w:sz w:val="24"/>
          <w:szCs w:val="24"/>
        </w:rPr>
      </w:pPr>
      <w:r>
        <w:rPr>
          <w:rFonts w:hint="eastAsia" w:ascii="宋体" w:hAnsi="宋体"/>
          <w:sz w:val="24"/>
          <w:szCs w:val="24"/>
        </w:rPr>
        <w:t>安装调试</w:t>
      </w:r>
    </w:p>
    <w:tbl>
      <w:tblPr>
        <w:tblStyle w:val="28"/>
        <w:tblW w:w="905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7122"/>
        <w:gridCol w:w="11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1</w:t>
            </w:r>
          </w:p>
        </w:tc>
        <w:tc>
          <w:tcPr>
            <w:tcW w:w="7122" w:type="dxa"/>
          </w:tcPr>
          <w:p>
            <w:pPr>
              <w:tabs>
                <w:tab w:val="left" w:pos="0"/>
                <w:tab w:val="left" w:pos="567"/>
              </w:tabs>
              <w:spacing w:line="360" w:lineRule="auto"/>
              <w:rPr>
                <w:rFonts w:ascii="宋体" w:hAnsi="宋体"/>
                <w:b/>
                <w:sz w:val="24"/>
                <w:szCs w:val="24"/>
              </w:rPr>
            </w:pPr>
            <w:r>
              <w:rPr>
                <w:rFonts w:hint="eastAsia" w:ascii="宋体" w:hAnsi="宋体"/>
                <w:sz w:val="24"/>
                <w:szCs w:val="24"/>
              </w:rPr>
              <w:t>安调机床，按照欧洲道斯镗铣加工中心安装工艺安调机床：1</w:t>
            </w:r>
            <w:r>
              <w:rPr>
                <w:rFonts w:ascii="宋体" w:hAnsi="宋体"/>
                <w:sz w:val="24"/>
                <w:szCs w:val="24"/>
              </w:rPr>
              <w:t>.</w:t>
            </w:r>
            <w:r>
              <w:rPr>
                <w:rFonts w:hint="eastAsia" w:ascii="宋体" w:hAnsi="宋体"/>
                <w:sz w:val="24"/>
                <w:szCs w:val="24"/>
              </w:rPr>
              <w:t>设备</w:t>
            </w:r>
            <w:r>
              <w:rPr>
                <w:rFonts w:ascii="宋体" w:hAnsi="宋体"/>
                <w:sz w:val="24"/>
                <w:szCs w:val="24"/>
              </w:rPr>
              <w:t>清</w:t>
            </w:r>
            <w:r>
              <w:rPr>
                <w:rFonts w:hint="eastAsia" w:ascii="宋体" w:hAnsi="宋体"/>
                <w:sz w:val="24"/>
                <w:szCs w:val="24"/>
              </w:rPr>
              <w:t>扫</w:t>
            </w:r>
            <w:r>
              <w:rPr>
                <w:rFonts w:ascii="宋体" w:hAnsi="宋体"/>
                <w:sz w:val="24"/>
                <w:szCs w:val="24"/>
              </w:rPr>
              <w:t>及安装器材准备</w:t>
            </w:r>
            <w:r>
              <w:rPr>
                <w:rFonts w:hint="eastAsia" w:ascii="宋体" w:hAnsi="宋体"/>
                <w:sz w:val="24"/>
                <w:szCs w:val="24"/>
              </w:rPr>
              <w:t>；2</w:t>
            </w:r>
            <w:r>
              <w:rPr>
                <w:rFonts w:ascii="宋体" w:hAnsi="宋体"/>
                <w:sz w:val="24"/>
                <w:szCs w:val="24"/>
              </w:rPr>
              <w:t>.</w:t>
            </w:r>
            <w:r>
              <w:rPr>
                <w:rFonts w:hint="eastAsia" w:ascii="宋体" w:hAnsi="宋体"/>
                <w:sz w:val="24"/>
                <w:szCs w:val="24"/>
              </w:rPr>
              <w:t>工作台安装就位；2</w:t>
            </w:r>
            <w:r>
              <w:rPr>
                <w:rFonts w:ascii="宋体" w:hAnsi="宋体"/>
                <w:sz w:val="24"/>
                <w:szCs w:val="24"/>
              </w:rPr>
              <w:t>.</w:t>
            </w:r>
            <w:r>
              <w:rPr>
                <w:rFonts w:hint="eastAsia" w:ascii="宋体" w:hAnsi="宋体"/>
                <w:sz w:val="24"/>
                <w:szCs w:val="24"/>
              </w:rPr>
              <w:t>后床身滑座安装就位；3</w:t>
            </w:r>
            <w:r>
              <w:rPr>
                <w:rFonts w:ascii="宋体" w:hAnsi="宋体"/>
                <w:sz w:val="24"/>
                <w:szCs w:val="24"/>
              </w:rPr>
              <w:t>.</w:t>
            </w:r>
            <w:r>
              <w:rPr>
                <w:rFonts w:hint="eastAsia" w:ascii="宋体" w:hAnsi="宋体"/>
                <w:sz w:val="24"/>
                <w:szCs w:val="24"/>
              </w:rPr>
              <w:t>立柱、主轴箱；4</w:t>
            </w:r>
            <w:r>
              <w:rPr>
                <w:rFonts w:ascii="宋体" w:hAnsi="宋体"/>
                <w:sz w:val="24"/>
                <w:szCs w:val="24"/>
              </w:rPr>
              <w:t>. 液压系统安装及管路连接</w:t>
            </w:r>
            <w:r>
              <w:rPr>
                <w:rFonts w:hint="eastAsia" w:ascii="宋体" w:hAnsi="宋体"/>
                <w:sz w:val="24"/>
                <w:szCs w:val="24"/>
              </w:rPr>
              <w:t>；5</w:t>
            </w:r>
            <w:r>
              <w:rPr>
                <w:rFonts w:ascii="宋体" w:hAnsi="宋体"/>
                <w:sz w:val="24"/>
                <w:szCs w:val="24"/>
              </w:rPr>
              <w:t>. 润滑系统安装及管路连接</w:t>
            </w:r>
            <w:r>
              <w:rPr>
                <w:rFonts w:hint="eastAsia" w:ascii="宋体" w:hAnsi="宋体"/>
                <w:sz w:val="24"/>
                <w:szCs w:val="24"/>
              </w:rPr>
              <w:t>；6</w:t>
            </w:r>
            <w:r>
              <w:rPr>
                <w:rFonts w:ascii="宋体" w:hAnsi="宋体"/>
                <w:sz w:val="24"/>
                <w:szCs w:val="24"/>
              </w:rPr>
              <w:t xml:space="preserve">. </w:t>
            </w:r>
            <w:r>
              <w:rPr>
                <w:rFonts w:hint="eastAsia" w:ascii="宋体" w:hAnsi="宋体"/>
                <w:sz w:val="24"/>
                <w:szCs w:val="24"/>
              </w:rPr>
              <w:t>冷却系统安装；</w:t>
            </w:r>
            <w:r>
              <w:rPr>
                <w:rFonts w:ascii="宋体" w:hAnsi="宋体"/>
                <w:sz w:val="24"/>
                <w:szCs w:val="24"/>
              </w:rPr>
              <w:t>7. 控制柜、操作柜的安装</w:t>
            </w:r>
            <w:r>
              <w:rPr>
                <w:rFonts w:hint="eastAsia" w:ascii="宋体" w:hAnsi="宋体"/>
                <w:sz w:val="24"/>
                <w:szCs w:val="24"/>
              </w:rPr>
              <w:t>。设备各部件全部安装完毕后，应与设备文件资料进行仔细复核，确认无误后再进行通电，设备试运行。</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2</w:t>
            </w:r>
          </w:p>
        </w:tc>
        <w:tc>
          <w:tcPr>
            <w:tcW w:w="7122" w:type="dxa"/>
          </w:tcPr>
          <w:p>
            <w:pPr>
              <w:tabs>
                <w:tab w:val="left" w:pos="0"/>
                <w:tab w:val="left" w:pos="567"/>
              </w:tabs>
              <w:spacing w:line="360" w:lineRule="auto"/>
              <w:rPr>
                <w:rFonts w:ascii="宋体" w:hAnsi="宋体"/>
                <w:sz w:val="24"/>
                <w:szCs w:val="24"/>
              </w:rPr>
            </w:pPr>
            <w:r>
              <w:rPr>
                <w:rFonts w:hint="eastAsia" w:ascii="宋体" w:hAnsi="宋体"/>
                <w:sz w:val="24"/>
                <w:szCs w:val="24"/>
              </w:rPr>
              <w:t>由机床厂电气工程师现场</w:t>
            </w:r>
            <w:r>
              <w:rPr>
                <w:rFonts w:hint="eastAsia" w:ascii="宋体" w:hAnsi="宋体" w:cs="宋体"/>
                <w:sz w:val="24"/>
                <w:szCs w:val="24"/>
              </w:rPr>
              <w:t>重新调试机床数控系统，完善报警文本，数据维护，调试所有机床动作，</w:t>
            </w:r>
            <w:r>
              <w:rPr>
                <w:rFonts w:ascii="宋体" w:hAnsi="宋体" w:cs="宋体"/>
                <w:sz w:val="24"/>
                <w:szCs w:val="24"/>
              </w:rPr>
              <w:t>竣工后备份</w:t>
            </w:r>
            <w:r>
              <w:rPr>
                <w:rFonts w:hint="eastAsia" w:ascii="宋体" w:hAnsi="宋体" w:cs="宋体"/>
                <w:sz w:val="24"/>
                <w:szCs w:val="24"/>
              </w:rPr>
              <w:t>全</w:t>
            </w:r>
            <w:r>
              <w:rPr>
                <w:rFonts w:ascii="宋体" w:hAnsi="宋体" w:cs="宋体"/>
                <w:sz w:val="24"/>
                <w:szCs w:val="24"/>
              </w:rPr>
              <w:t>硬盘数据</w:t>
            </w:r>
            <w:r>
              <w:rPr>
                <w:rFonts w:hint="eastAsia" w:ascii="宋体" w:hAnsi="宋体" w:cs="宋体"/>
                <w:sz w:val="24"/>
                <w:szCs w:val="24"/>
              </w:rPr>
              <w:t>。</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ascii="宋体" w:hAnsi="宋体"/>
                <w:b/>
                <w:sz w:val="24"/>
                <w:szCs w:val="24"/>
              </w:rPr>
              <w:t>3</w:t>
            </w:r>
          </w:p>
        </w:tc>
        <w:tc>
          <w:tcPr>
            <w:tcW w:w="7122" w:type="dxa"/>
          </w:tcPr>
          <w:p>
            <w:pPr>
              <w:tabs>
                <w:tab w:val="left" w:pos="0"/>
                <w:tab w:val="left" w:pos="567"/>
              </w:tabs>
              <w:spacing w:line="360" w:lineRule="auto"/>
              <w:rPr>
                <w:rFonts w:ascii="宋体" w:hAnsi="宋体"/>
                <w:sz w:val="24"/>
                <w:szCs w:val="24"/>
              </w:rPr>
            </w:pPr>
            <w:r>
              <w:rPr>
                <w:rFonts w:hint="eastAsia" w:ascii="宋体" w:hAnsi="宋体" w:cs="宋体"/>
                <w:sz w:val="24"/>
                <w:szCs w:val="24"/>
              </w:rPr>
              <w:t>由专业工程师进行几何精度调试，由电气工程师进行电气优化匹配调试，严格执行新机装配工艺，同时使用00级大理石方尺，水平仪等高精量具现场交验。</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ascii="宋体" w:hAnsi="宋体"/>
                <w:b/>
                <w:sz w:val="24"/>
                <w:szCs w:val="24"/>
              </w:rPr>
              <w:t>4</w:t>
            </w:r>
          </w:p>
        </w:tc>
        <w:tc>
          <w:tcPr>
            <w:tcW w:w="7122" w:type="dxa"/>
          </w:tcPr>
          <w:p>
            <w:pPr>
              <w:tabs>
                <w:tab w:val="left" w:pos="0"/>
                <w:tab w:val="left" w:pos="567"/>
              </w:tabs>
              <w:spacing w:line="360" w:lineRule="auto"/>
              <w:rPr>
                <w:rFonts w:ascii="宋体" w:hAnsi="宋体" w:cs="宋体"/>
                <w:sz w:val="24"/>
                <w:szCs w:val="24"/>
              </w:rPr>
            </w:pPr>
            <w:r>
              <w:rPr>
                <w:rFonts w:ascii="宋体" w:hAnsi="宋体" w:cs="宋体"/>
                <w:sz w:val="24"/>
                <w:szCs w:val="24"/>
              </w:rPr>
              <w:t>机床安装调试后，采用激光干涉仪对其位置精度进行检测</w:t>
            </w:r>
            <w:r>
              <w:rPr>
                <w:rFonts w:hint="eastAsia" w:ascii="宋体" w:hAnsi="宋体" w:cs="宋体"/>
                <w:sz w:val="24"/>
                <w:szCs w:val="24"/>
              </w:rPr>
              <w:t>，</w:t>
            </w:r>
            <w:r>
              <w:rPr>
                <w:rFonts w:ascii="宋体" w:hAnsi="宋体" w:cs="宋体"/>
                <w:sz w:val="24"/>
                <w:szCs w:val="24"/>
              </w:rPr>
              <w:t>根据检测值，重新计算各轴反向间隙补偿量，重新设置机床参数。</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ascii="宋体" w:hAnsi="宋体"/>
                <w:b/>
                <w:sz w:val="24"/>
                <w:szCs w:val="24"/>
              </w:rPr>
              <w:t>5</w:t>
            </w:r>
          </w:p>
        </w:tc>
        <w:tc>
          <w:tcPr>
            <w:tcW w:w="7122" w:type="dxa"/>
          </w:tcPr>
          <w:p>
            <w:pPr>
              <w:tabs>
                <w:tab w:val="left" w:pos="0"/>
                <w:tab w:val="left" w:pos="567"/>
              </w:tabs>
              <w:spacing w:line="360" w:lineRule="auto"/>
              <w:rPr>
                <w:rFonts w:ascii="宋体" w:hAnsi="宋体" w:cs="宋体"/>
                <w:sz w:val="24"/>
                <w:szCs w:val="24"/>
              </w:rPr>
            </w:pPr>
            <w:r>
              <w:rPr>
                <w:rFonts w:hint="eastAsia" w:ascii="宋体" w:hAnsi="宋体" w:cs="宋体"/>
                <w:sz w:val="24"/>
                <w:szCs w:val="24"/>
              </w:rPr>
              <w:t>卫生清洁，设备交验, 精度按照新机《道斯WHN130MC出厂合格证》对应进行验收，机床终验收合格后进行数据备份留存</w:t>
            </w:r>
          </w:p>
        </w:tc>
        <w:tc>
          <w:tcPr>
            <w:tcW w:w="1120" w:type="dxa"/>
            <w:vAlign w:val="center"/>
          </w:tcPr>
          <w:p>
            <w:pPr>
              <w:spacing w:line="360" w:lineRule="auto"/>
              <w:jc w:val="left"/>
              <w:rPr>
                <w:rFonts w:ascii="宋体" w:hAnsi="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line="360" w:lineRule="auto"/>
              <w:jc w:val="center"/>
              <w:rPr>
                <w:rFonts w:ascii="宋体" w:hAnsi="宋体"/>
                <w:b/>
                <w:sz w:val="24"/>
                <w:szCs w:val="24"/>
              </w:rPr>
            </w:pPr>
            <w:r>
              <w:rPr>
                <w:rFonts w:hint="eastAsia" w:ascii="宋体" w:hAnsi="宋体"/>
                <w:b/>
                <w:sz w:val="24"/>
                <w:szCs w:val="24"/>
              </w:rPr>
              <w:t>6</w:t>
            </w:r>
          </w:p>
        </w:tc>
        <w:tc>
          <w:tcPr>
            <w:tcW w:w="7122" w:type="dxa"/>
          </w:tcPr>
          <w:p>
            <w:pPr>
              <w:tabs>
                <w:tab w:val="left" w:pos="0"/>
                <w:tab w:val="left" w:pos="567"/>
              </w:tabs>
              <w:spacing w:line="360" w:lineRule="auto"/>
              <w:rPr>
                <w:rFonts w:ascii="宋体" w:hAnsi="宋体" w:cs="宋体"/>
                <w:sz w:val="24"/>
                <w:szCs w:val="24"/>
              </w:rPr>
            </w:pPr>
            <w:r>
              <w:rPr>
                <w:rFonts w:hint="eastAsia" w:ascii="宋体" w:hAnsi="宋体" w:cs="宋体"/>
                <w:sz w:val="24"/>
                <w:szCs w:val="24"/>
              </w:rPr>
              <w:t>整机全新做漆，按原机色卡（按做漆工艺）。</w:t>
            </w:r>
          </w:p>
        </w:tc>
        <w:tc>
          <w:tcPr>
            <w:tcW w:w="1120" w:type="dxa"/>
            <w:vAlign w:val="center"/>
          </w:tcPr>
          <w:p>
            <w:pPr>
              <w:spacing w:line="360" w:lineRule="auto"/>
              <w:jc w:val="left"/>
              <w:rPr>
                <w:rFonts w:ascii="宋体" w:hAnsi="宋体"/>
                <w:bCs/>
                <w:sz w:val="24"/>
                <w:szCs w:val="24"/>
              </w:rPr>
            </w:pPr>
          </w:p>
        </w:tc>
      </w:tr>
    </w:tbl>
    <w:p>
      <w:pPr>
        <w:pStyle w:val="2"/>
      </w:pPr>
    </w:p>
    <w:p/>
    <w:p>
      <w:pPr>
        <w:numPr>
          <w:ilvl w:val="0"/>
          <w:numId w:val="4"/>
        </w:numPr>
        <w:adjustRightInd w:val="0"/>
        <w:snapToGrid w:val="0"/>
        <w:spacing w:line="360" w:lineRule="auto"/>
        <w:outlineLvl w:val="1"/>
        <w:rPr>
          <w:rFonts w:cs="宋体"/>
          <w:bCs/>
          <w:sz w:val="24"/>
          <w:szCs w:val="24"/>
        </w:rPr>
      </w:pPr>
      <w:bookmarkStart w:id="744" w:name="_Toc17830"/>
      <w:bookmarkStart w:id="745" w:name="_Toc2752"/>
      <w:bookmarkStart w:id="746" w:name="_Toc21658"/>
      <w:bookmarkStart w:id="747" w:name="_Toc26155"/>
      <w:bookmarkStart w:id="748" w:name="_Toc30760"/>
      <w:bookmarkStart w:id="749" w:name="_Toc1050"/>
      <w:bookmarkStart w:id="750" w:name="_Toc21453"/>
      <w:r>
        <w:rPr>
          <w:rFonts w:hint="eastAsia" w:cs="宋体"/>
          <w:bCs/>
          <w:sz w:val="24"/>
          <w:szCs w:val="24"/>
        </w:rPr>
        <w:t>设备验收标准及方式</w:t>
      </w:r>
      <w:bookmarkEnd w:id="744"/>
      <w:bookmarkEnd w:id="745"/>
      <w:bookmarkEnd w:id="746"/>
      <w:bookmarkEnd w:id="747"/>
      <w:bookmarkEnd w:id="748"/>
      <w:bookmarkEnd w:id="749"/>
      <w:bookmarkEnd w:id="750"/>
    </w:p>
    <w:p>
      <w:pPr>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参照WHN130MC双工位卧式铣镗加工中心合格证明书中的设备加工精度。</w:t>
      </w:r>
    </w:p>
    <w:p>
      <w:pPr>
        <w:rPr>
          <w:rFonts w:hint="eastAsia" w:ascii="宋体" w:hAnsi="宋体" w:eastAsia="宋体" w:cs="宋体"/>
          <w:b w:val="0"/>
          <w:bCs w:val="0"/>
          <w:sz w:val="24"/>
          <w:szCs w:val="24"/>
        </w:rPr>
      </w:pPr>
      <w:r>
        <w:rPr>
          <w:rFonts w:hint="eastAsia" w:ascii="宋体" w:hAnsi="宋体" w:cs="宋体"/>
          <w:sz w:val="24"/>
          <w:szCs w:val="24"/>
        </w:rPr>
        <w:t>视恢复精度双方进行协商</w:t>
      </w:r>
    </w:p>
    <w:p>
      <w:pPr>
        <w:pStyle w:val="2"/>
        <w:rPr>
          <w:rFonts w:hint="eastAsia" w:eastAsiaTheme="majorEastAsia"/>
          <w:lang w:eastAsia="zh-CN"/>
        </w:rPr>
      </w:pPr>
      <w:bookmarkStart w:id="751" w:name="_Toc19740"/>
      <w:r>
        <w:rPr>
          <w:rFonts w:hint="eastAsia" w:eastAsiaTheme="majorEastAsia"/>
          <w:lang w:eastAsia="zh-CN"/>
        </w:rPr>
        <w:drawing>
          <wp:inline distT="0" distB="0" distL="114300" distR="114300">
            <wp:extent cx="5271135" cy="7454900"/>
            <wp:effectExtent l="0" t="0" r="5715" b="12700"/>
            <wp:docPr id="19" name="图片 19" descr="WHN130MC双工位卧式铣镗加工中心合格证明书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HN130MC双工位卧式铣镗加工中心合格证明书_页面_01"/>
                    <pic:cNvPicPr>
                      <a:picLocks noChangeAspect="1"/>
                    </pic:cNvPicPr>
                  </pic:nvPicPr>
                  <pic:blipFill>
                    <a:blip r:embed="rId9"/>
                    <a:stretch>
                      <a:fillRect/>
                    </a:stretch>
                  </pic:blipFill>
                  <pic:spPr>
                    <a:xfrm>
                      <a:off x="0" y="0"/>
                      <a:ext cx="5271135" cy="7454900"/>
                    </a:xfrm>
                    <a:prstGeom prst="rect">
                      <a:avLst/>
                    </a:prstGeom>
                  </pic:spPr>
                </pic:pic>
              </a:graphicData>
            </a:graphic>
          </wp:inline>
        </w:drawing>
      </w:r>
      <w:r>
        <w:rPr>
          <w:rFonts w:hint="eastAsia" w:eastAsiaTheme="majorEastAsia"/>
          <w:lang w:eastAsia="zh-CN"/>
        </w:rPr>
        <w:drawing>
          <wp:inline distT="0" distB="0" distL="114300" distR="114300">
            <wp:extent cx="5271135" cy="7454900"/>
            <wp:effectExtent l="0" t="0" r="5715" b="12700"/>
            <wp:docPr id="20" name="图片 20" descr="WHN130MC双工位卧式铣镗加工中心合格证明书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HN130MC双工位卧式铣镗加工中心合格证明书_页面_02"/>
                    <pic:cNvPicPr>
                      <a:picLocks noChangeAspect="1"/>
                    </pic:cNvPicPr>
                  </pic:nvPicPr>
                  <pic:blipFill>
                    <a:blip r:embed="rId10"/>
                    <a:stretch>
                      <a:fillRect/>
                    </a:stretch>
                  </pic:blipFill>
                  <pic:spPr>
                    <a:xfrm>
                      <a:off x="0" y="0"/>
                      <a:ext cx="5271135" cy="7454900"/>
                    </a:xfrm>
                    <a:prstGeom prst="rect">
                      <a:avLst/>
                    </a:prstGeom>
                  </pic:spPr>
                </pic:pic>
              </a:graphicData>
            </a:graphic>
          </wp:inline>
        </w:drawing>
      </w:r>
      <w:r>
        <w:rPr>
          <w:rFonts w:hint="eastAsia" w:eastAsiaTheme="majorEastAsia"/>
          <w:lang w:eastAsia="zh-CN"/>
        </w:rPr>
        <w:drawing>
          <wp:inline distT="0" distB="0" distL="114300" distR="114300">
            <wp:extent cx="5271135" cy="7452995"/>
            <wp:effectExtent l="0" t="0" r="5715" b="14605"/>
            <wp:docPr id="21" name="图片 21" descr="WHN130MC双工位卧式铣镗加工中心合格证明书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WHN130MC双工位卧式铣镗加工中心合格证明书_页面_03"/>
                    <pic:cNvPicPr>
                      <a:picLocks noChangeAspect="1"/>
                    </pic:cNvPicPr>
                  </pic:nvPicPr>
                  <pic:blipFill>
                    <a:blip r:embed="rId11"/>
                    <a:stretch>
                      <a:fillRect/>
                    </a:stretch>
                  </pic:blipFill>
                  <pic:spPr>
                    <a:xfrm>
                      <a:off x="0" y="0"/>
                      <a:ext cx="5271135" cy="7452995"/>
                    </a:xfrm>
                    <a:prstGeom prst="rect">
                      <a:avLst/>
                    </a:prstGeom>
                  </pic:spPr>
                </pic:pic>
              </a:graphicData>
            </a:graphic>
          </wp:inline>
        </w:drawing>
      </w:r>
      <w:r>
        <w:rPr>
          <w:rFonts w:hint="eastAsia" w:eastAsiaTheme="majorEastAsia"/>
          <w:lang w:eastAsia="zh-CN"/>
        </w:rPr>
        <w:drawing>
          <wp:inline distT="0" distB="0" distL="114300" distR="114300">
            <wp:extent cx="5271135" cy="7452995"/>
            <wp:effectExtent l="0" t="0" r="5715" b="14605"/>
            <wp:docPr id="22" name="图片 22" descr="WHN130MC双工位卧式铣镗加工中心合格证明书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WHN130MC双工位卧式铣镗加工中心合格证明书_页面_04"/>
                    <pic:cNvPicPr>
                      <a:picLocks noChangeAspect="1"/>
                    </pic:cNvPicPr>
                  </pic:nvPicPr>
                  <pic:blipFill>
                    <a:blip r:embed="rId12"/>
                    <a:stretch>
                      <a:fillRect/>
                    </a:stretch>
                  </pic:blipFill>
                  <pic:spPr>
                    <a:xfrm>
                      <a:off x="0" y="0"/>
                      <a:ext cx="5271135" cy="7452995"/>
                    </a:xfrm>
                    <a:prstGeom prst="rect">
                      <a:avLst/>
                    </a:prstGeom>
                  </pic:spPr>
                </pic:pic>
              </a:graphicData>
            </a:graphic>
          </wp:inline>
        </w:drawing>
      </w:r>
      <w:r>
        <w:rPr>
          <w:rFonts w:hint="eastAsia" w:eastAsiaTheme="majorEastAsia"/>
          <w:lang w:eastAsia="zh-CN"/>
        </w:rPr>
        <w:drawing>
          <wp:inline distT="0" distB="0" distL="114300" distR="114300">
            <wp:extent cx="5277485" cy="7463790"/>
            <wp:effectExtent l="0" t="0" r="18415" b="3810"/>
            <wp:docPr id="23" name="图片 23" descr="WHN130MC双工位卧式铣镗加工中心合格证明书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WHN130MC双工位卧式铣镗加工中心合格证明书_页面_05"/>
                    <pic:cNvPicPr>
                      <a:picLocks noChangeAspect="1"/>
                    </pic:cNvPicPr>
                  </pic:nvPicPr>
                  <pic:blipFill>
                    <a:blip r:embed="rId13"/>
                    <a:stretch>
                      <a:fillRect/>
                    </a:stretch>
                  </pic:blipFill>
                  <pic:spPr>
                    <a:xfrm>
                      <a:off x="0" y="0"/>
                      <a:ext cx="5277485" cy="7463790"/>
                    </a:xfrm>
                    <a:prstGeom prst="rect">
                      <a:avLst/>
                    </a:prstGeom>
                  </pic:spPr>
                </pic:pic>
              </a:graphicData>
            </a:graphic>
          </wp:inline>
        </w:drawing>
      </w:r>
      <w:r>
        <w:rPr>
          <w:rFonts w:hint="eastAsia" w:eastAsiaTheme="majorEastAsia"/>
          <w:lang w:eastAsia="zh-CN"/>
        </w:rPr>
        <w:drawing>
          <wp:inline distT="0" distB="0" distL="114300" distR="114300">
            <wp:extent cx="5271770" cy="7453630"/>
            <wp:effectExtent l="0" t="0" r="5080" b="13970"/>
            <wp:docPr id="24" name="图片 24" descr="WHN130MC双工位卧式铣镗加工中心合格证明书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WHN130MC双工位卧式铣镗加工中心合格证明书_页面_06"/>
                    <pic:cNvPicPr>
                      <a:picLocks noChangeAspect="1"/>
                    </pic:cNvPicPr>
                  </pic:nvPicPr>
                  <pic:blipFill>
                    <a:blip r:embed="rId14"/>
                    <a:stretch>
                      <a:fillRect/>
                    </a:stretch>
                  </pic:blipFill>
                  <pic:spPr>
                    <a:xfrm>
                      <a:off x="0" y="0"/>
                      <a:ext cx="5271770" cy="7453630"/>
                    </a:xfrm>
                    <a:prstGeom prst="rect">
                      <a:avLst/>
                    </a:prstGeom>
                  </pic:spPr>
                </pic:pic>
              </a:graphicData>
            </a:graphic>
          </wp:inline>
        </w:drawing>
      </w:r>
      <w:r>
        <w:rPr>
          <w:rFonts w:hint="eastAsia" w:eastAsiaTheme="majorEastAsia"/>
          <w:lang w:eastAsia="zh-CN"/>
        </w:rPr>
        <w:drawing>
          <wp:inline distT="0" distB="0" distL="114300" distR="114300">
            <wp:extent cx="5278120" cy="7466330"/>
            <wp:effectExtent l="0" t="0" r="17780" b="1270"/>
            <wp:docPr id="25" name="图片 25" descr="WHN130MC双工位卧式铣镗加工中心合格证明书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WHN130MC双工位卧式铣镗加工中心合格证明书_页面_07"/>
                    <pic:cNvPicPr>
                      <a:picLocks noChangeAspect="1"/>
                    </pic:cNvPicPr>
                  </pic:nvPicPr>
                  <pic:blipFill>
                    <a:blip r:embed="rId15"/>
                    <a:stretch>
                      <a:fillRect/>
                    </a:stretch>
                  </pic:blipFill>
                  <pic:spPr>
                    <a:xfrm>
                      <a:off x="0" y="0"/>
                      <a:ext cx="5278120" cy="7466330"/>
                    </a:xfrm>
                    <a:prstGeom prst="rect">
                      <a:avLst/>
                    </a:prstGeom>
                  </pic:spPr>
                </pic:pic>
              </a:graphicData>
            </a:graphic>
          </wp:inline>
        </w:drawing>
      </w:r>
      <w:r>
        <w:rPr>
          <w:rFonts w:hint="eastAsia" w:eastAsiaTheme="majorEastAsia"/>
          <w:lang w:eastAsia="zh-CN"/>
        </w:rPr>
        <w:drawing>
          <wp:inline distT="0" distB="0" distL="114300" distR="114300">
            <wp:extent cx="5271135" cy="7452995"/>
            <wp:effectExtent l="0" t="0" r="5715" b="14605"/>
            <wp:docPr id="26" name="图片 26" descr="WHN130MC双工位卧式铣镗加工中心合格证明书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WHN130MC双工位卧式铣镗加工中心合格证明书_页面_08"/>
                    <pic:cNvPicPr>
                      <a:picLocks noChangeAspect="1"/>
                    </pic:cNvPicPr>
                  </pic:nvPicPr>
                  <pic:blipFill>
                    <a:blip r:embed="rId16"/>
                    <a:stretch>
                      <a:fillRect/>
                    </a:stretch>
                  </pic:blipFill>
                  <pic:spPr>
                    <a:xfrm>
                      <a:off x="0" y="0"/>
                      <a:ext cx="5271135" cy="7452995"/>
                    </a:xfrm>
                    <a:prstGeom prst="rect">
                      <a:avLst/>
                    </a:prstGeom>
                  </pic:spPr>
                </pic:pic>
              </a:graphicData>
            </a:graphic>
          </wp:inline>
        </w:drawing>
      </w:r>
      <w:r>
        <w:rPr>
          <w:rFonts w:hint="eastAsia" w:eastAsiaTheme="majorEastAsia"/>
          <w:lang w:eastAsia="zh-CN"/>
        </w:rPr>
        <w:drawing>
          <wp:inline distT="0" distB="0" distL="114300" distR="114300">
            <wp:extent cx="5271135" cy="7452995"/>
            <wp:effectExtent l="0" t="0" r="5715" b="14605"/>
            <wp:docPr id="27" name="图片 27" descr="WHN130MC双工位卧式铣镗加工中心合格证明书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WHN130MC双工位卧式铣镗加工中心合格证明书_页面_09"/>
                    <pic:cNvPicPr>
                      <a:picLocks noChangeAspect="1"/>
                    </pic:cNvPicPr>
                  </pic:nvPicPr>
                  <pic:blipFill>
                    <a:blip r:embed="rId17"/>
                    <a:stretch>
                      <a:fillRect/>
                    </a:stretch>
                  </pic:blipFill>
                  <pic:spPr>
                    <a:xfrm>
                      <a:off x="0" y="0"/>
                      <a:ext cx="5271135" cy="7452995"/>
                    </a:xfrm>
                    <a:prstGeom prst="rect">
                      <a:avLst/>
                    </a:prstGeom>
                  </pic:spPr>
                </pic:pic>
              </a:graphicData>
            </a:graphic>
          </wp:inline>
        </w:drawing>
      </w:r>
      <w:r>
        <w:rPr>
          <w:rFonts w:hint="eastAsia" w:eastAsiaTheme="majorEastAsia"/>
          <w:lang w:eastAsia="zh-CN"/>
        </w:rPr>
        <w:drawing>
          <wp:inline distT="0" distB="0" distL="114300" distR="114300">
            <wp:extent cx="5271135" cy="7452995"/>
            <wp:effectExtent l="0" t="0" r="5715" b="14605"/>
            <wp:docPr id="28" name="图片 28" descr="WHN130MC双工位卧式铣镗加工中心合格证明书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WHN130MC双工位卧式铣镗加工中心合格证明书_页面_10"/>
                    <pic:cNvPicPr>
                      <a:picLocks noChangeAspect="1"/>
                    </pic:cNvPicPr>
                  </pic:nvPicPr>
                  <pic:blipFill>
                    <a:blip r:embed="rId18"/>
                    <a:stretch>
                      <a:fillRect/>
                    </a:stretch>
                  </pic:blipFill>
                  <pic:spPr>
                    <a:xfrm>
                      <a:off x="0" y="0"/>
                      <a:ext cx="5271135" cy="7452995"/>
                    </a:xfrm>
                    <a:prstGeom prst="rect">
                      <a:avLst/>
                    </a:prstGeom>
                  </pic:spPr>
                </pic:pic>
              </a:graphicData>
            </a:graphic>
          </wp:inline>
        </w:drawing>
      </w:r>
      <w:r>
        <w:rPr>
          <w:rFonts w:hint="eastAsia" w:eastAsiaTheme="majorEastAsia"/>
          <w:lang w:eastAsia="zh-CN"/>
        </w:rPr>
        <w:drawing>
          <wp:inline distT="0" distB="0" distL="114300" distR="114300">
            <wp:extent cx="5272405" cy="7453630"/>
            <wp:effectExtent l="0" t="0" r="4445" b="13970"/>
            <wp:docPr id="29" name="图片 29" descr="WHN130MC双工位卧式铣镗加工中心合格证明书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WHN130MC双工位卧式铣镗加工中心合格证明书_页面_11"/>
                    <pic:cNvPicPr>
                      <a:picLocks noChangeAspect="1"/>
                    </pic:cNvPicPr>
                  </pic:nvPicPr>
                  <pic:blipFill>
                    <a:blip r:embed="rId19"/>
                    <a:stretch>
                      <a:fillRect/>
                    </a:stretch>
                  </pic:blipFill>
                  <pic:spPr>
                    <a:xfrm>
                      <a:off x="0" y="0"/>
                      <a:ext cx="5272405" cy="7453630"/>
                    </a:xfrm>
                    <a:prstGeom prst="rect">
                      <a:avLst/>
                    </a:prstGeom>
                  </pic:spPr>
                </pic:pic>
              </a:graphicData>
            </a:graphic>
          </wp:inline>
        </w:drawing>
      </w:r>
      <w:r>
        <w:rPr>
          <w:rFonts w:hint="eastAsia" w:eastAsiaTheme="majorEastAsia"/>
          <w:lang w:eastAsia="zh-CN"/>
        </w:rPr>
        <w:drawing>
          <wp:inline distT="0" distB="0" distL="114300" distR="114300">
            <wp:extent cx="5277485" cy="7463155"/>
            <wp:effectExtent l="0" t="0" r="18415" b="4445"/>
            <wp:docPr id="30" name="图片 30" descr="WHN130MC双工位卧式铣镗加工中心合格证明书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HN130MC双工位卧式铣镗加工中心合格证明书_页面_12"/>
                    <pic:cNvPicPr>
                      <a:picLocks noChangeAspect="1"/>
                    </pic:cNvPicPr>
                  </pic:nvPicPr>
                  <pic:blipFill>
                    <a:blip r:embed="rId20"/>
                    <a:stretch>
                      <a:fillRect/>
                    </a:stretch>
                  </pic:blipFill>
                  <pic:spPr>
                    <a:xfrm>
                      <a:off x="0" y="0"/>
                      <a:ext cx="5277485" cy="7463155"/>
                    </a:xfrm>
                    <a:prstGeom prst="rect">
                      <a:avLst/>
                    </a:prstGeom>
                  </pic:spPr>
                </pic:pic>
              </a:graphicData>
            </a:graphic>
          </wp:inline>
        </w:drawing>
      </w:r>
      <w:r>
        <w:rPr>
          <w:rFonts w:hint="eastAsia" w:eastAsiaTheme="majorEastAsia"/>
          <w:lang w:eastAsia="zh-CN"/>
        </w:rPr>
        <w:drawing>
          <wp:inline distT="0" distB="0" distL="114300" distR="114300">
            <wp:extent cx="5271135" cy="7454900"/>
            <wp:effectExtent l="0" t="0" r="5715" b="12700"/>
            <wp:docPr id="31" name="图片 31" descr="WHN130MC双工位卧式铣镗加工中心合格证明书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WHN130MC双工位卧式铣镗加工中心合格证明书_页面_13"/>
                    <pic:cNvPicPr>
                      <a:picLocks noChangeAspect="1"/>
                    </pic:cNvPicPr>
                  </pic:nvPicPr>
                  <pic:blipFill>
                    <a:blip r:embed="rId21"/>
                    <a:stretch>
                      <a:fillRect/>
                    </a:stretch>
                  </pic:blipFill>
                  <pic:spPr>
                    <a:xfrm>
                      <a:off x="0" y="0"/>
                      <a:ext cx="5271135" cy="7454900"/>
                    </a:xfrm>
                    <a:prstGeom prst="rect">
                      <a:avLst/>
                    </a:prstGeom>
                  </pic:spPr>
                </pic:pic>
              </a:graphicData>
            </a:graphic>
          </wp:inline>
        </w:drawing>
      </w:r>
      <w:r>
        <w:rPr>
          <w:rFonts w:hint="eastAsia" w:eastAsiaTheme="majorEastAsia"/>
          <w:lang w:eastAsia="zh-CN"/>
        </w:rPr>
        <w:drawing>
          <wp:inline distT="0" distB="0" distL="114300" distR="114300">
            <wp:extent cx="5272405" cy="7453630"/>
            <wp:effectExtent l="0" t="0" r="4445" b="13970"/>
            <wp:docPr id="32" name="图片 32" descr="WHN130MC双工位卧式铣镗加工中心合格证明书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WHN130MC双工位卧式铣镗加工中心合格证明书_页面_14"/>
                    <pic:cNvPicPr>
                      <a:picLocks noChangeAspect="1"/>
                    </pic:cNvPicPr>
                  </pic:nvPicPr>
                  <pic:blipFill>
                    <a:blip r:embed="rId22"/>
                    <a:stretch>
                      <a:fillRect/>
                    </a:stretch>
                  </pic:blipFill>
                  <pic:spPr>
                    <a:xfrm>
                      <a:off x="0" y="0"/>
                      <a:ext cx="5272405" cy="7453630"/>
                    </a:xfrm>
                    <a:prstGeom prst="rect">
                      <a:avLst/>
                    </a:prstGeom>
                  </pic:spPr>
                </pic:pic>
              </a:graphicData>
            </a:graphic>
          </wp:inline>
        </w:drawing>
      </w:r>
      <w:r>
        <w:rPr>
          <w:rFonts w:hint="eastAsia" w:eastAsiaTheme="majorEastAsia"/>
          <w:lang w:eastAsia="zh-CN"/>
        </w:rPr>
        <w:drawing>
          <wp:inline distT="0" distB="0" distL="114300" distR="114300">
            <wp:extent cx="5272405" cy="7454265"/>
            <wp:effectExtent l="0" t="0" r="4445" b="13335"/>
            <wp:docPr id="33" name="图片 33" descr="WHN130MC双工位卧式铣镗加工中心合格证明书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WHN130MC双工位卧式铣镗加工中心合格证明书_页面_15"/>
                    <pic:cNvPicPr>
                      <a:picLocks noChangeAspect="1"/>
                    </pic:cNvPicPr>
                  </pic:nvPicPr>
                  <pic:blipFill>
                    <a:blip r:embed="rId23"/>
                    <a:stretch>
                      <a:fillRect/>
                    </a:stretch>
                  </pic:blipFill>
                  <pic:spPr>
                    <a:xfrm>
                      <a:off x="0" y="0"/>
                      <a:ext cx="5272405" cy="7454265"/>
                    </a:xfrm>
                    <a:prstGeom prst="rect">
                      <a:avLst/>
                    </a:prstGeom>
                  </pic:spPr>
                </pic:pic>
              </a:graphicData>
            </a:graphic>
          </wp:inline>
        </w:drawing>
      </w:r>
      <w:bookmarkEnd w:id="751"/>
    </w:p>
    <w:p>
      <w:pPr>
        <w:numPr>
          <w:ilvl w:val="0"/>
          <w:numId w:val="4"/>
        </w:numPr>
        <w:adjustRightInd w:val="0"/>
        <w:snapToGrid w:val="0"/>
        <w:spacing w:line="360" w:lineRule="auto"/>
        <w:outlineLvl w:val="1"/>
        <w:rPr>
          <w:rFonts w:hint="eastAsia" w:cs="宋体"/>
          <w:b/>
          <w:bCs/>
          <w:sz w:val="24"/>
          <w:szCs w:val="24"/>
        </w:rPr>
      </w:pPr>
      <w:bookmarkStart w:id="752" w:name="_Toc22171"/>
      <w:bookmarkStart w:id="753" w:name="_Toc26832"/>
      <w:bookmarkStart w:id="754" w:name="_Toc12638"/>
      <w:bookmarkStart w:id="755" w:name="_Toc18095"/>
      <w:bookmarkStart w:id="756" w:name="_Toc19867"/>
      <w:bookmarkStart w:id="757" w:name="_Toc21167"/>
      <w:bookmarkStart w:id="758" w:name="_Toc24087"/>
      <w:r>
        <w:rPr>
          <w:rFonts w:hint="eastAsia" w:cs="宋体"/>
          <w:b/>
          <w:bCs/>
          <w:sz w:val="24"/>
          <w:szCs w:val="24"/>
        </w:rPr>
        <w:t>技术培训</w:t>
      </w:r>
      <w:bookmarkEnd w:id="752"/>
      <w:bookmarkEnd w:id="753"/>
      <w:bookmarkEnd w:id="754"/>
      <w:bookmarkEnd w:id="755"/>
      <w:bookmarkEnd w:id="756"/>
      <w:bookmarkEnd w:id="757"/>
      <w:bookmarkEnd w:id="758"/>
    </w:p>
    <w:p>
      <w:pPr>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无</w:t>
      </w:r>
    </w:p>
    <w:p>
      <w:pPr>
        <w:adjustRightInd w:val="0"/>
        <w:snapToGrid w:val="0"/>
        <w:spacing w:line="360" w:lineRule="auto"/>
        <w:outlineLvl w:val="1"/>
        <w:rPr>
          <w:rFonts w:cs="宋体"/>
          <w:sz w:val="24"/>
          <w:szCs w:val="24"/>
        </w:rPr>
      </w:pPr>
      <w:bookmarkStart w:id="759" w:name="_Toc24498"/>
      <w:bookmarkStart w:id="760" w:name="_Toc17797"/>
      <w:bookmarkStart w:id="761" w:name="_Toc29780"/>
      <w:bookmarkStart w:id="762" w:name="_Toc17567"/>
      <w:bookmarkStart w:id="763" w:name="_Toc3778"/>
      <w:bookmarkStart w:id="764" w:name="_Toc23350"/>
      <w:bookmarkStart w:id="765" w:name="_Toc24287"/>
      <w:r>
        <w:rPr>
          <w:rFonts w:hint="eastAsia" w:cs="宋体"/>
          <w:b/>
          <w:bCs/>
          <w:sz w:val="24"/>
          <w:szCs w:val="24"/>
        </w:rPr>
        <w:t>四、交货及售后服务</w:t>
      </w:r>
      <w:bookmarkEnd w:id="759"/>
      <w:bookmarkEnd w:id="760"/>
      <w:bookmarkEnd w:id="761"/>
      <w:bookmarkEnd w:id="762"/>
      <w:bookmarkEnd w:id="763"/>
      <w:bookmarkEnd w:id="764"/>
      <w:bookmarkEnd w:id="765"/>
    </w:p>
    <w:p>
      <w:pPr>
        <w:adjustRightInd w:val="0"/>
        <w:snapToGrid w:val="0"/>
        <w:spacing w:line="360" w:lineRule="auto"/>
        <w:ind w:firstLine="482" w:firstLineChars="200"/>
        <w:rPr>
          <w:rFonts w:cs="宋体"/>
          <w:b/>
          <w:bCs/>
          <w:sz w:val="24"/>
          <w:szCs w:val="24"/>
        </w:rPr>
      </w:pPr>
      <w:r>
        <w:rPr>
          <w:rFonts w:hint="eastAsia" w:cs="宋体"/>
          <w:b/>
          <w:bCs/>
          <w:sz w:val="24"/>
          <w:szCs w:val="24"/>
        </w:rPr>
        <w:t>★1.本次招标为交钥匙工程，设备所需物料、服务等均须按招标文件技术要求由投标方负责全部提供</w:t>
      </w:r>
      <w:r>
        <w:rPr>
          <w:rFonts w:hint="eastAsia" w:cs="宋体"/>
          <w:b/>
          <w:bCs/>
          <w:sz w:val="24"/>
          <w:szCs w:val="24"/>
          <w:lang w:eastAsia="zh-CN"/>
        </w:rPr>
        <w:t>。</w:t>
      </w:r>
    </w:p>
    <w:p>
      <w:pPr>
        <w:adjustRightInd w:val="0"/>
        <w:snapToGrid w:val="0"/>
        <w:spacing w:line="360" w:lineRule="auto"/>
        <w:ind w:firstLine="482" w:firstLineChars="200"/>
        <w:rPr>
          <w:rFonts w:cs="宋体"/>
          <w:sz w:val="24"/>
          <w:szCs w:val="24"/>
        </w:rPr>
      </w:pPr>
      <w:r>
        <w:rPr>
          <w:rFonts w:hint="eastAsia" w:cs="宋体"/>
          <w:b/>
          <w:bCs/>
          <w:sz w:val="24"/>
          <w:szCs w:val="24"/>
        </w:rPr>
        <w:t>★</w:t>
      </w:r>
      <w:r>
        <w:rPr>
          <w:rFonts w:hint="eastAsia" w:cs="宋体"/>
          <w:sz w:val="24"/>
          <w:szCs w:val="24"/>
        </w:rPr>
        <w:t>2.全部维修调试在合同签订后</w:t>
      </w:r>
      <w:r>
        <w:rPr>
          <w:rFonts w:hint="eastAsia" w:cs="宋体"/>
          <w:sz w:val="24"/>
          <w:szCs w:val="24"/>
          <w:u w:val="single"/>
        </w:rPr>
        <w:t>90天内</w:t>
      </w:r>
      <w:r>
        <w:rPr>
          <w:rFonts w:hint="eastAsia" w:cs="宋体"/>
          <w:sz w:val="24"/>
          <w:szCs w:val="24"/>
        </w:rPr>
        <w:t>完成。</w:t>
      </w:r>
    </w:p>
    <w:p>
      <w:pPr>
        <w:pStyle w:val="65"/>
        <w:snapToGrid w:val="0"/>
        <w:spacing w:line="360" w:lineRule="auto"/>
        <w:ind w:firstLine="480" w:firstLineChars="200"/>
        <w:rPr>
          <w:color w:val="auto"/>
        </w:rPr>
      </w:pPr>
      <w:r>
        <w:rPr>
          <w:rFonts w:hint="eastAsia"/>
          <w:color w:val="auto"/>
        </w:rPr>
        <w:t>3.投标方负责交货及安装过程的运输及吊装。</w:t>
      </w:r>
    </w:p>
    <w:p>
      <w:pPr>
        <w:adjustRightInd w:val="0"/>
        <w:snapToGrid w:val="0"/>
        <w:spacing w:line="360" w:lineRule="auto"/>
        <w:ind w:firstLine="480" w:firstLineChars="200"/>
        <w:rPr>
          <w:rFonts w:cs="宋体"/>
          <w:sz w:val="24"/>
          <w:szCs w:val="24"/>
        </w:rPr>
      </w:pPr>
      <w:r>
        <w:rPr>
          <w:rFonts w:hint="eastAsia" w:cs="宋体"/>
          <w:sz w:val="24"/>
          <w:szCs w:val="24"/>
        </w:rPr>
        <w:t>4.合同生效后</w:t>
      </w:r>
      <w:r>
        <w:rPr>
          <w:rFonts w:hint="eastAsia" w:cs="宋体"/>
          <w:sz w:val="24"/>
          <w:szCs w:val="24"/>
          <w:lang w:val="en-US" w:eastAsia="zh-CN"/>
        </w:rPr>
        <w:t>随设备提供</w:t>
      </w:r>
      <w:r>
        <w:rPr>
          <w:rFonts w:hint="eastAsia" w:cs="宋体"/>
          <w:sz w:val="24"/>
          <w:szCs w:val="24"/>
        </w:rPr>
        <w:t>相关图纸；</w:t>
      </w:r>
    </w:p>
    <w:p>
      <w:pPr>
        <w:adjustRightInd w:val="0"/>
        <w:snapToGrid w:val="0"/>
        <w:spacing w:line="360" w:lineRule="auto"/>
        <w:ind w:firstLine="482" w:firstLineChars="200"/>
        <w:rPr>
          <w:rFonts w:cs="宋体"/>
          <w:b/>
          <w:bCs/>
          <w:sz w:val="24"/>
          <w:szCs w:val="24"/>
        </w:rPr>
      </w:pPr>
      <w:r>
        <w:rPr>
          <w:rFonts w:hint="eastAsia" w:cs="宋体"/>
          <w:b/>
          <w:bCs/>
          <w:sz w:val="24"/>
          <w:szCs w:val="24"/>
        </w:rPr>
        <w:t>★5.质保期：以合同设备验收合格之日起整机质保1年，系统2年，质保到期前进行精度复检和调试，恢复修复后精度。</w:t>
      </w:r>
    </w:p>
    <w:p>
      <w:pPr>
        <w:adjustRightInd w:val="0"/>
        <w:snapToGrid w:val="0"/>
        <w:spacing w:line="360" w:lineRule="auto"/>
        <w:ind w:firstLine="480" w:firstLineChars="200"/>
        <w:rPr>
          <w:rFonts w:cs="宋体"/>
          <w:sz w:val="24"/>
          <w:szCs w:val="24"/>
        </w:rPr>
      </w:pPr>
      <w:r>
        <w:rPr>
          <w:rFonts w:hint="eastAsia" w:cs="宋体"/>
          <w:sz w:val="24"/>
          <w:szCs w:val="24"/>
        </w:rPr>
        <w:t>6.质保期内，因产品质量引起的任何缺陷，由投标方（制造方）负责解决，所有费用均由投标方（制造方）承担，并应在接到招标方（使用方）通知后24小时内到达现场服务；</w:t>
      </w:r>
    </w:p>
    <w:p>
      <w:pPr>
        <w:adjustRightInd w:val="0"/>
        <w:snapToGrid w:val="0"/>
        <w:spacing w:line="360" w:lineRule="auto"/>
        <w:ind w:firstLine="480" w:firstLineChars="200"/>
        <w:rPr>
          <w:rFonts w:cs="宋体"/>
          <w:sz w:val="24"/>
          <w:szCs w:val="24"/>
        </w:rPr>
      </w:pPr>
      <w:r>
        <w:rPr>
          <w:rFonts w:hint="eastAsia" w:cs="宋体"/>
          <w:sz w:val="24"/>
          <w:szCs w:val="24"/>
        </w:rPr>
        <w:t>7.质保期后，终身为用户服务，接到招标方报修通知后，投标方（制造方）应在1小时内作出反应，如招标方（使用方）不能解决问题，投标方（制造方）立即派员48小时内到达服务现场，服务费用以优惠价格收取成本费。</w:t>
      </w:r>
    </w:p>
    <w:p>
      <w:pPr>
        <w:adjustRightInd w:val="0"/>
        <w:snapToGrid w:val="0"/>
        <w:spacing w:line="360" w:lineRule="auto"/>
        <w:outlineLvl w:val="1"/>
        <w:rPr>
          <w:rFonts w:hint="eastAsia" w:cs="宋体"/>
          <w:b/>
          <w:bCs/>
          <w:sz w:val="24"/>
          <w:szCs w:val="24"/>
        </w:rPr>
      </w:pPr>
      <w:bookmarkStart w:id="766" w:name="_Toc8305"/>
      <w:bookmarkStart w:id="767" w:name="_Toc16578"/>
      <w:bookmarkStart w:id="768" w:name="_Toc15073"/>
      <w:bookmarkStart w:id="769" w:name="_Toc24879"/>
      <w:bookmarkStart w:id="770" w:name="_Toc1123"/>
      <w:bookmarkStart w:id="771" w:name="_Toc20712"/>
      <w:bookmarkStart w:id="772" w:name="_Toc526"/>
      <w:r>
        <w:rPr>
          <w:rFonts w:hint="eastAsia" w:cs="宋体"/>
          <w:b/>
          <w:bCs/>
          <w:sz w:val="24"/>
          <w:szCs w:val="24"/>
        </w:rPr>
        <w:t>五、★付款方式</w:t>
      </w:r>
      <w:bookmarkEnd w:id="766"/>
      <w:bookmarkEnd w:id="767"/>
      <w:bookmarkEnd w:id="768"/>
      <w:bookmarkEnd w:id="769"/>
      <w:bookmarkEnd w:id="770"/>
      <w:bookmarkEnd w:id="771"/>
      <w:bookmarkEnd w:id="772"/>
    </w:p>
    <w:p>
      <w:pPr>
        <w:ind w:firstLine="420"/>
        <w:outlineLvl w:val="9"/>
        <w:rPr>
          <w:rFonts w:hint="eastAsia" w:ascii="Times New Roman" w:hAnsi="Times New Roman" w:eastAsia="宋体" w:cs="宋体"/>
          <w:b w:val="0"/>
          <w:bCs w:val="0"/>
          <w:sz w:val="24"/>
          <w:szCs w:val="24"/>
        </w:rPr>
      </w:pPr>
      <w:r>
        <w:rPr>
          <w:rFonts w:hint="eastAsia" w:ascii="Times New Roman" w:hAnsi="Times New Roman" w:eastAsia="宋体" w:cs="宋体"/>
          <w:b w:val="0"/>
          <w:bCs w:val="0"/>
          <w:sz w:val="24"/>
          <w:szCs w:val="24"/>
        </w:rPr>
        <w:t>1、合同生效后7日内卖方提供合同价款的30%的预付款，2、货物到达买方指定地点并经买方初验收合格后</w:t>
      </w:r>
      <w:r>
        <w:rPr>
          <w:rFonts w:hint="eastAsia" w:ascii="Times New Roman" w:hAnsi="Times New Roman" w:eastAsia="宋体" w:cs="宋体"/>
          <w:b w:val="0"/>
          <w:bCs w:val="0"/>
          <w:sz w:val="24"/>
          <w:szCs w:val="24"/>
          <w:u w:val="none"/>
        </w:rPr>
        <w:t>14</w:t>
      </w:r>
      <w:r>
        <w:rPr>
          <w:rFonts w:hint="eastAsia" w:ascii="Times New Roman" w:hAnsi="Times New Roman" w:eastAsia="宋体" w:cs="宋体"/>
          <w:b w:val="0"/>
          <w:bCs w:val="0"/>
          <w:sz w:val="24"/>
          <w:szCs w:val="24"/>
        </w:rPr>
        <w:t>日内向卖方支付合同价款的</w:t>
      </w:r>
      <w:r>
        <w:rPr>
          <w:rFonts w:hint="eastAsia" w:ascii="Times New Roman" w:hAnsi="Times New Roman" w:eastAsia="宋体" w:cs="宋体"/>
          <w:b w:val="0"/>
          <w:bCs w:val="0"/>
          <w:sz w:val="24"/>
          <w:szCs w:val="24"/>
          <w:u w:val="none"/>
        </w:rPr>
        <w:t>30</w:t>
      </w:r>
      <w:r>
        <w:rPr>
          <w:rFonts w:hint="eastAsia" w:ascii="Times New Roman" w:hAnsi="Times New Roman" w:eastAsia="宋体" w:cs="宋体"/>
          <w:b w:val="0"/>
          <w:bCs w:val="0"/>
          <w:sz w:val="24"/>
          <w:szCs w:val="24"/>
        </w:rPr>
        <w:t>%；3、全部设备安装调试完成后且经买方验收合格后，卖方提供100%合同价款的增值税专用发票后</w:t>
      </w:r>
      <w:r>
        <w:rPr>
          <w:rFonts w:hint="eastAsia" w:ascii="Times New Roman" w:hAnsi="Times New Roman" w:eastAsia="宋体" w:cs="宋体"/>
          <w:b w:val="0"/>
          <w:bCs w:val="0"/>
          <w:sz w:val="24"/>
          <w:szCs w:val="24"/>
          <w:u w:val="none"/>
        </w:rPr>
        <w:t>14</w:t>
      </w:r>
      <w:r>
        <w:rPr>
          <w:rFonts w:hint="eastAsia" w:ascii="Times New Roman" w:hAnsi="Times New Roman" w:eastAsia="宋体" w:cs="宋体"/>
          <w:b w:val="0"/>
          <w:bCs w:val="0"/>
          <w:sz w:val="24"/>
          <w:szCs w:val="24"/>
        </w:rPr>
        <w:t>日内买方向卖方支付合同价款的</w:t>
      </w:r>
      <w:r>
        <w:rPr>
          <w:rFonts w:hint="eastAsia" w:ascii="Times New Roman" w:hAnsi="Times New Roman" w:eastAsia="宋体" w:cs="宋体"/>
          <w:b w:val="0"/>
          <w:bCs w:val="0"/>
          <w:sz w:val="24"/>
          <w:szCs w:val="24"/>
          <w:u w:val="none"/>
        </w:rPr>
        <w:t>30</w:t>
      </w:r>
      <w:r>
        <w:rPr>
          <w:rFonts w:hint="eastAsia" w:ascii="Times New Roman" w:hAnsi="Times New Roman" w:eastAsia="宋体" w:cs="宋体"/>
          <w:b w:val="0"/>
          <w:bCs w:val="0"/>
          <w:sz w:val="24"/>
          <w:szCs w:val="24"/>
        </w:rPr>
        <w:t>%；4、合同价款的10%作为质保金，买方于整机质保期满无质量问题后</w:t>
      </w:r>
      <w:r>
        <w:rPr>
          <w:rFonts w:hint="eastAsia" w:ascii="Times New Roman" w:hAnsi="Times New Roman" w:eastAsia="宋体" w:cs="宋体"/>
          <w:b w:val="0"/>
          <w:bCs w:val="0"/>
          <w:sz w:val="24"/>
          <w:szCs w:val="24"/>
          <w:u w:val="none"/>
        </w:rPr>
        <w:t>14</w:t>
      </w:r>
      <w:r>
        <w:rPr>
          <w:rFonts w:hint="eastAsia" w:ascii="Times New Roman" w:hAnsi="Times New Roman" w:eastAsia="宋体" w:cs="宋体"/>
          <w:b w:val="0"/>
          <w:bCs w:val="0"/>
          <w:sz w:val="24"/>
          <w:szCs w:val="24"/>
        </w:rPr>
        <w:t>日内向卖方支付。</w:t>
      </w:r>
    </w:p>
    <w:p>
      <w:pPr>
        <w:adjustRightInd w:val="0"/>
        <w:snapToGrid w:val="0"/>
        <w:spacing w:line="360" w:lineRule="auto"/>
        <w:outlineLvl w:val="1"/>
        <w:rPr>
          <w:rFonts w:cs="宋体"/>
          <w:b/>
          <w:bCs/>
          <w:sz w:val="24"/>
          <w:szCs w:val="24"/>
        </w:rPr>
      </w:pPr>
      <w:bookmarkStart w:id="773" w:name="_Toc1184"/>
      <w:bookmarkStart w:id="774" w:name="_Toc23686"/>
      <w:bookmarkStart w:id="775" w:name="_Toc413"/>
      <w:bookmarkStart w:id="776" w:name="_Toc17453"/>
      <w:bookmarkStart w:id="777" w:name="_Toc11068"/>
      <w:bookmarkStart w:id="778" w:name="_Toc20374"/>
      <w:bookmarkStart w:id="779" w:name="_Toc9692"/>
      <w:r>
        <w:rPr>
          <w:rFonts w:hint="eastAsia" w:cs="宋体"/>
          <w:b/>
          <w:bCs/>
          <w:sz w:val="24"/>
          <w:szCs w:val="24"/>
        </w:rPr>
        <w:t>六、报价要求</w:t>
      </w:r>
      <w:bookmarkEnd w:id="773"/>
      <w:bookmarkEnd w:id="774"/>
      <w:bookmarkEnd w:id="775"/>
      <w:bookmarkEnd w:id="776"/>
      <w:bookmarkEnd w:id="777"/>
      <w:bookmarkEnd w:id="778"/>
      <w:bookmarkEnd w:id="779"/>
    </w:p>
    <w:p>
      <w:pPr>
        <w:adjustRightInd w:val="0"/>
        <w:snapToGrid w:val="0"/>
        <w:spacing w:line="360" w:lineRule="auto"/>
        <w:ind w:firstLine="480" w:firstLineChars="200"/>
        <w:rPr>
          <w:rFonts w:cs="宋体"/>
          <w:sz w:val="24"/>
          <w:szCs w:val="24"/>
        </w:rPr>
      </w:pPr>
      <w:r>
        <w:rPr>
          <w:rFonts w:hint="eastAsia" w:cs="宋体"/>
          <w:sz w:val="24"/>
          <w:szCs w:val="24"/>
        </w:rPr>
        <w:t>1、投标报价以人民币为货币单位，应分单价、小计和总价。</w:t>
      </w:r>
    </w:p>
    <w:p>
      <w:pPr>
        <w:adjustRightInd w:val="0"/>
        <w:snapToGrid w:val="0"/>
        <w:spacing w:line="360" w:lineRule="auto"/>
        <w:ind w:firstLine="480" w:firstLineChars="200"/>
        <w:rPr>
          <w:rFonts w:cs="宋体"/>
          <w:sz w:val="24"/>
          <w:szCs w:val="24"/>
        </w:rPr>
      </w:pPr>
      <w:r>
        <w:rPr>
          <w:rFonts w:hint="eastAsia" w:cs="宋体"/>
          <w:sz w:val="24"/>
          <w:szCs w:val="24"/>
        </w:rPr>
        <w:t>2、投标总报价为货物送达采购人指定地点并实施安装调试，经采购人验收合格并交货完毕所发生的一切费用，其包括货物设计、制造、运输、采购保管、保险、售后服务（含保修期内的上门服务）、资料图册提供及伴随服务等费用。所有报价均应已包含国家规定的所有税费。报价人应自行核算项目正常、合法运作及使用所必需的费用。</w:t>
      </w:r>
    </w:p>
    <w:p>
      <w:pPr>
        <w:adjustRightInd w:val="0"/>
        <w:snapToGrid w:val="0"/>
        <w:spacing w:line="360" w:lineRule="auto"/>
        <w:ind w:firstLine="480" w:firstLineChars="200"/>
        <w:rPr>
          <w:rFonts w:cs="宋体"/>
          <w:sz w:val="24"/>
          <w:szCs w:val="24"/>
        </w:rPr>
      </w:pPr>
      <w:r>
        <w:rPr>
          <w:rFonts w:hint="eastAsia" w:cs="宋体"/>
          <w:sz w:val="24"/>
          <w:szCs w:val="24"/>
        </w:rPr>
        <w:t>3、投标人漏报的单价或每单价报价中漏报、少报的费用，视为此项费用已隐含在报价报价中，中标后不得再向招标人收取任何费用。</w:t>
      </w:r>
    </w:p>
    <w:p>
      <w:pPr>
        <w:adjustRightInd w:val="0"/>
        <w:snapToGrid w:val="0"/>
        <w:spacing w:line="360" w:lineRule="auto"/>
        <w:ind w:firstLine="480" w:firstLineChars="200"/>
        <w:rPr>
          <w:rFonts w:cs="宋体"/>
          <w:sz w:val="24"/>
          <w:szCs w:val="24"/>
        </w:rPr>
      </w:pPr>
      <w:r>
        <w:rPr>
          <w:rFonts w:hint="eastAsia" w:cs="宋体"/>
          <w:sz w:val="24"/>
          <w:szCs w:val="24"/>
        </w:rPr>
        <w:t>4、投标人对本项目只能有一个报价，招标采购单位不接受有选择的报价。</w:t>
      </w:r>
    </w:p>
    <w:p>
      <w:pPr>
        <w:adjustRightInd w:val="0"/>
        <w:snapToGrid w:val="0"/>
        <w:spacing w:line="360" w:lineRule="auto"/>
        <w:outlineLvl w:val="1"/>
        <w:rPr>
          <w:rFonts w:cs="宋体"/>
          <w:b/>
          <w:bCs/>
          <w:sz w:val="24"/>
          <w:szCs w:val="24"/>
        </w:rPr>
      </w:pPr>
      <w:bookmarkStart w:id="780" w:name="_Toc7498"/>
      <w:bookmarkStart w:id="781" w:name="_Toc17054"/>
      <w:bookmarkStart w:id="782" w:name="_Toc22165"/>
      <w:bookmarkStart w:id="783" w:name="_Toc28270"/>
      <w:bookmarkStart w:id="784" w:name="_Toc9032"/>
      <w:bookmarkStart w:id="785" w:name="_Toc7471"/>
      <w:bookmarkStart w:id="786" w:name="_Toc22670"/>
      <w:r>
        <w:rPr>
          <w:rFonts w:hint="eastAsia" w:cs="宋体"/>
          <w:b/>
          <w:bCs/>
          <w:sz w:val="24"/>
          <w:szCs w:val="24"/>
        </w:rPr>
        <w:t>七、违约责任</w:t>
      </w:r>
      <w:bookmarkEnd w:id="780"/>
      <w:bookmarkEnd w:id="781"/>
      <w:bookmarkEnd w:id="782"/>
      <w:bookmarkEnd w:id="783"/>
      <w:bookmarkEnd w:id="784"/>
      <w:bookmarkEnd w:id="785"/>
      <w:bookmarkEnd w:id="786"/>
    </w:p>
    <w:p>
      <w:pPr>
        <w:spacing w:line="360" w:lineRule="auto"/>
        <w:ind w:firstLine="480" w:firstLineChars="200"/>
        <w:rPr>
          <w:rFonts w:cs="宋体"/>
          <w:sz w:val="24"/>
          <w:szCs w:val="24"/>
        </w:rPr>
      </w:pPr>
      <w:r>
        <w:rPr>
          <w:rFonts w:hint="eastAsia" w:cs="宋体"/>
          <w:sz w:val="24"/>
          <w:szCs w:val="24"/>
        </w:rPr>
        <w:t>1、因中标人原因造成采购合同无法按时签订，视为中标人违约，中标人违约对招标人造成的损失的，需另行支付相应的赔偿，并不予退还投标保证金。</w:t>
      </w:r>
    </w:p>
    <w:p>
      <w:pPr>
        <w:spacing w:line="360" w:lineRule="auto"/>
        <w:ind w:firstLine="480" w:firstLineChars="200"/>
        <w:rPr>
          <w:rFonts w:cs="宋体"/>
          <w:sz w:val="24"/>
          <w:szCs w:val="24"/>
        </w:rPr>
      </w:pPr>
      <w:r>
        <w:rPr>
          <w:rFonts w:hint="eastAsia" w:cs="宋体"/>
          <w:sz w:val="24"/>
          <w:szCs w:val="24"/>
        </w:rPr>
        <w:t>2、在签定采购合同之后，中标人要求解除合同的，视为中标人违约，对招标人造成的损失的，中标人需支付相应的赔偿。</w:t>
      </w:r>
    </w:p>
    <w:p>
      <w:pPr>
        <w:spacing w:line="360" w:lineRule="auto"/>
        <w:ind w:firstLine="480" w:firstLineChars="200"/>
        <w:rPr>
          <w:rFonts w:cs="宋体"/>
          <w:sz w:val="24"/>
          <w:szCs w:val="24"/>
        </w:rPr>
      </w:pPr>
      <w:r>
        <w:rPr>
          <w:rFonts w:hint="eastAsia" w:cs="宋体"/>
          <w:sz w:val="24"/>
          <w:szCs w:val="24"/>
        </w:rPr>
        <w:t>3、因中标人原因发生重大质量事故，除依约承担赔偿责任外，还将按有关质量管理办法规定执行。同时，招标人有权保留更换中标人的权利，并报相关部门处罚。</w:t>
      </w:r>
    </w:p>
    <w:p>
      <w:pPr>
        <w:spacing w:line="360" w:lineRule="auto"/>
        <w:ind w:firstLine="480" w:firstLineChars="200"/>
        <w:rPr>
          <w:rFonts w:cs="宋体"/>
          <w:sz w:val="24"/>
          <w:szCs w:val="24"/>
        </w:rPr>
      </w:pPr>
      <w:r>
        <w:rPr>
          <w:rFonts w:hint="eastAsia" w:cs="宋体"/>
          <w:sz w:val="24"/>
          <w:szCs w:val="24"/>
        </w:rPr>
        <w:t>4、若发生死亡安全事故，除按国家有关安全管理规定及招标人有关安全管理办法执行外，并报相关部门处罚；发生重大安全事故或特大安全事故，除按国家有关安全管理规定及招标人有关安全管理办法执行外，招标人有权终止合同，给招标人造成的损失，还应承担赔偿责任。</w:t>
      </w:r>
    </w:p>
    <w:p>
      <w:pPr>
        <w:spacing w:line="360" w:lineRule="auto"/>
        <w:ind w:firstLine="480" w:firstLineChars="200"/>
        <w:rPr>
          <w:rFonts w:cs="宋体"/>
          <w:sz w:val="24"/>
          <w:szCs w:val="24"/>
        </w:rPr>
      </w:pPr>
      <w:r>
        <w:rPr>
          <w:rFonts w:hint="eastAsia" w:cs="宋体"/>
          <w:sz w:val="24"/>
          <w:szCs w:val="24"/>
        </w:rPr>
        <w:t>5、在明确违约责任后，中标人应在接到书面通知书起七日内支付违约金、赔偿金等。</w:t>
      </w:r>
    </w:p>
    <w:p>
      <w:pPr>
        <w:adjustRightInd w:val="0"/>
        <w:snapToGrid w:val="0"/>
        <w:spacing w:line="360" w:lineRule="auto"/>
        <w:outlineLvl w:val="1"/>
        <w:rPr>
          <w:rFonts w:cs="宋体"/>
          <w:b/>
          <w:bCs/>
          <w:sz w:val="24"/>
          <w:szCs w:val="24"/>
        </w:rPr>
      </w:pPr>
      <w:bookmarkStart w:id="787" w:name="_Toc32340"/>
      <w:bookmarkStart w:id="788" w:name="_Toc8142"/>
      <w:bookmarkStart w:id="789" w:name="_Toc12200"/>
      <w:bookmarkStart w:id="790" w:name="_Toc4390"/>
      <w:bookmarkStart w:id="791" w:name="_Toc14362"/>
      <w:bookmarkStart w:id="792" w:name="_Toc31202"/>
      <w:bookmarkStart w:id="793" w:name="_Toc21395"/>
      <w:r>
        <w:rPr>
          <w:rFonts w:hint="eastAsia" w:cs="宋体"/>
          <w:b/>
          <w:bCs/>
          <w:sz w:val="24"/>
          <w:szCs w:val="24"/>
        </w:rPr>
        <w:t>八、知识产权</w:t>
      </w:r>
      <w:bookmarkEnd w:id="787"/>
      <w:bookmarkEnd w:id="788"/>
      <w:bookmarkEnd w:id="789"/>
      <w:bookmarkEnd w:id="790"/>
      <w:bookmarkEnd w:id="791"/>
      <w:bookmarkEnd w:id="792"/>
      <w:bookmarkEnd w:id="793"/>
    </w:p>
    <w:p>
      <w:pPr>
        <w:spacing w:line="360" w:lineRule="auto"/>
        <w:ind w:firstLine="480" w:firstLineChars="200"/>
        <w:rPr>
          <w:rFonts w:cs="宋体"/>
          <w:sz w:val="24"/>
          <w:szCs w:val="24"/>
        </w:rPr>
      </w:pPr>
      <w:r>
        <w:rPr>
          <w:rFonts w:hint="eastAsia" w:cs="宋体"/>
          <w:sz w:val="24"/>
          <w:szCs w:val="24"/>
        </w:rPr>
        <w:t>1、投标人必须通过合法渠道获取，并保证招标人在使用过程的任何时候不受到知识产权或版权的纠纷。否则，由此产生的责任，完全由投标人承担。</w:t>
      </w:r>
    </w:p>
    <w:p>
      <w:pPr>
        <w:spacing w:line="360" w:lineRule="auto"/>
        <w:ind w:firstLine="480" w:firstLineChars="200"/>
        <w:rPr>
          <w:rFonts w:cs="宋体"/>
          <w:sz w:val="24"/>
          <w:szCs w:val="24"/>
        </w:rPr>
      </w:pPr>
      <w:r>
        <w:rPr>
          <w:rFonts w:hint="eastAsia" w:cs="宋体"/>
          <w:sz w:val="24"/>
          <w:szCs w:val="24"/>
        </w:rPr>
        <w:t>2、投标人必须保证招标人在使用项目成果过程的任何时候均不侵犯第三方的知识产权（包括但不限于专利权、商标权、著作权和技术秘密等权利）。若任何第三方针对投标人根据本项目提供的货物及服务行为提出知识产权侵权指控，投标人须与第三方交涉并承担由此而引起的一切法律责任和费用。如果招标人因为第三方的侵权指控遭受了损失（包括但不限于律师费、诉讼费、生效法律文书要求招标人承担法律责任等），招标人有权向供应商追偿。</w:t>
      </w:r>
    </w:p>
    <w:p>
      <w:pPr>
        <w:adjustRightInd w:val="0"/>
        <w:snapToGrid w:val="0"/>
        <w:spacing w:line="360" w:lineRule="auto"/>
        <w:outlineLvl w:val="1"/>
        <w:rPr>
          <w:rFonts w:cs="宋体"/>
          <w:b/>
          <w:bCs/>
          <w:sz w:val="24"/>
          <w:szCs w:val="24"/>
        </w:rPr>
      </w:pPr>
      <w:bookmarkStart w:id="794" w:name="_Toc20517"/>
      <w:bookmarkStart w:id="795" w:name="_Toc9355"/>
      <w:bookmarkStart w:id="796" w:name="_Toc30150"/>
      <w:bookmarkStart w:id="797" w:name="_Toc5890"/>
      <w:bookmarkStart w:id="798" w:name="_Toc27011"/>
      <w:bookmarkStart w:id="799" w:name="_Toc8624"/>
      <w:bookmarkStart w:id="800" w:name="_Toc8422"/>
      <w:r>
        <w:rPr>
          <w:rFonts w:hint="eastAsia" w:cs="宋体"/>
          <w:b/>
          <w:bCs/>
          <w:sz w:val="24"/>
          <w:szCs w:val="24"/>
        </w:rPr>
        <w:t>九、合同签订</w:t>
      </w:r>
      <w:bookmarkEnd w:id="794"/>
      <w:bookmarkEnd w:id="795"/>
      <w:bookmarkEnd w:id="796"/>
      <w:bookmarkEnd w:id="797"/>
      <w:bookmarkEnd w:id="798"/>
      <w:bookmarkEnd w:id="799"/>
      <w:bookmarkEnd w:id="800"/>
    </w:p>
    <w:p>
      <w:pPr>
        <w:spacing w:line="360" w:lineRule="auto"/>
        <w:ind w:firstLine="480" w:firstLineChars="200"/>
        <w:rPr>
          <w:rFonts w:cs="宋体"/>
          <w:sz w:val="24"/>
          <w:szCs w:val="24"/>
        </w:rPr>
      </w:pPr>
      <w:r>
        <w:rPr>
          <w:rFonts w:hint="eastAsia" w:cs="宋体"/>
          <w:sz w:val="24"/>
          <w:szCs w:val="24"/>
        </w:rPr>
        <w:t>1、中标公告发布后，中标人应及时领取《中标通知书》，持《中标通知书》与招标人签订合同，招标文件、中标人的投标文件均作为合同订立的基础。</w:t>
      </w:r>
    </w:p>
    <w:p>
      <w:pPr>
        <w:spacing w:line="360" w:lineRule="auto"/>
        <w:ind w:firstLine="482" w:firstLineChars="200"/>
        <w:rPr>
          <w:rFonts w:cs="宋体"/>
          <w:b/>
          <w:bCs/>
          <w:sz w:val="24"/>
          <w:szCs w:val="24"/>
        </w:rPr>
      </w:pPr>
      <w:r>
        <w:rPr>
          <w:rFonts w:hint="eastAsia" w:cs="宋体"/>
          <w:b/>
          <w:bCs/>
          <w:sz w:val="24"/>
          <w:szCs w:val="24"/>
        </w:rPr>
        <w:t>2、中标人应当在《中标通知书》发出之日起7日内，派代表与招标人签订合同，如中标人因自身原因不能按时和招标人签订合同，招标人有权取消其成交资格，由第二中标候选人依次递补，并按有关规定对其进行处罚。</w:t>
      </w:r>
    </w:p>
    <w:p>
      <w:pPr>
        <w:spacing w:line="360" w:lineRule="auto"/>
        <w:jc w:val="center"/>
        <w:outlineLvl w:val="0"/>
        <w:rPr>
          <w:b/>
          <w:bCs/>
          <w:sz w:val="36"/>
          <w:szCs w:val="36"/>
        </w:rPr>
      </w:pPr>
      <w:bookmarkStart w:id="801" w:name="_Toc1402"/>
      <w:bookmarkStart w:id="802" w:name="_Toc23426"/>
      <w:bookmarkStart w:id="803" w:name="_Toc23224"/>
      <w:bookmarkStart w:id="804" w:name="_Toc27638"/>
      <w:bookmarkStart w:id="805" w:name="_Toc5573"/>
      <w:bookmarkStart w:id="806" w:name="_Toc15373"/>
      <w:bookmarkStart w:id="807" w:name="_Toc22200"/>
      <w:r>
        <w:rPr>
          <w:rFonts w:hint="eastAsia"/>
          <w:b/>
          <w:bCs/>
          <w:sz w:val="36"/>
          <w:szCs w:val="36"/>
        </w:rPr>
        <w:t>第五章  合同条款</w:t>
      </w:r>
      <w:bookmarkEnd w:id="801"/>
      <w:bookmarkEnd w:id="802"/>
      <w:bookmarkEnd w:id="803"/>
      <w:bookmarkEnd w:id="804"/>
      <w:bookmarkEnd w:id="805"/>
      <w:bookmarkEnd w:id="806"/>
      <w:bookmarkEnd w:id="807"/>
    </w:p>
    <w:tbl>
      <w:tblPr>
        <w:tblStyle w:val="28"/>
        <w:tblW w:w="8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7" w:hRule="atLeast"/>
        </w:trPr>
        <w:tc>
          <w:tcPr>
            <w:tcW w:w="8630" w:type="dxa"/>
            <w:tcBorders>
              <w:top w:val="single" w:color="auto" w:sz="4" w:space="0"/>
              <w:left w:val="single" w:color="auto" w:sz="4" w:space="0"/>
              <w:bottom w:val="single" w:color="auto" w:sz="4" w:space="0"/>
              <w:right w:val="single" w:color="auto" w:sz="4" w:space="0"/>
            </w:tcBorders>
          </w:tcPr>
          <w:p>
            <w:pPr>
              <w:snapToGrid w:val="0"/>
              <w:spacing w:line="360" w:lineRule="auto"/>
              <w:ind w:left="105"/>
              <w:rPr>
                <w:rFonts w:cs="宋体"/>
                <w:sz w:val="24"/>
                <w:szCs w:val="24"/>
              </w:rPr>
            </w:pPr>
            <w:r>
              <w:rPr>
                <w:rFonts w:hint="eastAsia" w:cs="宋体"/>
                <w:sz w:val="24"/>
                <w:szCs w:val="24"/>
              </w:rPr>
              <w:t>注释：</w:t>
            </w:r>
          </w:p>
          <w:p>
            <w:pPr>
              <w:snapToGrid w:val="0"/>
              <w:spacing w:line="360" w:lineRule="auto"/>
              <w:ind w:firstLine="720" w:firstLineChars="300"/>
              <w:rPr>
                <w:rFonts w:cs="宋体"/>
                <w:sz w:val="24"/>
                <w:szCs w:val="24"/>
              </w:rPr>
            </w:pPr>
            <w:r>
              <w:rPr>
                <w:rFonts w:hint="eastAsia" w:cs="宋体"/>
                <w:sz w:val="24"/>
                <w:szCs w:val="24"/>
              </w:rPr>
              <w:t>本格式条款仅作为双方签订合同的参考，为阐明各方的权利和义务，经协商可增加新的条款、修改相关条款，但不得与招标文件、投标文件的实质性内容相背离。</w:t>
            </w:r>
          </w:p>
        </w:tc>
      </w:tr>
    </w:tbl>
    <w:p>
      <w:pPr>
        <w:spacing w:line="360" w:lineRule="auto"/>
        <w:jc w:val="center"/>
        <w:rPr>
          <w:rFonts w:cs="宋体"/>
          <w:b/>
          <w:sz w:val="28"/>
          <w:szCs w:val="28"/>
        </w:rPr>
      </w:pPr>
      <w:r>
        <w:rPr>
          <w:rFonts w:hint="eastAsia" w:cs="宋体"/>
          <w:b/>
          <w:sz w:val="28"/>
          <w:szCs w:val="28"/>
        </w:rPr>
        <w:t xml:space="preserve">设  备  买  卖  合  同 </w:t>
      </w:r>
    </w:p>
    <w:p>
      <w:pPr>
        <w:spacing w:line="360" w:lineRule="auto"/>
        <w:rPr>
          <w:rFonts w:cs="宋体"/>
          <w:sz w:val="24"/>
          <w:szCs w:val="24"/>
        </w:rPr>
      </w:pPr>
      <w:r>
        <w:rPr>
          <w:rFonts w:hint="eastAsia" w:cs="宋体"/>
          <w:sz w:val="24"/>
          <w:szCs w:val="24"/>
        </w:rPr>
        <w:t>买方：厦工（三明）重型机器有限公司            合同签订地点：三明沙县</w:t>
      </w:r>
    </w:p>
    <w:p>
      <w:pPr>
        <w:pStyle w:val="24"/>
        <w:shd w:val="clear" w:color="auto" w:fill="FFFFFF"/>
        <w:spacing w:line="360" w:lineRule="auto"/>
      </w:pPr>
      <w:r>
        <w:rPr>
          <w:rFonts w:hint="eastAsia"/>
        </w:rPr>
        <w:t>卖方：                                                 合同编号：</w:t>
      </w:r>
    </w:p>
    <w:p>
      <w:pPr>
        <w:pStyle w:val="24"/>
        <w:shd w:val="clear" w:color="auto" w:fill="FFFFFF"/>
        <w:spacing w:line="360" w:lineRule="auto"/>
      </w:pPr>
    </w:p>
    <w:p>
      <w:pPr>
        <w:spacing w:line="360" w:lineRule="auto"/>
        <w:ind w:right="-624" w:rightChars="-297"/>
        <w:rPr>
          <w:rFonts w:cs="宋体"/>
          <w:sz w:val="24"/>
          <w:szCs w:val="24"/>
        </w:rPr>
      </w:pPr>
      <w:r>
        <w:rPr>
          <w:rFonts w:hint="eastAsia" w:cs="宋体"/>
          <w:sz w:val="24"/>
          <w:szCs w:val="24"/>
        </w:rPr>
        <w:t>买卖双方根据相关法律法规的规定，在平等互利友好协商的基础上达成如下合同条款：</w:t>
      </w:r>
    </w:p>
    <w:p>
      <w:pPr>
        <w:numPr>
          <w:ilvl w:val="0"/>
          <w:numId w:val="8"/>
        </w:numPr>
        <w:spacing w:line="360" w:lineRule="auto"/>
        <w:outlineLvl w:val="1"/>
        <w:rPr>
          <w:rFonts w:cs="宋体"/>
          <w:b/>
          <w:sz w:val="24"/>
          <w:szCs w:val="24"/>
        </w:rPr>
      </w:pPr>
      <w:bookmarkStart w:id="808" w:name="_Toc21804"/>
      <w:bookmarkStart w:id="809" w:name="_Toc6656"/>
      <w:bookmarkStart w:id="810" w:name="_Toc28116"/>
      <w:bookmarkStart w:id="811" w:name="_Toc12297"/>
      <w:bookmarkStart w:id="812" w:name="_Toc10188"/>
      <w:bookmarkStart w:id="813" w:name="_Toc19633"/>
      <w:bookmarkStart w:id="814" w:name="_Toc4366"/>
      <w:r>
        <w:rPr>
          <w:rFonts w:hint="eastAsia" w:cs="宋体"/>
          <w:b/>
          <w:sz w:val="24"/>
          <w:szCs w:val="24"/>
        </w:rPr>
        <w:t>设备的名称、型号、数量、单价、总价（单位：元）</w:t>
      </w:r>
      <w:bookmarkEnd w:id="808"/>
      <w:bookmarkEnd w:id="809"/>
      <w:bookmarkEnd w:id="810"/>
      <w:bookmarkEnd w:id="811"/>
      <w:bookmarkEnd w:id="812"/>
      <w:bookmarkEnd w:id="813"/>
      <w:bookmarkEnd w:id="814"/>
    </w:p>
    <w:tbl>
      <w:tblPr>
        <w:tblStyle w:val="28"/>
        <w:tblW w:w="855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4"/>
        <w:gridCol w:w="2044"/>
        <w:gridCol w:w="1417"/>
        <w:gridCol w:w="867"/>
        <w:gridCol w:w="1150"/>
        <w:gridCol w:w="1283"/>
        <w:gridCol w:w="10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62" w:hRule="atLeast"/>
        </w:trPr>
        <w:tc>
          <w:tcPr>
            <w:tcW w:w="7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beforeLines="50" w:line="360" w:lineRule="auto"/>
              <w:jc w:val="center"/>
              <w:rPr>
                <w:rFonts w:cs="宋体"/>
                <w:sz w:val="24"/>
                <w:szCs w:val="24"/>
              </w:rPr>
            </w:pPr>
            <w:r>
              <w:rPr>
                <w:rFonts w:hint="eastAsia" w:cs="宋体"/>
                <w:sz w:val="24"/>
                <w:szCs w:val="24"/>
              </w:rPr>
              <w:t>序号</w:t>
            </w:r>
          </w:p>
        </w:tc>
        <w:tc>
          <w:tcPr>
            <w:tcW w:w="20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beforeLines="50" w:line="360" w:lineRule="auto"/>
              <w:jc w:val="center"/>
              <w:rPr>
                <w:rFonts w:cs="宋体"/>
                <w:sz w:val="24"/>
                <w:szCs w:val="24"/>
              </w:rPr>
            </w:pPr>
            <w:r>
              <w:rPr>
                <w:rFonts w:hint="eastAsia" w:cs="宋体"/>
                <w:sz w:val="24"/>
                <w:szCs w:val="24"/>
              </w:rPr>
              <w:t>产品名称</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beforeLines="50" w:line="360" w:lineRule="auto"/>
              <w:jc w:val="center"/>
              <w:rPr>
                <w:rFonts w:cs="宋体"/>
                <w:sz w:val="24"/>
                <w:szCs w:val="24"/>
              </w:rPr>
            </w:pPr>
            <w:r>
              <w:rPr>
                <w:rFonts w:hint="eastAsia" w:cs="宋体"/>
                <w:sz w:val="24"/>
                <w:szCs w:val="24"/>
              </w:rPr>
              <w:t>规格型号</w:t>
            </w:r>
          </w:p>
        </w:tc>
        <w:tc>
          <w:tcPr>
            <w:tcW w:w="8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beforeLines="50" w:line="360" w:lineRule="auto"/>
              <w:jc w:val="center"/>
              <w:rPr>
                <w:rFonts w:cs="宋体"/>
                <w:sz w:val="24"/>
                <w:szCs w:val="24"/>
              </w:rPr>
            </w:pPr>
            <w:r>
              <w:rPr>
                <w:rFonts w:hint="eastAsia" w:cs="宋体"/>
                <w:sz w:val="24"/>
                <w:szCs w:val="24"/>
              </w:rPr>
              <w:t>数量</w:t>
            </w:r>
          </w:p>
        </w:tc>
        <w:tc>
          <w:tcPr>
            <w:tcW w:w="11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beforeLines="50"/>
              <w:jc w:val="center"/>
              <w:rPr>
                <w:rFonts w:cs="宋体"/>
                <w:sz w:val="24"/>
                <w:szCs w:val="24"/>
              </w:rPr>
            </w:pPr>
            <w:r>
              <w:rPr>
                <w:rFonts w:hint="eastAsia" w:cs="宋体"/>
                <w:sz w:val="24"/>
                <w:szCs w:val="24"/>
              </w:rPr>
              <w:t>单价</w:t>
            </w:r>
          </w:p>
          <w:p>
            <w:pPr>
              <w:adjustRightInd w:val="0"/>
              <w:snapToGrid w:val="0"/>
              <w:spacing w:before="120" w:beforeLines="50"/>
              <w:jc w:val="center"/>
              <w:rPr>
                <w:rFonts w:cs="宋体"/>
                <w:sz w:val="24"/>
                <w:szCs w:val="24"/>
              </w:rPr>
            </w:pPr>
            <w:r>
              <w:rPr>
                <w:rFonts w:hint="eastAsia" w:cs="宋体"/>
                <w:sz w:val="24"/>
                <w:szCs w:val="24"/>
              </w:rPr>
              <w:t>（含税）</w:t>
            </w:r>
          </w:p>
        </w:tc>
        <w:tc>
          <w:tcPr>
            <w:tcW w:w="12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beforeLines="50"/>
              <w:jc w:val="center"/>
              <w:rPr>
                <w:rFonts w:cs="宋体"/>
                <w:sz w:val="24"/>
                <w:szCs w:val="24"/>
              </w:rPr>
            </w:pPr>
            <w:r>
              <w:rPr>
                <w:rFonts w:hint="eastAsia" w:cs="宋体"/>
                <w:sz w:val="24"/>
                <w:szCs w:val="24"/>
              </w:rPr>
              <w:t>总价</w:t>
            </w:r>
          </w:p>
          <w:p>
            <w:pPr>
              <w:adjustRightInd w:val="0"/>
              <w:snapToGrid w:val="0"/>
              <w:spacing w:before="120" w:beforeLines="50"/>
              <w:jc w:val="center"/>
              <w:rPr>
                <w:rFonts w:cs="宋体"/>
                <w:sz w:val="24"/>
                <w:szCs w:val="24"/>
              </w:rPr>
            </w:pPr>
            <w:r>
              <w:rPr>
                <w:rFonts w:hint="eastAsia" w:cs="宋体"/>
                <w:sz w:val="24"/>
                <w:szCs w:val="24"/>
              </w:rPr>
              <w:t>（含税）</w:t>
            </w:r>
          </w:p>
        </w:tc>
        <w:tc>
          <w:tcPr>
            <w:tcW w:w="10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beforeLines="50"/>
              <w:jc w:val="center"/>
              <w:rPr>
                <w:rFonts w:cs="宋体"/>
                <w:sz w:val="24"/>
                <w:szCs w:val="24"/>
              </w:rPr>
            </w:pPr>
            <w:r>
              <w:rPr>
                <w:rFonts w:hint="eastAsia" w:cs="宋体"/>
                <w:sz w:val="24"/>
                <w:szCs w:val="24"/>
              </w:rPr>
              <w:t>备注</w:t>
            </w:r>
          </w:p>
          <w:p>
            <w:pPr>
              <w:adjustRightInd w:val="0"/>
              <w:snapToGrid w:val="0"/>
              <w:spacing w:before="120" w:beforeLines="50"/>
              <w:jc w:val="center"/>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13" w:hRule="atLeast"/>
        </w:trPr>
        <w:tc>
          <w:tcPr>
            <w:tcW w:w="7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sz w:val="24"/>
                <w:szCs w:val="24"/>
              </w:rPr>
            </w:pPr>
          </w:p>
        </w:tc>
        <w:tc>
          <w:tcPr>
            <w:tcW w:w="20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sz w:val="24"/>
                <w:szCs w:val="24"/>
              </w:rPr>
            </w:pPr>
          </w:p>
        </w:tc>
        <w:tc>
          <w:tcPr>
            <w:tcW w:w="1417" w:type="dxa"/>
            <w:tcBorders>
              <w:left w:val="single" w:color="auto" w:sz="4" w:space="0"/>
              <w:bottom w:val="single" w:color="auto" w:sz="4" w:space="0"/>
              <w:right w:val="single" w:color="auto" w:sz="4" w:space="0"/>
            </w:tcBorders>
            <w:vAlign w:val="center"/>
          </w:tcPr>
          <w:p>
            <w:pPr>
              <w:spacing w:line="360" w:lineRule="auto"/>
              <w:jc w:val="center"/>
              <w:rPr>
                <w:rFonts w:cs="宋体"/>
                <w:sz w:val="24"/>
                <w:szCs w:val="24"/>
              </w:rPr>
            </w:pP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sz w:val="24"/>
                <w:szCs w:val="24"/>
              </w:rPr>
            </w:pPr>
          </w:p>
        </w:tc>
        <w:tc>
          <w:tcPr>
            <w:tcW w:w="11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sz w:val="24"/>
                <w:szCs w:val="24"/>
              </w:rPr>
            </w:pPr>
          </w:p>
        </w:tc>
        <w:tc>
          <w:tcPr>
            <w:tcW w:w="12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sz w:val="24"/>
                <w:szCs w:val="24"/>
              </w:rPr>
            </w:pPr>
          </w:p>
        </w:tc>
        <w:tc>
          <w:tcPr>
            <w:tcW w:w="10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8" w:hRule="atLeast"/>
        </w:trPr>
        <w:tc>
          <w:tcPr>
            <w:tcW w:w="7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sz w:val="24"/>
                <w:szCs w:val="24"/>
              </w:rPr>
            </w:pPr>
          </w:p>
        </w:tc>
        <w:tc>
          <w:tcPr>
            <w:tcW w:w="20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sz w:val="24"/>
                <w:szCs w:val="24"/>
              </w:rPr>
            </w:pPr>
          </w:p>
        </w:tc>
        <w:tc>
          <w:tcPr>
            <w:tcW w:w="8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sz w:val="24"/>
                <w:szCs w:val="24"/>
              </w:rPr>
            </w:pPr>
          </w:p>
        </w:tc>
        <w:tc>
          <w:tcPr>
            <w:tcW w:w="11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sz w:val="24"/>
                <w:szCs w:val="24"/>
              </w:rPr>
            </w:pPr>
          </w:p>
        </w:tc>
        <w:tc>
          <w:tcPr>
            <w:tcW w:w="12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sz w:val="24"/>
                <w:szCs w:val="24"/>
              </w:rPr>
            </w:pPr>
          </w:p>
        </w:tc>
        <w:tc>
          <w:tcPr>
            <w:tcW w:w="10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13" w:hRule="atLeast"/>
        </w:trPr>
        <w:tc>
          <w:tcPr>
            <w:tcW w:w="8555" w:type="dxa"/>
            <w:gridSpan w:val="7"/>
            <w:tcBorders>
              <w:top w:val="single" w:color="auto" w:sz="4" w:space="0"/>
              <w:left w:val="single" w:color="auto" w:sz="4" w:space="0"/>
              <w:bottom w:val="single" w:color="auto" w:sz="4" w:space="0"/>
            </w:tcBorders>
            <w:vAlign w:val="center"/>
          </w:tcPr>
          <w:p>
            <w:pPr>
              <w:widowControl/>
              <w:spacing w:line="360" w:lineRule="auto"/>
              <w:jc w:val="left"/>
              <w:rPr>
                <w:rFonts w:cs="宋体"/>
                <w:kern w:val="0"/>
                <w:sz w:val="24"/>
                <w:szCs w:val="24"/>
              </w:rPr>
            </w:pPr>
            <w:r>
              <w:rPr>
                <w:rFonts w:hint="eastAsia" w:cs="宋体"/>
                <w:sz w:val="24"/>
                <w:szCs w:val="24"/>
              </w:rPr>
              <w:t>合计人民币含税总金额： 元      大写（人民币）：</w:t>
            </w:r>
            <w:r>
              <w:rPr>
                <w:rFonts w:hint="eastAsia" w:cs="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13" w:hRule="atLeast"/>
        </w:trPr>
        <w:tc>
          <w:tcPr>
            <w:tcW w:w="8555" w:type="dxa"/>
            <w:gridSpan w:val="7"/>
            <w:tcBorders>
              <w:top w:val="single" w:color="auto" w:sz="4" w:space="0"/>
              <w:left w:val="single" w:color="auto" w:sz="4" w:space="0"/>
              <w:bottom w:val="single" w:color="auto" w:sz="4" w:space="0"/>
            </w:tcBorders>
            <w:vAlign w:val="center"/>
          </w:tcPr>
          <w:p>
            <w:pPr>
              <w:widowControl/>
              <w:spacing w:line="360" w:lineRule="auto"/>
              <w:jc w:val="left"/>
              <w:rPr>
                <w:rFonts w:cs="宋体"/>
                <w:sz w:val="24"/>
                <w:szCs w:val="24"/>
              </w:rPr>
            </w:pPr>
            <w:r>
              <w:rPr>
                <w:rFonts w:hint="eastAsia" w:cs="宋体"/>
                <w:sz w:val="24"/>
                <w:szCs w:val="24"/>
              </w:rPr>
              <w:t>总价包含备用物品、专用工具、安装调试、培训、产品运至目的所需的运费、保险费等各项费用</w:t>
            </w:r>
          </w:p>
        </w:tc>
      </w:tr>
    </w:tbl>
    <w:p>
      <w:pPr>
        <w:spacing w:line="360" w:lineRule="auto"/>
        <w:outlineLvl w:val="1"/>
        <w:rPr>
          <w:rFonts w:cs="宋体"/>
          <w:b/>
          <w:sz w:val="24"/>
          <w:szCs w:val="24"/>
        </w:rPr>
      </w:pPr>
      <w:bookmarkStart w:id="815" w:name="_Toc27158"/>
      <w:bookmarkStart w:id="816" w:name="_Toc113"/>
      <w:bookmarkStart w:id="817" w:name="_Toc9074"/>
      <w:bookmarkStart w:id="818" w:name="_Toc21176"/>
      <w:bookmarkStart w:id="819" w:name="_Toc19255"/>
      <w:bookmarkStart w:id="820" w:name="_Toc1571"/>
      <w:bookmarkStart w:id="821" w:name="_Toc28437"/>
      <w:r>
        <w:rPr>
          <w:rFonts w:hint="eastAsia" w:cs="宋体"/>
          <w:b/>
          <w:sz w:val="24"/>
          <w:szCs w:val="24"/>
        </w:rPr>
        <w:t>二、设备的技术标准和质量要求：</w:t>
      </w:r>
      <w:bookmarkEnd w:id="815"/>
      <w:bookmarkEnd w:id="816"/>
      <w:bookmarkEnd w:id="817"/>
      <w:bookmarkEnd w:id="818"/>
      <w:bookmarkEnd w:id="819"/>
      <w:bookmarkEnd w:id="820"/>
      <w:bookmarkEnd w:id="821"/>
    </w:p>
    <w:p>
      <w:pPr>
        <w:spacing w:line="360" w:lineRule="auto"/>
        <w:ind w:firstLine="480"/>
        <w:rPr>
          <w:rFonts w:cs="宋体"/>
          <w:sz w:val="24"/>
          <w:szCs w:val="24"/>
        </w:rPr>
      </w:pPr>
      <w:r>
        <w:rPr>
          <w:rFonts w:hint="eastAsia" w:cs="宋体"/>
          <w:sz w:val="24"/>
          <w:szCs w:val="24"/>
        </w:rPr>
        <w:t>□  1、按照国标GB</w:t>
      </w:r>
      <w:r>
        <w:rPr>
          <w:rFonts w:hint="eastAsia" w:cs="宋体"/>
          <w:sz w:val="24"/>
          <w:szCs w:val="24"/>
          <w:u w:val="single"/>
        </w:rPr>
        <w:t xml:space="preserve">                  </w:t>
      </w:r>
      <w:r>
        <w:rPr>
          <w:rFonts w:hint="eastAsia" w:cs="宋体"/>
          <w:sz w:val="24"/>
          <w:szCs w:val="24"/>
        </w:rPr>
        <w:t>执行。</w:t>
      </w:r>
    </w:p>
    <w:p>
      <w:pPr>
        <w:spacing w:line="360" w:lineRule="auto"/>
        <w:ind w:firstLine="480"/>
        <w:rPr>
          <w:rFonts w:cs="宋体"/>
          <w:sz w:val="24"/>
          <w:szCs w:val="24"/>
          <w:u w:val="single"/>
        </w:rPr>
      </w:pPr>
      <w:r>
        <w:rPr>
          <w:rFonts w:hint="eastAsia" w:cs="宋体"/>
          <w:sz w:val="24"/>
          <w:szCs w:val="24"/>
        </w:rPr>
        <w:t>□  2、按照合同附件</w:t>
      </w:r>
      <w:r>
        <w:rPr>
          <w:rFonts w:hint="eastAsia" w:cs="宋体"/>
          <w:sz w:val="24"/>
          <w:szCs w:val="24"/>
          <w:u w:val="single"/>
        </w:rPr>
        <w:t xml:space="preserve">                   </w:t>
      </w:r>
    </w:p>
    <w:p>
      <w:pPr>
        <w:spacing w:line="360" w:lineRule="auto"/>
        <w:ind w:firstLine="480"/>
        <w:rPr>
          <w:rFonts w:cs="宋体"/>
          <w:sz w:val="24"/>
          <w:szCs w:val="24"/>
        </w:rPr>
      </w:pPr>
      <w:r>
        <w:rPr>
          <w:rFonts w:hint="eastAsia" w:cs="宋体"/>
          <w:sz w:val="24"/>
          <w:szCs w:val="24"/>
        </w:rPr>
        <w:sym w:font="Wingdings 2" w:char="0052"/>
      </w:r>
      <w:r>
        <w:rPr>
          <w:rFonts w:hint="eastAsia" w:cs="宋体"/>
          <w:sz w:val="24"/>
          <w:szCs w:val="24"/>
        </w:rPr>
        <w:t xml:space="preserve">  3、按照双方签订的</w:t>
      </w:r>
      <w:r>
        <w:rPr>
          <w:rFonts w:hint="eastAsia" w:cs="宋体"/>
          <w:sz w:val="24"/>
          <w:szCs w:val="24"/>
          <w:u w:val="single"/>
        </w:rPr>
        <w:t xml:space="preserve">    技术协议      </w:t>
      </w:r>
      <w:r>
        <w:rPr>
          <w:rFonts w:hint="eastAsia" w:cs="宋体"/>
          <w:sz w:val="24"/>
          <w:szCs w:val="24"/>
        </w:rPr>
        <w:t>。</w:t>
      </w:r>
    </w:p>
    <w:p>
      <w:pPr>
        <w:spacing w:line="360" w:lineRule="auto"/>
        <w:ind w:firstLine="480"/>
        <w:rPr>
          <w:rFonts w:cs="宋体"/>
          <w:sz w:val="24"/>
          <w:szCs w:val="24"/>
        </w:rPr>
      </w:pPr>
      <w:r>
        <w:rPr>
          <w:rFonts w:hint="eastAsia" w:cs="宋体"/>
          <w:sz w:val="24"/>
          <w:szCs w:val="24"/>
        </w:rPr>
        <w:t>□  4、其他标准_______________________。</w:t>
      </w:r>
    </w:p>
    <w:p>
      <w:pPr>
        <w:pStyle w:val="13"/>
        <w:spacing w:line="360" w:lineRule="auto"/>
        <w:ind w:left="0" w:leftChars="0"/>
        <w:outlineLvl w:val="1"/>
        <w:rPr>
          <w:rFonts w:cs="宋体"/>
          <w:b/>
          <w:sz w:val="24"/>
          <w:szCs w:val="24"/>
        </w:rPr>
      </w:pPr>
      <w:bookmarkStart w:id="822" w:name="_Toc12201"/>
      <w:bookmarkStart w:id="823" w:name="_Toc6808"/>
      <w:bookmarkStart w:id="824" w:name="_Toc23483"/>
      <w:bookmarkStart w:id="825" w:name="_Toc25602"/>
      <w:bookmarkStart w:id="826" w:name="_Toc21324"/>
      <w:bookmarkStart w:id="827" w:name="_Toc19687"/>
      <w:bookmarkStart w:id="828" w:name="_Toc3226"/>
      <w:r>
        <w:rPr>
          <w:rFonts w:hint="eastAsia" w:cs="宋体"/>
          <w:b/>
          <w:sz w:val="24"/>
          <w:szCs w:val="24"/>
        </w:rPr>
        <w:t>三、设备的包装标准和包装物的供应与回收</w:t>
      </w:r>
      <w:bookmarkEnd w:id="822"/>
      <w:bookmarkEnd w:id="823"/>
      <w:bookmarkEnd w:id="824"/>
      <w:bookmarkEnd w:id="825"/>
      <w:bookmarkEnd w:id="826"/>
      <w:bookmarkEnd w:id="827"/>
      <w:bookmarkEnd w:id="828"/>
    </w:p>
    <w:p>
      <w:pPr>
        <w:pStyle w:val="13"/>
        <w:spacing w:line="360" w:lineRule="auto"/>
        <w:ind w:left="0" w:leftChars="0" w:firstLine="480" w:firstLineChars="200"/>
        <w:rPr>
          <w:rFonts w:cs="宋体"/>
          <w:sz w:val="24"/>
          <w:szCs w:val="24"/>
        </w:rPr>
      </w:pPr>
      <w:r>
        <w:rPr>
          <w:rFonts w:hint="eastAsia" w:cs="宋体"/>
          <w:sz w:val="24"/>
          <w:szCs w:val="24"/>
        </w:rPr>
        <w:t>1、卖方应提供设备运至交付地点所需要的包装。包装应符合国家标准规定，具有适合长途运输、多次搬运、装卸的坚固包装，并按设备的特点，分别加上防潮、防霉、防锈、防腐蚀、防冻、防碎等保护措施。卖方应承担由于其包装或其防护措施不妥而引起的任何损失和费用，因此导致逾期交货的，按逾期交货承担违约责任。</w:t>
      </w:r>
    </w:p>
    <w:p>
      <w:pPr>
        <w:pStyle w:val="13"/>
        <w:spacing w:line="360" w:lineRule="auto"/>
        <w:ind w:left="0" w:leftChars="0" w:firstLine="480" w:firstLineChars="200"/>
        <w:rPr>
          <w:rFonts w:cs="宋体"/>
          <w:sz w:val="24"/>
          <w:szCs w:val="24"/>
        </w:rPr>
      </w:pPr>
      <w:r>
        <w:rPr>
          <w:rFonts w:hint="eastAsia" w:cs="宋体"/>
          <w:sz w:val="24"/>
          <w:szCs w:val="24"/>
        </w:rPr>
        <w:t>2、本合同设备的包装物不回收，由买方处置。</w:t>
      </w:r>
    </w:p>
    <w:p>
      <w:pPr>
        <w:pStyle w:val="13"/>
        <w:spacing w:line="360" w:lineRule="auto"/>
        <w:ind w:left="0" w:leftChars="0" w:firstLine="480" w:firstLineChars="200"/>
        <w:rPr>
          <w:rFonts w:cs="宋体"/>
          <w:sz w:val="24"/>
          <w:szCs w:val="24"/>
        </w:rPr>
      </w:pPr>
      <w:r>
        <w:rPr>
          <w:rFonts w:hint="eastAsia" w:cs="宋体"/>
          <w:sz w:val="24"/>
          <w:szCs w:val="24"/>
        </w:rPr>
        <w:t>3、包装费由卖方负担。</w:t>
      </w:r>
    </w:p>
    <w:p>
      <w:pPr>
        <w:pStyle w:val="13"/>
        <w:spacing w:line="360" w:lineRule="auto"/>
        <w:ind w:left="0" w:leftChars="0"/>
        <w:outlineLvl w:val="1"/>
        <w:rPr>
          <w:rFonts w:cs="宋体"/>
          <w:b/>
          <w:sz w:val="24"/>
          <w:szCs w:val="24"/>
        </w:rPr>
      </w:pPr>
      <w:bookmarkStart w:id="829" w:name="_Toc12997"/>
      <w:bookmarkStart w:id="830" w:name="_Toc17976"/>
      <w:bookmarkStart w:id="831" w:name="_Toc18719"/>
      <w:bookmarkStart w:id="832" w:name="_Toc25535"/>
      <w:bookmarkStart w:id="833" w:name="_Toc27488"/>
      <w:bookmarkStart w:id="834" w:name="_Toc26762"/>
      <w:bookmarkStart w:id="835" w:name="_Toc12593"/>
      <w:r>
        <w:rPr>
          <w:rFonts w:hint="eastAsia" w:cs="宋体"/>
          <w:b/>
          <w:sz w:val="24"/>
          <w:szCs w:val="24"/>
        </w:rPr>
        <w:t>四、交货方式和交货地点：</w:t>
      </w:r>
      <w:bookmarkEnd w:id="829"/>
      <w:bookmarkEnd w:id="830"/>
      <w:bookmarkEnd w:id="831"/>
      <w:bookmarkEnd w:id="832"/>
      <w:bookmarkEnd w:id="833"/>
      <w:bookmarkEnd w:id="834"/>
      <w:bookmarkEnd w:id="835"/>
    </w:p>
    <w:p>
      <w:pPr>
        <w:pStyle w:val="13"/>
        <w:spacing w:line="360" w:lineRule="auto"/>
        <w:ind w:left="0" w:leftChars="0" w:firstLine="480" w:firstLineChars="200"/>
        <w:rPr>
          <w:rFonts w:cs="宋体"/>
          <w:sz w:val="24"/>
          <w:szCs w:val="24"/>
        </w:rPr>
      </w:pPr>
      <w:r>
        <w:rPr>
          <w:rFonts w:hint="eastAsia" w:cs="宋体"/>
          <w:sz w:val="24"/>
          <w:szCs w:val="24"/>
        </w:rPr>
        <w:t>1、交货方式：卖方送货方式。由卖方将设备送到买方指定地点交货，交货地点为：</w:t>
      </w:r>
      <w:r>
        <w:rPr>
          <w:rFonts w:hint="eastAsia" w:cs="宋体"/>
          <w:sz w:val="24"/>
          <w:szCs w:val="24"/>
          <w:u w:val="single"/>
        </w:rPr>
        <w:t xml:space="preserve">厦工（三明）重型机器有限公司（详细地址： </w:t>
      </w:r>
      <w:r>
        <w:rPr>
          <w:rFonts w:cs="宋体"/>
          <w:sz w:val="24"/>
          <w:szCs w:val="24"/>
          <w:u w:val="single"/>
        </w:rPr>
        <w:t xml:space="preserve">                   </w:t>
      </w:r>
      <w:r>
        <w:rPr>
          <w:rFonts w:hint="eastAsia" w:cs="宋体"/>
          <w:sz w:val="24"/>
          <w:szCs w:val="24"/>
          <w:u w:val="single"/>
        </w:rPr>
        <w:t xml:space="preserve">） </w:t>
      </w:r>
      <w:r>
        <w:rPr>
          <w:rFonts w:hint="eastAsia" w:cs="宋体"/>
          <w:sz w:val="24"/>
          <w:szCs w:val="24"/>
        </w:rPr>
        <w:t>。</w:t>
      </w:r>
    </w:p>
    <w:p>
      <w:pPr>
        <w:pStyle w:val="13"/>
        <w:spacing w:line="360" w:lineRule="auto"/>
        <w:ind w:left="0" w:leftChars="0" w:firstLine="480" w:firstLineChars="200"/>
        <w:rPr>
          <w:rFonts w:cs="宋体"/>
          <w:sz w:val="24"/>
          <w:szCs w:val="24"/>
        </w:rPr>
      </w:pPr>
      <w:r>
        <w:rPr>
          <w:rFonts w:hint="eastAsia" w:cs="宋体"/>
          <w:sz w:val="24"/>
          <w:szCs w:val="24"/>
        </w:rPr>
        <w:t>2、运输方式</w:t>
      </w:r>
      <w:r>
        <w:rPr>
          <w:rFonts w:hint="eastAsia" w:cs="宋体"/>
          <w:sz w:val="24"/>
          <w:szCs w:val="24"/>
          <w:u w:val="single"/>
        </w:rPr>
        <w:t xml:space="preserve">  </w:t>
      </w:r>
      <w:r>
        <w:rPr>
          <w:rFonts w:hint="eastAsia" w:cs="宋体"/>
          <w:b/>
          <w:sz w:val="24"/>
          <w:szCs w:val="24"/>
          <w:u w:val="single"/>
        </w:rPr>
        <w:t xml:space="preserve">      </w:t>
      </w:r>
      <w:r>
        <w:rPr>
          <w:rFonts w:hint="eastAsia" w:cs="宋体"/>
          <w:sz w:val="24"/>
          <w:szCs w:val="24"/>
        </w:rPr>
        <w:t>，运输费及保险等相关费用由卖方承担。</w:t>
      </w:r>
    </w:p>
    <w:p>
      <w:pPr>
        <w:pStyle w:val="13"/>
        <w:spacing w:line="360" w:lineRule="auto"/>
        <w:ind w:left="0" w:leftChars="0" w:firstLine="480" w:firstLineChars="200"/>
        <w:rPr>
          <w:rFonts w:cs="宋体"/>
          <w:sz w:val="24"/>
          <w:szCs w:val="24"/>
        </w:rPr>
      </w:pPr>
      <w:r>
        <w:rPr>
          <w:rFonts w:hint="eastAsia" w:cs="宋体"/>
          <w:sz w:val="24"/>
          <w:szCs w:val="24"/>
        </w:rPr>
        <w:t>3、在合同签订后，如买方的指定地点发生变化，买方应在发货前</w:t>
      </w:r>
      <w:r>
        <w:rPr>
          <w:rFonts w:hint="eastAsia" w:cs="宋体"/>
          <w:sz w:val="24"/>
          <w:szCs w:val="24"/>
          <w:u w:val="single"/>
        </w:rPr>
        <w:t xml:space="preserve"> 3</w:t>
      </w:r>
      <w:r>
        <w:rPr>
          <w:rFonts w:hint="eastAsia" w:cs="宋体"/>
          <w:sz w:val="24"/>
          <w:szCs w:val="24"/>
        </w:rPr>
        <w:t>日内通知卖方，卖方应按照买方通知的地点交货。</w:t>
      </w:r>
    </w:p>
    <w:p>
      <w:pPr>
        <w:pStyle w:val="13"/>
        <w:spacing w:line="360" w:lineRule="auto"/>
        <w:ind w:left="0" w:leftChars="0" w:firstLine="480" w:firstLineChars="200"/>
        <w:rPr>
          <w:rFonts w:cs="宋体"/>
          <w:sz w:val="24"/>
          <w:szCs w:val="24"/>
        </w:rPr>
      </w:pPr>
      <w:r>
        <w:rPr>
          <w:rFonts w:hint="eastAsia" w:cs="宋体"/>
          <w:sz w:val="24"/>
          <w:szCs w:val="24"/>
        </w:rPr>
        <w:t>4、标的物所有权及风险转移：自设备交付时起，买方获得合同标的物的所有权。卖方在交货地点将标的物交给买方前标的物毁损、灭失的风险由卖方承担，此后由买方承担。</w:t>
      </w:r>
    </w:p>
    <w:p>
      <w:pPr>
        <w:pStyle w:val="13"/>
        <w:spacing w:line="360" w:lineRule="auto"/>
        <w:ind w:left="0" w:leftChars="0"/>
        <w:outlineLvl w:val="1"/>
        <w:rPr>
          <w:rFonts w:cs="宋体"/>
          <w:b/>
          <w:sz w:val="24"/>
          <w:szCs w:val="24"/>
        </w:rPr>
      </w:pPr>
      <w:bookmarkStart w:id="836" w:name="_Toc8619"/>
      <w:bookmarkStart w:id="837" w:name="_Toc7189"/>
      <w:bookmarkStart w:id="838" w:name="_Toc19559"/>
      <w:bookmarkStart w:id="839" w:name="_Toc24702"/>
      <w:bookmarkStart w:id="840" w:name="_Toc14096"/>
      <w:bookmarkStart w:id="841" w:name="_Toc16862"/>
      <w:bookmarkStart w:id="842" w:name="_Toc8232"/>
      <w:r>
        <w:rPr>
          <w:rFonts w:hint="eastAsia" w:cs="宋体"/>
          <w:b/>
          <w:sz w:val="24"/>
          <w:szCs w:val="24"/>
        </w:rPr>
        <w:t>五、交货时间：</w:t>
      </w:r>
      <w:bookmarkEnd w:id="836"/>
      <w:bookmarkEnd w:id="837"/>
      <w:bookmarkEnd w:id="838"/>
      <w:bookmarkEnd w:id="839"/>
      <w:bookmarkEnd w:id="840"/>
      <w:bookmarkEnd w:id="841"/>
      <w:bookmarkEnd w:id="842"/>
    </w:p>
    <w:p>
      <w:pPr>
        <w:pStyle w:val="13"/>
        <w:spacing w:line="360" w:lineRule="auto"/>
        <w:ind w:left="0" w:leftChars="0" w:firstLine="480" w:firstLineChars="200"/>
        <w:rPr>
          <w:rFonts w:cs="宋体"/>
          <w:sz w:val="24"/>
          <w:szCs w:val="24"/>
        </w:rPr>
      </w:pPr>
      <w:r>
        <w:rPr>
          <w:rFonts w:hint="eastAsia" w:cs="宋体"/>
          <w:sz w:val="24"/>
          <w:szCs w:val="24"/>
        </w:rPr>
        <w:t>1、全部设备在合同签订并收到预付款后分批交货到买方的指定地点，并在具备安装条件后</w:t>
      </w:r>
      <w:r>
        <w:rPr>
          <w:rFonts w:hint="eastAsia" w:cs="宋体"/>
          <w:sz w:val="24"/>
          <w:szCs w:val="24"/>
          <w:u w:val="single"/>
        </w:rPr>
        <w:t xml:space="preserve">         </w:t>
      </w:r>
      <w:r>
        <w:rPr>
          <w:rFonts w:hint="eastAsia" w:cs="宋体"/>
          <w:sz w:val="24"/>
          <w:szCs w:val="24"/>
        </w:rPr>
        <w:t>天内完成设备的安装调试。</w:t>
      </w:r>
    </w:p>
    <w:p>
      <w:pPr>
        <w:pStyle w:val="13"/>
        <w:spacing w:line="360" w:lineRule="auto"/>
        <w:ind w:left="0" w:leftChars="0" w:firstLine="480" w:firstLineChars="200"/>
        <w:rPr>
          <w:rFonts w:cs="宋体"/>
          <w:sz w:val="24"/>
          <w:szCs w:val="24"/>
        </w:rPr>
      </w:pPr>
      <w:r>
        <w:rPr>
          <w:rFonts w:hint="eastAsia" w:cs="宋体"/>
          <w:sz w:val="24"/>
          <w:szCs w:val="24"/>
        </w:rPr>
        <w:t>2、设备属于分批次交货的，按以下时间要求交货：</w:t>
      </w:r>
    </w:p>
    <w:p>
      <w:pPr>
        <w:pStyle w:val="13"/>
        <w:spacing w:line="360" w:lineRule="auto"/>
        <w:ind w:left="0" w:leftChars="0" w:firstLine="480" w:firstLineChars="200"/>
        <w:rPr>
          <w:rFonts w:cs="宋体"/>
          <w:sz w:val="24"/>
          <w:szCs w:val="24"/>
        </w:rPr>
      </w:pPr>
      <w:r>
        <w:rPr>
          <w:rFonts w:hint="eastAsia" w:cs="宋体"/>
          <w:sz w:val="24"/>
          <w:szCs w:val="24"/>
        </w:rPr>
        <w:t>□ ①每批次交货的具体数量、时间要求为：</w:t>
      </w:r>
    </w:p>
    <w:p>
      <w:pPr>
        <w:pStyle w:val="13"/>
        <w:spacing w:line="360" w:lineRule="auto"/>
        <w:ind w:left="0" w:leftChars="0" w:firstLine="480" w:firstLineChars="200"/>
        <w:rPr>
          <w:rFonts w:cs="宋体"/>
          <w:sz w:val="24"/>
          <w:szCs w:val="24"/>
        </w:rPr>
      </w:pPr>
      <w:r>
        <w:rPr>
          <w:rFonts w:hint="eastAsia" w:cs="宋体"/>
          <w:sz w:val="24"/>
          <w:szCs w:val="24"/>
        </w:rPr>
        <w:sym w:font="Wingdings 2" w:char="00A3"/>
      </w:r>
      <w:r>
        <w:rPr>
          <w:rFonts w:hint="eastAsia" w:cs="宋体"/>
          <w:sz w:val="24"/>
          <w:szCs w:val="24"/>
        </w:rPr>
        <w:t>②在合同签订后，买方向卖方提出产品每批次交货的具体数量、时间、要求。</w:t>
      </w:r>
    </w:p>
    <w:p>
      <w:pPr>
        <w:pStyle w:val="13"/>
        <w:spacing w:line="360" w:lineRule="auto"/>
        <w:ind w:left="0" w:leftChars="0" w:firstLine="480" w:firstLineChars="200"/>
        <w:rPr>
          <w:rFonts w:cs="宋体"/>
          <w:sz w:val="24"/>
          <w:szCs w:val="24"/>
        </w:rPr>
      </w:pPr>
      <w:r>
        <w:rPr>
          <w:rFonts w:hint="eastAsia" w:cs="宋体"/>
          <w:sz w:val="24"/>
          <w:szCs w:val="24"/>
        </w:rPr>
        <w:t>□③本合同设备的交货期及具体交货时间详见“附件</w:t>
      </w:r>
      <w:r>
        <w:rPr>
          <w:rFonts w:hint="eastAsia" w:cs="宋体"/>
          <w:sz w:val="24"/>
          <w:szCs w:val="24"/>
          <w:u w:val="single"/>
        </w:rPr>
        <w:t xml:space="preserve">          </w:t>
      </w:r>
      <w:r>
        <w:rPr>
          <w:rFonts w:hint="eastAsia" w:cs="宋体"/>
          <w:sz w:val="24"/>
          <w:szCs w:val="24"/>
        </w:rPr>
        <w:t xml:space="preserve"> ”。  </w:t>
      </w:r>
    </w:p>
    <w:p>
      <w:pPr>
        <w:pStyle w:val="13"/>
        <w:spacing w:line="360" w:lineRule="auto"/>
        <w:ind w:left="0" w:leftChars="0" w:firstLine="480" w:firstLineChars="200"/>
        <w:rPr>
          <w:rFonts w:cs="宋体"/>
          <w:sz w:val="24"/>
          <w:szCs w:val="24"/>
        </w:rPr>
      </w:pPr>
      <w:r>
        <w:rPr>
          <w:rFonts w:hint="eastAsia" w:cs="宋体"/>
          <w:sz w:val="24"/>
          <w:szCs w:val="24"/>
        </w:rPr>
        <w:t>3、卖方在每批次产品交货前</w:t>
      </w:r>
      <w:r>
        <w:rPr>
          <w:rFonts w:hint="eastAsia" w:cs="宋体"/>
          <w:sz w:val="24"/>
          <w:szCs w:val="24"/>
          <w:u w:val="single"/>
        </w:rPr>
        <w:t xml:space="preserve"> 5</w:t>
      </w:r>
      <w:r>
        <w:rPr>
          <w:rFonts w:hint="eastAsia" w:cs="宋体"/>
          <w:sz w:val="24"/>
          <w:szCs w:val="24"/>
        </w:rPr>
        <w:t>日内应通知买方发货和到达交货地点的时间。</w:t>
      </w:r>
    </w:p>
    <w:p>
      <w:pPr>
        <w:pStyle w:val="13"/>
        <w:spacing w:line="360" w:lineRule="auto"/>
        <w:ind w:left="0" w:leftChars="0" w:firstLine="480" w:firstLineChars="200"/>
        <w:rPr>
          <w:rFonts w:cs="宋体"/>
          <w:sz w:val="24"/>
          <w:szCs w:val="24"/>
        </w:rPr>
      </w:pPr>
      <w:r>
        <w:rPr>
          <w:rFonts w:hint="eastAsia" w:cs="宋体"/>
          <w:sz w:val="24"/>
          <w:szCs w:val="24"/>
        </w:rPr>
        <w:t>4、由于买方变更交货地点而增加运输周期的，交货时间顺延。</w:t>
      </w:r>
    </w:p>
    <w:p>
      <w:pPr>
        <w:pStyle w:val="13"/>
        <w:spacing w:line="360" w:lineRule="auto"/>
        <w:ind w:left="0" w:leftChars="0"/>
        <w:outlineLvl w:val="1"/>
        <w:rPr>
          <w:rFonts w:cs="宋体"/>
          <w:b/>
          <w:sz w:val="24"/>
          <w:szCs w:val="24"/>
        </w:rPr>
      </w:pPr>
      <w:bookmarkStart w:id="843" w:name="_Toc26416"/>
      <w:bookmarkStart w:id="844" w:name="_Toc6407"/>
      <w:bookmarkStart w:id="845" w:name="_Toc29456"/>
      <w:bookmarkStart w:id="846" w:name="_Toc25920"/>
      <w:bookmarkStart w:id="847" w:name="_Toc3991"/>
      <w:bookmarkStart w:id="848" w:name="_Toc12941"/>
      <w:bookmarkStart w:id="849" w:name="_Toc132"/>
      <w:r>
        <w:rPr>
          <w:rFonts w:hint="eastAsia" w:cs="宋体"/>
          <w:b/>
          <w:sz w:val="24"/>
          <w:szCs w:val="24"/>
        </w:rPr>
        <w:t>六、随机备品、配件及工具的供应办法：</w:t>
      </w:r>
      <w:bookmarkEnd w:id="843"/>
      <w:bookmarkEnd w:id="844"/>
      <w:bookmarkEnd w:id="845"/>
      <w:bookmarkEnd w:id="846"/>
      <w:bookmarkEnd w:id="847"/>
      <w:bookmarkEnd w:id="848"/>
      <w:bookmarkEnd w:id="849"/>
    </w:p>
    <w:p>
      <w:pPr>
        <w:pStyle w:val="13"/>
        <w:spacing w:line="360" w:lineRule="auto"/>
        <w:ind w:left="0" w:leftChars="0" w:firstLine="480" w:firstLineChars="200"/>
        <w:rPr>
          <w:rFonts w:cs="宋体"/>
          <w:sz w:val="24"/>
          <w:szCs w:val="24"/>
        </w:rPr>
      </w:pPr>
      <w:r>
        <w:rPr>
          <w:rFonts w:hint="eastAsia" w:cs="宋体"/>
          <w:sz w:val="24"/>
          <w:szCs w:val="24"/>
        </w:rPr>
        <w:t>□ 1、卖方按设备特点，免费提供齐全的随机备品、配件及工具，对特殊的配件，卖方应有必要的储备，以满足买方的应急需要。</w:t>
      </w:r>
    </w:p>
    <w:p>
      <w:pPr>
        <w:pStyle w:val="13"/>
        <w:spacing w:line="360" w:lineRule="auto"/>
        <w:ind w:left="0" w:leftChars="0" w:firstLine="480" w:firstLineChars="200"/>
        <w:rPr>
          <w:rFonts w:cs="宋体"/>
          <w:sz w:val="24"/>
          <w:szCs w:val="24"/>
        </w:rPr>
      </w:pPr>
      <w:r>
        <w:rPr>
          <w:rFonts w:hint="eastAsia" w:cs="宋体"/>
          <w:sz w:val="24"/>
          <w:szCs w:val="24"/>
        </w:rPr>
        <w:t>□ 2、卖方免费提供部分备品备件，名称及数量详见附件。</w:t>
      </w:r>
    </w:p>
    <w:p>
      <w:pPr>
        <w:pStyle w:val="13"/>
        <w:spacing w:line="360" w:lineRule="auto"/>
        <w:ind w:left="0" w:leftChars="0" w:firstLine="480" w:firstLineChars="200"/>
        <w:rPr>
          <w:rFonts w:cs="宋体"/>
          <w:sz w:val="24"/>
          <w:szCs w:val="24"/>
        </w:rPr>
      </w:pPr>
      <w:r>
        <w:rPr>
          <w:rFonts w:hint="eastAsia" w:cs="宋体"/>
          <w:sz w:val="24"/>
          <w:szCs w:val="24"/>
        </w:rPr>
        <w:sym w:font="Wingdings 2" w:char="00A3"/>
      </w:r>
      <w:r>
        <w:rPr>
          <w:rFonts w:hint="eastAsia" w:cs="宋体"/>
          <w:sz w:val="24"/>
          <w:szCs w:val="24"/>
        </w:rPr>
        <w:t xml:space="preserve"> 3、卖方免费提供部分备品备件，名称及数量详见本合同相关技术协议约定。</w:t>
      </w:r>
    </w:p>
    <w:p>
      <w:pPr>
        <w:pStyle w:val="13"/>
        <w:spacing w:line="360" w:lineRule="auto"/>
        <w:ind w:left="0" w:leftChars="0" w:firstLine="480" w:firstLineChars="200"/>
        <w:rPr>
          <w:rFonts w:cs="宋体"/>
          <w:sz w:val="24"/>
          <w:szCs w:val="24"/>
        </w:rPr>
      </w:pPr>
      <w:r>
        <w:rPr>
          <w:rFonts w:hint="eastAsia" w:cs="宋体"/>
          <w:sz w:val="24"/>
          <w:szCs w:val="24"/>
        </w:rPr>
        <w:t>□ 4、无需提供备品备件。</w:t>
      </w:r>
    </w:p>
    <w:p>
      <w:pPr>
        <w:pStyle w:val="13"/>
        <w:spacing w:line="360" w:lineRule="auto"/>
        <w:ind w:left="0" w:leftChars="0" w:firstLine="480" w:firstLineChars="200"/>
        <w:rPr>
          <w:rFonts w:cs="宋体"/>
          <w:sz w:val="24"/>
          <w:szCs w:val="24"/>
        </w:rPr>
      </w:pPr>
      <w:r>
        <w:rPr>
          <w:rFonts w:hint="eastAsia" w:cs="宋体"/>
          <w:sz w:val="24"/>
          <w:szCs w:val="24"/>
        </w:rPr>
        <w:sym w:font="Wingdings 2" w:char="00A3"/>
      </w:r>
      <w:r>
        <w:rPr>
          <w:rFonts w:hint="eastAsia" w:cs="宋体"/>
          <w:sz w:val="24"/>
          <w:szCs w:val="24"/>
        </w:rPr>
        <w:t xml:space="preserve"> 5、在质保期届满后，卖方应按买方的要求随时以最优惠的价格向买方提供设备所需的备品、配件及工具等备品备件。</w:t>
      </w:r>
    </w:p>
    <w:p>
      <w:pPr>
        <w:pStyle w:val="13"/>
        <w:spacing w:line="360" w:lineRule="auto"/>
        <w:ind w:left="0" w:leftChars="0"/>
        <w:outlineLvl w:val="1"/>
        <w:rPr>
          <w:rFonts w:cs="宋体"/>
          <w:b/>
          <w:sz w:val="24"/>
          <w:szCs w:val="24"/>
        </w:rPr>
      </w:pPr>
      <w:bookmarkStart w:id="850" w:name="_Toc17140"/>
      <w:bookmarkStart w:id="851" w:name="_Toc28775"/>
      <w:bookmarkStart w:id="852" w:name="_Toc13994"/>
      <w:bookmarkStart w:id="853" w:name="_Toc20640"/>
      <w:bookmarkStart w:id="854" w:name="_Toc26070"/>
      <w:bookmarkStart w:id="855" w:name="_Toc31997"/>
      <w:bookmarkStart w:id="856" w:name="_Toc19802"/>
      <w:r>
        <w:rPr>
          <w:rFonts w:hint="eastAsia" w:cs="宋体"/>
          <w:b/>
          <w:sz w:val="24"/>
          <w:szCs w:val="24"/>
        </w:rPr>
        <w:t>七、合同价款及支付方式：</w:t>
      </w:r>
      <w:bookmarkEnd w:id="850"/>
      <w:bookmarkEnd w:id="851"/>
      <w:bookmarkEnd w:id="852"/>
      <w:bookmarkEnd w:id="853"/>
      <w:bookmarkEnd w:id="854"/>
      <w:bookmarkEnd w:id="855"/>
      <w:bookmarkEnd w:id="856"/>
    </w:p>
    <w:p>
      <w:pPr>
        <w:pStyle w:val="13"/>
        <w:spacing w:after="0" w:line="360" w:lineRule="auto"/>
        <w:ind w:left="0" w:leftChars="0" w:firstLine="480" w:firstLineChars="200"/>
        <w:rPr>
          <w:rFonts w:cs="宋体"/>
          <w:sz w:val="24"/>
          <w:szCs w:val="24"/>
        </w:rPr>
      </w:pPr>
      <w:r>
        <w:rPr>
          <w:rFonts w:hint="eastAsia" w:cs="宋体"/>
          <w:sz w:val="24"/>
          <w:szCs w:val="24"/>
        </w:rPr>
        <w:t>1、合同总价款（含税）为</w:t>
      </w:r>
      <w:r>
        <w:rPr>
          <w:rFonts w:hint="eastAsia" w:cs="宋体"/>
          <w:sz w:val="24"/>
          <w:szCs w:val="24"/>
          <w:u w:val="single"/>
        </w:rPr>
        <w:t xml:space="preserve">      </w:t>
      </w:r>
      <w:r>
        <w:rPr>
          <w:rFonts w:hint="eastAsia" w:cs="宋体"/>
          <w:sz w:val="24"/>
          <w:szCs w:val="24"/>
        </w:rPr>
        <w:t>元人民币,（大写RMB）：</w:t>
      </w:r>
      <w:r>
        <w:rPr>
          <w:rFonts w:hint="eastAsia" w:cs="宋体"/>
          <w:b/>
          <w:sz w:val="24"/>
          <w:szCs w:val="24"/>
          <w:u w:val="single"/>
        </w:rPr>
        <w:t xml:space="preserve">          </w:t>
      </w:r>
      <w:r>
        <w:rPr>
          <w:rFonts w:hint="eastAsia" w:cs="宋体"/>
          <w:b/>
          <w:bCs/>
          <w:sz w:val="24"/>
          <w:szCs w:val="24"/>
        </w:rPr>
        <w:t>。</w:t>
      </w:r>
    </w:p>
    <w:p>
      <w:pPr>
        <w:pStyle w:val="13"/>
        <w:spacing w:after="0" w:line="360" w:lineRule="auto"/>
        <w:ind w:left="0" w:leftChars="0" w:firstLine="480" w:firstLineChars="200"/>
        <w:rPr>
          <w:rFonts w:cs="宋体"/>
          <w:sz w:val="24"/>
          <w:szCs w:val="24"/>
        </w:rPr>
      </w:pPr>
      <w:r>
        <w:rPr>
          <w:rFonts w:hint="eastAsia" w:cs="宋体"/>
          <w:sz w:val="24"/>
          <w:szCs w:val="24"/>
        </w:rPr>
        <w:t>2、支付方式：</w:t>
      </w:r>
    </w:p>
    <w:p>
      <w:pPr>
        <w:pStyle w:val="13"/>
        <w:spacing w:line="360" w:lineRule="auto"/>
        <w:ind w:left="0" w:leftChars="0" w:firstLine="480" w:firstLineChars="200"/>
        <w:rPr>
          <w:rFonts w:cs="宋体"/>
          <w:sz w:val="24"/>
          <w:szCs w:val="24"/>
        </w:rPr>
      </w:pPr>
      <w:r>
        <w:rPr>
          <w:rFonts w:hint="eastAsia" w:cs="宋体"/>
          <w:sz w:val="24"/>
          <w:szCs w:val="24"/>
        </w:rPr>
        <w:t>□ ① 卖方将全部设备送到指定地点，经买方初步验收合格后</w:t>
      </w:r>
      <w:r>
        <w:rPr>
          <w:rFonts w:hint="eastAsia" w:cs="宋体"/>
          <w:sz w:val="24"/>
          <w:szCs w:val="24"/>
          <w:u w:val="single"/>
        </w:rPr>
        <w:t xml:space="preserve">  </w:t>
      </w:r>
      <w:r>
        <w:rPr>
          <w:rFonts w:hint="eastAsia" w:cs="宋体"/>
          <w:sz w:val="24"/>
          <w:szCs w:val="24"/>
        </w:rPr>
        <w:t>日内，且买方收到卖方提交的金额为合同总价款</w:t>
      </w:r>
      <w:r>
        <w:rPr>
          <w:rFonts w:hint="eastAsia" w:cs="宋体"/>
          <w:sz w:val="24"/>
          <w:szCs w:val="24"/>
          <w:u w:val="single"/>
        </w:rPr>
        <w:t xml:space="preserve">   </w:t>
      </w:r>
      <w:r>
        <w:rPr>
          <w:rFonts w:hint="eastAsia" w:cs="宋体"/>
          <w:sz w:val="24"/>
          <w:szCs w:val="24"/>
        </w:rPr>
        <w:t>%的增值税专用发票，买方向卖方支付合同总价款的</w:t>
      </w:r>
      <w:r>
        <w:rPr>
          <w:rFonts w:hint="eastAsia" w:cs="宋体"/>
          <w:sz w:val="24"/>
          <w:szCs w:val="24"/>
          <w:u w:val="single"/>
        </w:rPr>
        <w:t xml:space="preserve">         </w:t>
      </w:r>
      <w:r>
        <w:rPr>
          <w:rFonts w:hint="eastAsia" w:cs="宋体"/>
          <w:sz w:val="24"/>
          <w:szCs w:val="24"/>
        </w:rPr>
        <w:t>%，计</w:t>
      </w:r>
      <w:r>
        <w:rPr>
          <w:rFonts w:hint="eastAsia" w:cs="宋体"/>
          <w:sz w:val="24"/>
          <w:szCs w:val="24"/>
          <w:u w:val="single"/>
        </w:rPr>
        <w:t xml:space="preserve">         </w:t>
      </w:r>
      <w:r>
        <w:rPr>
          <w:rFonts w:hint="eastAsia" w:cs="宋体"/>
          <w:sz w:val="24"/>
          <w:szCs w:val="24"/>
        </w:rPr>
        <w:t xml:space="preserve">元人民币。 </w:t>
      </w:r>
    </w:p>
    <w:p>
      <w:pPr>
        <w:pStyle w:val="13"/>
        <w:spacing w:line="360" w:lineRule="auto"/>
        <w:ind w:left="0" w:leftChars="0" w:right="26" w:firstLine="480" w:firstLineChars="200"/>
        <w:rPr>
          <w:rFonts w:cs="宋体"/>
          <w:color w:val="FF0000"/>
          <w:sz w:val="24"/>
          <w:szCs w:val="24"/>
        </w:rPr>
      </w:pPr>
      <w:r>
        <w:rPr>
          <w:rFonts w:hint="eastAsia" w:cs="宋体"/>
          <w:sz w:val="24"/>
          <w:szCs w:val="24"/>
        </w:rPr>
        <w:sym w:font="Wingdings 2" w:char="00A3"/>
      </w:r>
      <w:r>
        <w:rPr>
          <w:rFonts w:hint="eastAsia" w:cs="宋体"/>
          <w:sz w:val="24"/>
          <w:szCs w:val="24"/>
        </w:rPr>
        <w:t xml:space="preserve"> ②1、</w:t>
      </w:r>
      <w:r>
        <w:rPr>
          <w:rFonts w:hint="eastAsia"/>
          <w:color w:val="FF0000"/>
          <w:sz w:val="24"/>
          <w:szCs w:val="24"/>
        </w:rPr>
        <w:t>合同生效后7日内</w:t>
      </w:r>
      <w:r>
        <w:rPr>
          <w:rFonts w:hint="eastAsia"/>
          <w:color w:val="FF0000"/>
          <w:sz w:val="24"/>
          <w:szCs w:val="24"/>
          <w:lang w:val="en-US" w:eastAsia="zh-CN"/>
        </w:rPr>
        <w:t>买</w:t>
      </w:r>
      <w:r>
        <w:rPr>
          <w:rFonts w:hint="eastAsia"/>
          <w:color w:val="FF0000"/>
          <w:sz w:val="24"/>
          <w:szCs w:val="24"/>
        </w:rPr>
        <w:t>方提供合同价款的30%的预付款，2、货物到达买方指定地点并经买方初验收合格后</w:t>
      </w:r>
      <w:r>
        <w:rPr>
          <w:rFonts w:hint="eastAsia"/>
          <w:color w:val="FF0000"/>
          <w:sz w:val="24"/>
          <w:szCs w:val="24"/>
          <w:u w:val="single"/>
        </w:rPr>
        <w:t>14</w:t>
      </w:r>
      <w:r>
        <w:rPr>
          <w:rFonts w:hint="eastAsia"/>
          <w:color w:val="FF0000"/>
          <w:sz w:val="24"/>
          <w:szCs w:val="24"/>
        </w:rPr>
        <w:t>日内向卖方支付合同价款的</w:t>
      </w:r>
      <w:r>
        <w:rPr>
          <w:rFonts w:hint="eastAsia"/>
          <w:color w:val="FF0000"/>
          <w:sz w:val="24"/>
          <w:szCs w:val="24"/>
          <w:u w:val="single"/>
        </w:rPr>
        <w:t>30</w:t>
      </w:r>
      <w:r>
        <w:rPr>
          <w:color w:val="FF0000"/>
          <w:sz w:val="24"/>
          <w:szCs w:val="24"/>
        </w:rPr>
        <w:t>%</w:t>
      </w:r>
      <w:r>
        <w:rPr>
          <w:rFonts w:hint="eastAsia"/>
          <w:color w:val="FF0000"/>
          <w:sz w:val="24"/>
          <w:szCs w:val="24"/>
        </w:rPr>
        <w:t>；3、全部设备安装调试完成后且经买方验收合格后，卖方提供100%合同价款的增值税专用发票后</w:t>
      </w:r>
      <w:r>
        <w:rPr>
          <w:rFonts w:hint="eastAsia"/>
          <w:color w:val="FF0000"/>
          <w:sz w:val="24"/>
          <w:szCs w:val="24"/>
          <w:u w:val="single"/>
        </w:rPr>
        <w:t>14</w:t>
      </w:r>
      <w:r>
        <w:rPr>
          <w:rFonts w:hint="eastAsia"/>
          <w:color w:val="FF0000"/>
          <w:sz w:val="24"/>
          <w:szCs w:val="24"/>
        </w:rPr>
        <w:t>日内买方向卖方支付合同价款的</w:t>
      </w:r>
      <w:r>
        <w:rPr>
          <w:rFonts w:hint="eastAsia"/>
          <w:color w:val="FF0000"/>
          <w:sz w:val="24"/>
          <w:szCs w:val="24"/>
          <w:u w:val="single"/>
        </w:rPr>
        <w:t>30</w:t>
      </w:r>
      <w:r>
        <w:rPr>
          <w:color w:val="FF0000"/>
          <w:sz w:val="24"/>
          <w:szCs w:val="24"/>
        </w:rPr>
        <w:t>%</w:t>
      </w:r>
      <w:r>
        <w:rPr>
          <w:rFonts w:hint="eastAsia"/>
          <w:color w:val="FF0000"/>
          <w:sz w:val="24"/>
          <w:szCs w:val="24"/>
        </w:rPr>
        <w:t>；4、合同价款的10%作为质保金，买方于整机质保期满无质量问题后</w:t>
      </w:r>
      <w:r>
        <w:rPr>
          <w:rFonts w:hint="eastAsia"/>
          <w:color w:val="FF0000"/>
          <w:sz w:val="24"/>
          <w:szCs w:val="24"/>
          <w:u w:val="single"/>
        </w:rPr>
        <w:t>14</w:t>
      </w:r>
      <w:r>
        <w:rPr>
          <w:rFonts w:hint="eastAsia"/>
          <w:color w:val="FF0000"/>
          <w:sz w:val="24"/>
          <w:szCs w:val="24"/>
        </w:rPr>
        <w:t>日内向卖方支付。</w:t>
      </w:r>
    </w:p>
    <w:p>
      <w:pPr>
        <w:pStyle w:val="13"/>
        <w:spacing w:line="360" w:lineRule="auto"/>
        <w:ind w:left="0" w:leftChars="0" w:right="26" w:firstLine="480" w:firstLineChars="200"/>
        <w:rPr>
          <w:rFonts w:cs="宋体"/>
          <w:sz w:val="24"/>
          <w:szCs w:val="24"/>
        </w:rPr>
      </w:pPr>
      <w:r>
        <w:rPr>
          <w:rFonts w:hint="eastAsia" w:cs="宋体"/>
          <w:sz w:val="24"/>
          <w:szCs w:val="24"/>
        </w:rPr>
        <w:t>□ ③合同生效后</w:t>
      </w:r>
      <w:r>
        <w:rPr>
          <w:rFonts w:hint="eastAsia" w:cs="宋体"/>
          <w:sz w:val="24"/>
          <w:szCs w:val="24"/>
          <w:u w:val="single"/>
        </w:rPr>
        <w:t xml:space="preserve">   日</w:t>
      </w:r>
      <w:r>
        <w:rPr>
          <w:rFonts w:hint="eastAsia" w:cs="宋体"/>
          <w:sz w:val="24"/>
          <w:szCs w:val="24"/>
        </w:rPr>
        <w:t xml:space="preserve">内预付合同总金额的 </w:t>
      </w:r>
      <w:r>
        <w:rPr>
          <w:rFonts w:hint="eastAsia" w:cs="宋体"/>
          <w:sz w:val="24"/>
          <w:szCs w:val="24"/>
          <w:u w:val="single"/>
        </w:rPr>
        <w:t xml:space="preserve">    </w:t>
      </w:r>
      <w:r>
        <w:rPr>
          <w:rFonts w:hint="eastAsia" w:cs="宋体"/>
          <w:sz w:val="24"/>
          <w:szCs w:val="24"/>
        </w:rPr>
        <w:t>%，货到验收合格且收到卖方提交的金额为合同总价款</w:t>
      </w:r>
      <w:r>
        <w:rPr>
          <w:rFonts w:hint="eastAsia" w:cs="宋体"/>
          <w:sz w:val="24"/>
          <w:szCs w:val="24"/>
          <w:u w:val="single"/>
        </w:rPr>
        <w:t xml:space="preserve">   </w:t>
      </w:r>
      <w:r>
        <w:rPr>
          <w:rFonts w:hint="eastAsia" w:cs="宋体"/>
          <w:sz w:val="24"/>
          <w:szCs w:val="24"/>
        </w:rPr>
        <w:t>%的增值税发票后，</w:t>
      </w:r>
      <w:r>
        <w:rPr>
          <w:rFonts w:hint="eastAsia" w:cs="宋体"/>
          <w:sz w:val="24"/>
          <w:szCs w:val="24"/>
          <w:u w:val="single"/>
        </w:rPr>
        <w:t xml:space="preserve">    </w:t>
      </w:r>
      <w:r>
        <w:rPr>
          <w:rFonts w:hint="eastAsia" w:cs="宋体"/>
          <w:sz w:val="24"/>
          <w:szCs w:val="24"/>
        </w:rPr>
        <w:t>日内支付剩余货款。</w:t>
      </w:r>
    </w:p>
    <w:p>
      <w:pPr>
        <w:pStyle w:val="13"/>
        <w:spacing w:line="360" w:lineRule="auto"/>
        <w:ind w:left="0" w:leftChars="0" w:firstLine="480" w:firstLineChars="200"/>
        <w:rPr>
          <w:rFonts w:cs="宋体"/>
          <w:sz w:val="24"/>
          <w:szCs w:val="24"/>
        </w:rPr>
      </w:pPr>
      <w:r>
        <w:rPr>
          <w:rFonts w:hint="eastAsia" w:cs="宋体"/>
          <w:sz w:val="24"/>
          <w:szCs w:val="24"/>
        </w:rPr>
        <w:t>3、付款方式：</w:t>
      </w:r>
    </w:p>
    <w:p>
      <w:pPr>
        <w:pStyle w:val="13"/>
        <w:spacing w:line="360" w:lineRule="auto"/>
        <w:ind w:left="0" w:leftChars="0" w:firstLine="480" w:firstLineChars="200"/>
        <w:rPr>
          <w:rFonts w:cs="宋体"/>
          <w:sz w:val="24"/>
          <w:szCs w:val="24"/>
        </w:rPr>
      </w:pPr>
      <w:r>
        <w:rPr>
          <w:rFonts w:hint="eastAsia" w:cs="宋体"/>
          <w:sz w:val="24"/>
          <w:szCs w:val="24"/>
        </w:rPr>
        <w:t>□银行转账</w:t>
      </w:r>
    </w:p>
    <w:p>
      <w:pPr>
        <w:pStyle w:val="13"/>
        <w:tabs>
          <w:tab w:val="left" w:pos="1440"/>
        </w:tabs>
        <w:spacing w:line="360" w:lineRule="auto"/>
        <w:ind w:left="0" w:leftChars="0" w:right="26" w:firstLine="480" w:firstLineChars="200"/>
        <w:rPr>
          <w:rFonts w:cs="宋体"/>
          <w:sz w:val="24"/>
          <w:szCs w:val="24"/>
        </w:rPr>
      </w:pPr>
      <w:r>
        <w:rPr>
          <w:rFonts w:hint="eastAsia" w:cs="宋体"/>
          <w:sz w:val="24"/>
          <w:szCs w:val="24"/>
        </w:rPr>
        <w:t>□银行承兑汇票</w:t>
      </w:r>
    </w:p>
    <w:p>
      <w:pPr>
        <w:pStyle w:val="13"/>
        <w:tabs>
          <w:tab w:val="left" w:pos="1440"/>
        </w:tabs>
        <w:spacing w:line="360" w:lineRule="auto"/>
        <w:ind w:left="0" w:leftChars="0" w:firstLine="480" w:firstLineChars="200"/>
        <w:rPr>
          <w:rFonts w:cs="宋体"/>
          <w:sz w:val="24"/>
          <w:szCs w:val="24"/>
        </w:rPr>
      </w:pPr>
      <w:r>
        <w:rPr>
          <w:rFonts w:hint="eastAsia" w:cs="宋体"/>
          <w:sz w:val="24"/>
          <w:szCs w:val="24"/>
        </w:rPr>
        <w:t>□商业承兑汇票</w:t>
      </w:r>
    </w:p>
    <w:p>
      <w:pPr>
        <w:pStyle w:val="13"/>
        <w:spacing w:line="360" w:lineRule="auto"/>
        <w:ind w:left="0" w:leftChars="0"/>
        <w:outlineLvl w:val="1"/>
        <w:rPr>
          <w:rFonts w:cs="宋体"/>
          <w:b/>
          <w:sz w:val="24"/>
          <w:szCs w:val="24"/>
        </w:rPr>
      </w:pPr>
      <w:bookmarkStart w:id="857" w:name="_Toc13062"/>
      <w:bookmarkStart w:id="858" w:name="_Toc28761"/>
      <w:bookmarkStart w:id="859" w:name="_Toc497"/>
      <w:bookmarkStart w:id="860" w:name="_Toc3854"/>
      <w:bookmarkStart w:id="861" w:name="_Toc30088"/>
      <w:bookmarkStart w:id="862" w:name="_Toc25113"/>
      <w:bookmarkStart w:id="863" w:name="_Toc31750"/>
      <w:r>
        <w:rPr>
          <w:rFonts w:hint="eastAsia" w:cs="宋体"/>
          <w:b/>
          <w:sz w:val="24"/>
          <w:szCs w:val="24"/>
        </w:rPr>
        <w:t>八、初步验收</w:t>
      </w:r>
      <w:bookmarkEnd w:id="857"/>
      <w:bookmarkEnd w:id="858"/>
      <w:bookmarkEnd w:id="859"/>
      <w:bookmarkEnd w:id="860"/>
      <w:bookmarkEnd w:id="861"/>
      <w:bookmarkEnd w:id="862"/>
      <w:bookmarkEnd w:id="863"/>
    </w:p>
    <w:p>
      <w:pPr>
        <w:pStyle w:val="13"/>
        <w:spacing w:line="360" w:lineRule="auto"/>
        <w:ind w:left="0" w:leftChars="0" w:firstLine="480" w:firstLineChars="200"/>
        <w:rPr>
          <w:rFonts w:cs="宋体"/>
          <w:sz w:val="24"/>
          <w:szCs w:val="24"/>
        </w:rPr>
      </w:pPr>
      <w:r>
        <w:rPr>
          <w:rFonts w:hint="eastAsia" w:cs="宋体"/>
          <w:sz w:val="24"/>
          <w:szCs w:val="24"/>
        </w:rPr>
        <w:t>1、每批设备由卖方送到买方指定地点后</w:t>
      </w:r>
      <w:r>
        <w:rPr>
          <w:rFonts w:hint="eastAsia" w:cs="宋体"/>
          <w:sz w:val="24"/>
          <w:szCs w:val="24"/>
          <w:u w:val="single"/>
        </w:rPr>
        <w:t xml:space="preserve">   </w:t>
      </w:r>
      <w:r>
        <w:rPr>
          <w:rFonts w:hint="eastAsia" w:cs="宋体"/>
          <w:sz w:val="24"/>
          <w:szCs w:val="24"/>
        </w:rPr>
        <w:t>日内，在买卖双方均在场并确认包装的完好性后，由买卖双方对产品的包装、外观、数量、商标、型号、规格等进行初步验收，签署检验报告。如卖方未按约定到指定地点参加检验的，应视为卖方对买方单方检验的结果予以确认。</w:t>
      </w:r>
    </w:p>
    <w:p>
      <w:pPr>
        <w:pStyle w:val="13"/>
        <w:spacing w:line="360" w:lineRule="auto"/>
        <w:ind w:left="0" w:leftChars="0" w:firstLine="480" w:firstLineChars="200"/>
        <w:rPr>
          <w:rFonts w:cs="宋体"/>
          <w:sz w:val="24"/>
          <w:szCs w:val="24"/>
        </w:rPr>
      </w:pPr>
      <w:r>
        <w:rPr>
          <w:rFonts w:hint="eastAsia" w:cs="宋体"/>
          <w:sz w:val="24"/>
          <w:szCs w:val="24"/>
        </w:rPr>
        <w:t>如发现卖方所交的产品有任何不符合合同规定之处，应做好记录，并由双方代表签字，作为买方向卖方提出修理或更换的依据。</w:t>
      </w:r>
    </w:p>
    <w:p>
      <w:pPr>
        <w:pStyle w:val="13"/>
        <w:spacing w:line="360" w:lineRule="auto"/>
        <w:ind w:left="0" w:leftChars="0" w:firstLine="480" w:firstLineChars="200"/>
        <w:rPr>
          <w:rFonts w:cs="宋体"/>
          <w:sz w:val="24"/>
          <w:szCs w:val="24"/>
        </w:rPr>
      </w:pPr>
      <w:r>
        <w:rPr>
          <w:rFonts w:hint="eastAsia" w:cs="宋体"/>
          <w:sz w:val="24"/>
          <w:szCs w:val="24"/>
        </w:rPr>
        <w:t>如双方代表在验收中对检验结果不能取得一致意见时，应由买方选定的第三方进行检验，第三方出具的检验证书对双方均有约束力，检验费用由责任方承担。一旦检验的设备有产品质量问题或不符合买方需求的，即视为卖方交付的同类设备全部不合格，卖方除应负责包退包换与承担相关费用外，还并按合同约定承担相应的违约责任。</w:t>
      </w:r>
    </w:p>
    <w:p>
      <w:pPr>
        <w:pStyle w:val="13"/>
        <w:spacing w:line="360" w:lineRule="auto"/>
        <w:ind w:left="0" w:leftChars="0" w:firstLine="480" w:firstLineChars="200"/>
        <w:rPr>
          <w:rFonts w:cs="宋体"/>
          <w:sz w:val="24"/>
          <w:szCs w:val="24"/>
        </w:rPr>
      </w:pPr>
      <w:r>
        <w:rPr>
          <w:rFonts w:hint="eastAsia" w:cs="宋体"/>
          <w:sz w:val="24"/>
          <w:szCs w:val="24"/>
        </w:rPr>
        <w:t>2、卖方随设备向买方交付的图纸和技术资料包括</w:t>
      </w:r>
      <w:r>
        <w:rPr>
          <w:rFonts w:hint="eastAsia" w:cs="宋体"/>
          <w:sz w:val="24"/>
          <w:szCs w:val="24"/>
          <w:u w:val="single"/>
        </w:rPr>
        <w:t xml:space="preserve">            等</w:t>
      </w:r>
      <w:r>
        <w:rPr>
          <w:rFonts w:hint="eastAsia" w:cs="宋体"/>
          <w:sz w:val="24"/>
          <w:szCs w:val="24"/>
        </w:rPr>
        <w:t>。</w:t>
      </w:r>
    </w:p>
    <w:p>
      <w:pPr>
        <w:pStyle w:val="13"/>
        <w:spacing w:line="360" w:lineRule="auto"/>
        <w:ind w:left="0" w:leftChars="0" w:firstLine="480" w:firstLineChars="200"/>
        <w:rPr>
          <w:rFonts w:cs="宋体"/>
          <w:sz w:val="24"/>
          <w:szCs w:val="24"/>
        </w:rPr>
      </w:pPr>
      <w:r>
        <w:rPr>
          <w:rFonts w:hint="eastAsia" w:cs="宋体"/>
          <w:sz w:val="24"/>
          <w:szCs w:val="24"/>
        </w:rPr>
        <w:t>3、本条规定的验收仅为设备到货的初步检验，无论是否发现问题，以及卖方是否按买方要求进行了更换或修理，均不能被视为卖方按本合同的规定承担的质量保证责任的解除，不能减免卖方对设备质量应负的责任，此验收不作为对产品内在质量检验的依据。</w:t>
      </w:r>
    </w:p>
    <w:p>
      <w:pPr>
        <w:pStyle w:val="13"/>
        <w:spacing w:line="360" w:lineRule="auto"/>
        <w:ind w:left="0" w:leftChars="0"/>
        <w:outlineLvl w:val="1"/>
        <w:rPr>
          <w:rFonts w:cs="宋体"/>
          <w:b/>
          <w:sz w:val="24"/>
          <w:szCs w:val="24"/>
        </w:rPr>
      </w:pPr>
      <w:bookmarkStart w:id="864" w:name="_Toc6135"/>
      <w:bookmarkStart w:id="865" w:name="_Toc8382"/>
      <w:bookmarkStart w:id="866" w:name="_Toc8532"/>
      <w:bookmarkStart w:id="867" w:name="_Toc16963"/>
      <w:bookmarkStart w:id="868" w:name="_Toc24248"/>
      <w:bookmarkStart w:id="869" w:name="_Toc4927"/>
      <w:bookmarkStart w:id="870" w:name="_Toc21414"/>
      <w:r>
        <w:rPr>
          <w:rFonts w:hint="eastAsia" w:cs="宋体"/>
          <w:b/>
          <w:sz w:val="24"/>
          <w:szCs w:val="24"/>
        </w:rPr>
        <w:t>九、安装、调试和验收</w:t>
      </w:r>
      <w:bookmarkEnd w:id="864"/>
      <w:bookmarkEnd w:id="865"/>
      <w:bookmarkEnd w:id="866"/>
      <w:bookmarkEnd w:id="867"/>
      <w:bookmarkEnd w:id="868"/>
      <w:bookmarkEnd w:id="869"/>
      <w:bookmarkEnd w:id="870"/>
    </w:p>
    <w:p>
      <w:pPr>
        <w:pStyle w:val="13"/>
        <w:spacing w:line="360" w:lineRule="auto"/>
        <w:ind w:left="0" w:leftChars="0" w:firstLine="480" w:firstLineChars="200"/>
        <w:rPr>
          <w:rFonts w:cs="宋体"/>
          <w:sz w:val="24"/>
          <w:szCs w:val="24"/>
        </w:rPr>
      </w:pPr>
      <w:r>
        <w:rPr>
          <w:rFonts w:hint="eastAsia" w:cs="宋体"/>
          <w:sz w:val="24"/>
          <w:szCs w:val="24"/>
        </w:rPr>
        <w:t>1、本合同设备如需安装，由</w:t>
      </w:r>
      <w:r>
        <w:rPr>
          <w:rFonts w:hint="eastAsia" w:cs="宋体"/>
          <w:sz w:val="24"/>
          <w:szCs w:val="24"/>
          <w:u w:val="single"/>
        </w:rPr>
        <w:t>卖</w:t>
      </w:r>
      <w:r>
        <w:rPr>
          <w:rFonts w:hint="eastAsia" w:cs="宋体"/>
          <w:sz w:val="24"/>
          <w:szCs w:val="24"/>
        </w:rPr>
        <w:t>方负责安装。</w:t>
      </w:r>
    </w:p>
    <w:p>
      <w:pPr>
        <w:pStyle w:val="13"/>
        <w:spacing w:line="360" w:lineRule="auto"/>
        <w:ind w:left="0" w:leftChars="0" w:firstLine="480" w:firstLineChars="200"/>
        <w:rPr>
          <w:rFonts w:cs="宋体"/>
          <w:sz w:val="24"/>
          <w:szCs w:val="24"/>
        </w:rPr>
      </w:pPr>
      <w:r>
        <w:rPr>
          <w:rFonts w:hint="eastAsia" w:cs="宋体"/>
          <w:sz w:val="24"/>
          <w:szCs w:val="24"/>
        </w:rPr>
        <w:t>2、卖方负责安装，买方应提供适于安装的现场环境，并配合卖方进行安装，卖方应自带用以安装、调试过程中所需的各种工具、仪器仪表及易损件。</w:t>
      </w:r>
    </w:p>
    <w:p>
      <w:pPr>
        <w:pStyle w:val="13"/>
        <w:spacing w:line="360" w:lineRule="auto"/>
        <w:ind w:left="0" w:leftChars="0" w:firstLine="480" w:firstLineChars="200"/>
        <w:rPr>
          <w:rFonts w:cs="宋体"/>
          <w:sz w:val="24"/>
          <w:szCs w:val="24"/>
        </w:rPr>
      </w:pPr>
      <w:r>
        <w:rPr>
          <w:rFonts w:hint="eastAsia" w:cs="宋体"/>
          <w:sz w:val="24"/>
          <w:szCs w:val="24"/>
        </w:rPr>
        <w:t>3、安装完毕后，买卖双方应对设备进行调试，卖方应尽快解决出现的问题，其所需时间不应超过</w:t>
      </w:r>
      <w:r>
        <w:rPr>
          <w:rFonts w:hint="eastAsia" w:cs="宋体"/>
          <w:sz w:val="24"/>
          <w:szCs w:val="24"/>
          <w:u w:val="single"/>
        </w:rPr>
        <w:t xml:space="preserve"> 7  </w:t>
      </w:r>
      <w:r>
        <w:rPr>
          <w:rFonts w:hint="eastAsia" w:cs="宋体"/>
          <w:sz w:val="24"/>
          <w:szCs w:val="24"/>
        </w:rPr>
        <w:t>日，在此期间，如设备能够安全稳定运行，买卖双方确定进行性能验收试验的时间，设备进入试运行期间，试运行期为</w:t>
      </w:r>
      <w:r>
        <w:rPr>
          <w:rFonts w:hint="eastAsia" w:cs="宋体"/>
          <w:sz w:val="24"/>
          <w:szCs w:val="24"/>
          <w:u w:val="single"/>
        </w:rPr>
        <w:t xml:space="preserve">  20个工作日</w:t>
      </w:r>
      <w:r>
        <w:rPr>
          <w:rFonts w:hint="eastAsia" w:cs="宋体"/>
          <w:sz w:val="24"/>
          <w:szCs w:val="24"/>
        </w:rPr>
        <w:t>。</w:t>
      </w:r>
    </w:p>
    <w:p>
      <w:pPr>
        <w:pStyle w:val="13"/>
        <w:spacing w:line="360" w:lineRule="auto"/>
        <w:ind w:left="0" w:leftChars="0" w:firstLine="480" w:firstLineChars="200"/>
        <w:rPr>
          <w:rFonts w:cs="宋体"/>
          <w:sz w:val="24"/>
          <w:szCs w:val="24"/>
        </w:rPr>
      </w:pPr>
      <w:r>
        <w:rPr>
          <w:rFonts w:hint="eastAsia" w:cs="宋体"/>
          <w:sz w:val="24"/>
          <w:szCs w:val="24"/>
        </w:rPr>
        <w:t>4、合同设备在试运行期间运行稳定，达到本合同规定的技术标准，各项性能指标合格，则视为调试验收合格，双方签署安装调试验收证书。</w:t>
      </w:r>
    </w:p>
    <w:p>
      <w:pPr>
        <w:pStyle w:val="13"/>
        <w:spacing w:line="360" w:lineRule="auto"/>
        <w:ind w:left="0" w:leftChars="0" w:firstLine="480" w:firstLineChars="200"/>
        <w:rPr>
          <w:rFonts w:cs="宋体"/>
          <w:sz w:val="24"/>
          <w:szCs w:val="24"/>
        </w:rPr>
      </w:pPr>
      <w:r>
        <w:rPr>
          <w:rFonts w:hint="eastAsia" w:cs="宋体"/>
          <w:sz w:val="24"/>
          <w:szCs w:val="24"/>
        </w:rPr>
        <w:t>5、如合同设备在试运行期间及设备性能试验验收时，在不影响本合同设备安全、可靠运行的条件下，如有个别微小缺陷，在双方商定的时间内，卖方免费修理上述微小缺陷后，买方同意签署安装调试验收证书。</w:t>
      </w:r>
    </w:p>
    <w:p>
      <w:pPr>
        <w:pStyle w:val="13"/>
        <w:spacing w:line="360" w:lineRule="auto"/>
        <w:ind w:left="0" w:leftChars="0" w:firstLine="480" w:firstLineChars="200"/>
        <w:rPr>
          <w:rFonts w:cs="宋体"/>
          <w:sz w:val="24"/>
          <w:szCs w:val="24"/>
        </w:rPr>
      </w:pPr>
      <w:r>
        <w:rPr>
          <w:rFonts w:hint="eastAsia" w:cs="宋体"/>
          <w:sz w:val="24"/>
          <w:szCs w:val="24"/>
        </w:rPr>
        <w:t>6、设备试运行期间及设备性能试验验收时，如果设备的一项或多项指标不能达到本合同规定的标准时，卖方应分析原因，采取措施使设备达到合同规定标准，并确定在</w:t>
      </w:r>
      <w:r>
        <w:rPr>
          <w:rFonts w:hint="eastAsia" w:cs="宋体"/>
          <w:sz w:val="24"/>
          <w:szCs w:val="24"/>
          <w:u w:val="single"/>
        </w:rPr>
        <w:t xml:space="preserve">7     日 </w:t>
      </w:r>
      <w:r>
        <w:rPr>
          <w:rFonts w:hint="eastAsia" w:cs="宋体"/>
          <w:sz w:val="24"/>
          <w:szCs w:val="24"/>
        </w:rPr>
        <w:t>内，进行第二次性能试验验收。</w:t>
      </w:r>
    </w:p>
    <w:p>
      <w:pPr>
        <w:pStyle w:val="13"/>
        <w:spacing w:line="360" w:lineRule="auto"/>
        <w:ind w:left="0" w:leftChars="0" w:firstLine="480" w:firstLineChars="200"/>
        <w:rPr>
          <w:rFonts w:cs="宋体"/>
          <w:sz w:val="24"/>
          <w:szCs w:val="24"/>
        </w:rPr>
      </w:pPr>
      <w:r>
        <w:rPr>
          <w:rFonts w:hint="eastAsia" w:cs="宋体"/>
          <w:sz w:val="24"/>
          <w:szCs w:val="24"/>
        </w:rPr>
        <w:t>7、在第二次性能试验验收时，如发现设备仍有一项或多项指标未能达到合同设备规定的标准时，视为合同设备不能通过安装调试验收，由此引起的拆卸、搬运、退货运费等由卖方承担外，卖方还需按照合同总价款的</w:t>
      </w:r>
      <w:r>
        <w:rPr>
          <w:rFonts w:hint="eastAsia" w:cs="宋体"/>
          <w:sz w:val="24"/>
          <w:szCs w:val="24"/>
          <w:u w:val="single"/>
        </w:rPr>
        <w:t xml:space="preserve"> 3‰ /日</w:t>
      </w:r>
      <w:r>
        <w:rPr>
          <w:rFonts w:hint="eastAsia" w:cs="宋体"/>
          <w:sz w:val="24"/>
          <w:szCs w:val="24"/>
        </w:rPr>
        <w:t xml:space="preserve"> 的标准赔偿买方的误工费，造成买方其他损失的，应在接到买方通知之日起3日内一并赔偿到账，如有逾期，则按照逾期金额的日万分之四承担违约金。</w:t>
      </w:r>
    </w:p>
    <w:p>
      <w:pPr>
        <w:pStyle w:val="13"/>
        <w:spacing w:line="360" w:lineRule="auto"/>
        <w:ind w:left="0" w:leftChars="0"/>
        <w:outlineLvl w:val="1"/>
        <w:rPr>
          <w:rFonts w:cs="宋体"/>
          <w:b/>
          <w:sz w:val="24"/>
          <w:szCs w:val="24"/>
        </w:rPr>
      </w:pPr>
      <w:bookmarkStart w:id="871" w:name="_Toc11172"/>
      <w:bookmarkStart w:id="872" w:name="_Toc21555"/>
      <w:bookmarkStart w:id="873" w:name="_Toc30607"/>
      <w:bookmarkStart w:id="874" w:name="_Toc27720"/>
      <w:bookmarkStart w:id="875" w:name="_Toc25323"/>
      <w:bookmarkStart w:id="876" w:name="_Toc16233"/>
      <w:bookmarkStart w:id="877" w:name="_Toc30796"/>
      <w:r>
        <w:rPr>
          <w:rFonts w:hint="eastAsia" w:cs="宋体"/>
          <w:b/>
          <w:sz w:val="24"/>
          <w:szCs w:val="24"/>
        </w:rPr>
        <w:t>十、保证</w:t>
      </w:r>
      <w:bookmarkEnd w:id="871"/>
      <w:bookmarkEnd w:id="872"/>
      <w:bookmarkEnd w:id="873"/>
      <w:bookmarkEnd w:id="874"/>
      <w:bookmarkEnd w:id="875"/>
      <w:bookmarkEnd w:id="876"/>
      <w:bookmarkEnd w:id="877"/>
    </w:p>
    <w:p>
      <w:pPr>
        <w:pStyle w:val="13"/>
        <w:spacing w:line="360" w:lineRule="auto"/>
        <w:ind w:left="0" w:leftChars="0" w:firstLine="480" w:firstLineChars="200"/>
        <w:rPr>
          <w:rFonts w:cs="宋体"/>
          <w:sz w:val="24"/>
          <w:szCs w:val="24"/>
        </w:rPr>
      </w:pPr>
      <w:r>
        <w:rPr>
          <w:rFonts w:hint="eastAsia" w:cs="宋体"/>
          <w:sz w:val="24"/>
          <w:szCs w:val="24"/>
        </w:rPr>
        <w:t>1、凡卖方供应的设备应是全新的、技术先进的、成熟可靠的、质量优良的，设备的选型符合安全可靠、经济运行和易于维护的要求。</w:t>
      </w:r>
    </w:p>
    <w:p>
      <w:pPr>
        <w:pStyle w:val="13"/>
        <w:spacing w:line="360" w:lineRule="auto"/>
        <w:ind w:left="0" w:leftChars="0" w:firstLine="480" w:firstLineChars="200"/>
        <w:rPr>
          <w:rFonts w:cs="宋体"/>
          <w:sz w:val="24"/>
          <w:szCs w:val="24"/>
        </w:rPr>
      </w:pPr>
      <w:r>
        <w:rPr>
          <w:rFonts w:hint="eastAsia" w:cs="宋体"/>
          <w:sz w:val="24"/>
          <w:szCs w:val="24"/>
        </w:rPr>
        <w:t>2、卖方应保证设备符合合同规定的技术、质量要求，无任何质量和权利瑕疵。</w:t>
      </w:r>
    </w:p>
    <w:p>
      <w:pPr>
        <w:pStyle w:val="13"/>
        <w:spacing w:line="360" w:lineRule="auto"/>
        <w:ind w:left="0" w:leftChars="0" w:firstLine="480" w:firstLineChars="200"/>
        <w:rPr>
          <w:rFonts w:cs="宋体"/>
          <w:sz w:val="24"/>
          <w:szCs w:val="24"/>
        </w:rPr>
      </w:pPr>
      <w:r>
        <w:rPr>
          <w:rFonts w:hint="eastAsia" w:cs="宋体"/>
          <w:sz w:val="24"/>
          <w:szCs w:val="24"/>
        </w:rPr>
        <w:t>3、卖方保证向买方交付的图纸、技术资料是清晰、完整统一和内容正确、准确的，并能满足合同设备的设计、安装、调试和维修的要求。</w:t>
      </w:r>
    </w:p>
    <w:p>
      <w:pPr>
        <w:pStyle w:val="13"/>
        <w:spacing w:line="360" w:lineRule="auto"/>
        <w:ind w:left="0" w:leftChars="0" w:firstLine="480" w:firstLineChars="200"/>
        <w:rPr>
          <w:rFonts w:cs="宋体"/>
          <w:sz w:val="24"/>
          <w:szCs w:val="24"/>
        </w:rPr>
      </w:pPr>
      <w:r>
        <w:rPr>
          <w:rFonts w:hint="eastAsia" w:cs="宋体"/>
          <w:sz w:val="24"/>
          <w:szCs w:val="24"/>
        </w:rPr>
        <w:t>4、本合同设备的质保期指合同设备签发安装调试验收证书之日起</w:t>
      </w:r>
      <w:r>
        <w:rPr>
          <w:rFonts w:hint="eastAsia" w:cs="宋体"/>
          <w:sz w:val="24"/>
          <w:szCs w:val="24"/>
          <w:u w:val="single"/>
        </w:rPr>
        <w:t xml:space="preserve">  1年  </w:t>
      </w:r>
      <w:r>
        <w:rPr>
          <w:rFonts w:hint="eastAsia" w:cs="宋体"/>
          <w:sz w:val="24"/>
          <w:szCs w:val="24"/>
        </w:rPr>
        <w:t>。在此期间，如发现设备有缺陷，不符合本合同规定时，或者发现有零部件损坏时，卖方在接到买方通知后</w:t>
      </w:r>
      <w:r>
        <w:rPr>
          <w:rFonts w:hint="eastAsia" w:cs="宋体"/>
          <w:sz w:val="24"/>
          <w:szCs w:val="24"/>
          <w:u w:val="single"/>
        </w:rPr>
        <w:t xml:space="preserve">  2小时内 </w:t>
      </w:r>
      <w:r>
        <w:rPr>
          <w:rFonts w:hint="eastAsia" w:cs="宋体"/>
          <w:sz w:val="24"/>
          <w:szCs w:val="24"/>
        </w:rPr>
        <w:t>作出回应，</w:t>
      </w:r>
      <w:r>
        <w:rPr>
          <w:rFonts w:hint="eastAsia" w:cs="宋体"/>
          <w:sz w:val="24"/>
          <w:szCs w:val="24"/>
          <w:u w:val="single"/>
        </w:rPr>
        <w:t xml:space="preserve">24小时内 </w:t>
      </w:r>
      <w:r>
        <w:rPr>
          <w:rFonts w:hint="eastAsia" w:cs="宋体"/>
          <w:sz w:val="24"/>
          <w:szCs w:val="24"/>
        </w:rPr>
        <w:t>免费派人维修、更换符合质量要求的设备，如设备缺陷造成买方无法正常使用的，买方有权退货，因退货产生的全部费用由卖方自行承担；设备过了质保期限，出现了质量问题或有零部件损坏，卖方亦应承担维修、更换责任，买方应向卖方支付维修、更换所需的成本费用。</w:t>
      </w:r>
    </w:p>
    <w:p>
      <w:pPr>
        <w:pStyle w:val="13"/>
        <w:spacing w:line="360" w:lineRule="auto"/>
        <w:ind w:left="0" w:leftChars="0" w:firstLine="480" w:firstLineChars="200"/>
        <w:rPr>
          <w:rFonts w:cs="宋体"/>
          <w:sz w:val="24"/>
          <w:szCs w:val="24"/>
        </w:rPr>
      </w:pPr>
      <w:r>
        <w:rPr>
          <w:rFonts w:hint="eastAsia" w:cs="宋体"/>
          <w:sz w:val="24"/>
          <w:szCs w:val="24"/>
        </w:rPr>
        <w:t>5、在质保期内，如发现了双方共同确认的较严重的质量缺陷，则质保期中断。该缺陷消除后，质保期重新开始计算。质量缺陷包括但不限于以下情形：（1）在设计、生产、原材料、制造、指示、包装、运输上存在明显的或潜在的危害人身及财产安全的问题；</w:t>
      </w:r>
    </w:p>
    <w:p>
      <w:pPr>
        <w:pStyle w:val="13"/>
        <w:spacing w:line="360" w:lineRule="auto"/>
        <w:ind w:left="0" w:leftChars="0"/>
        <w:rPr>
          <w:rFonts w:cs="宋体"/>
          <w:sz w:val="24"/>
          <w:szCs w:val="24"/>
        </w:rPr>
      </w:pPr>
      <w:r>
        <w:rPr>
          <w:rFonts w:hint="eastAsia" w:cs="宋体"/>
          <w:sz w:val="24"/>
          <w:szCs w:val="24"/>
        </w:rPr>
        <w:t>（2）在设备中掺杂、掺假、以次充真、以次充好；</w:t>
      </w:r>
    </w:p>
    <w:p>
      <w:pPr>
        <w:pStyle w:val="13"/>
        <w:spacing w:line="360" w:lineRule="auto"/>
        <w:ind w:left="0" w:leftChars="0"/>
        <w:rPr>
          <w:rFonts w:cs="宋体"/>
          <w:sz w:val="24"/>
          <w:szCs w:val="24"/>
        </w:rPr>
      </w:pPr>
      <w:r>
        <w:rPr>
          <w:rFonts w:hint="eastAsia" w:cs="宋体"/>
          <w:sz w:val="24"/>
          <w:szCs w:val="24"/>
        </w:rPr>
        <w:t>（3）为国家明令淘汰的产品或失效的产品；</w:t>
      </w:r>
    </w:p>
    <w:p>
      <w:pPr>
        <w:pStyle w:val="13"/>
        <w:spacing w:line="360" w:lineRule="auto"/>
        <w:ind w:left="0" w:leftChars="0"/>
        <w:rPr>
          <w:rFonts w:cs="宋体"/>
          <w:sz w:val="24"/>
          <w:szCs w:val="24"/>
        </w:rPr>
      </w:pPr>
      <w:r>
        <w:rPr>
          <w:rFonts w:hint="eastAsia" w:cs="宋体"/>
          <w:sz w:val="24"/>
          <w:szCs w:val="24"/>
        </w:rPr>
        <w:t xml:space="preserve">（4）伪造产地、伪造或冒用他人厂名、厂址； </w:t>
      </w:r>
    </w:p>
    <w:p>
      <w:pPr>
        <w:pStyle w:val="13"/>
        <w:spacing w:line="360" w:lineRule="auto"/>
        <w:ind w:left="0" w:leftChars="0"/>
        <w:rPr>
          <w:rFonts w:cs="宋体"/>
          <w:sz w:val="24"/>
          <w:szCs w:val="24"/>
        </w:rPr>
      </w:pPr>
      <w:r>
        <w:rPr>
          <w:rFonts w:hint="eastAsia" w:cs="宋体"/>
          <w:sz w:val="24"/>
          <w:szCs w:val="24"/>
        </w:rPr>
        <w:t>（5）伪造或冒用认证标志、名优标志等质量标志；</w:t>
      </w:r>
    </w:p>
    <w:p>
      <w:pPr>
        <w:pStyle w:val="13"/>
        <w:spacing w:line="360" w:lineRule="auto"/>
        <w:ind w:left="0" w:leftChars="0"/>
        <w:rPr>
          <w:rFonts w:cs="宋体"/>
          <w:sz w:val="24"/>
          <w:szCs w:val="24"/>
        </w:rPr>
      </w:pPr>
      <w:r>
        <w:rPr>
          <w:rFonts w:hint="eastAsia" w:cs="宋体"/>
          <w:sz w:val="24"/>
          <w:szCs w:val="24"/>
        </w:rPr>
        <w:t>（6）标识不实、不清；</w:t>
      </w:r>
    </w:p>
    <w:p>
      <w:pPr>
        <w:pStyle w:val="13"/>
        <w:spacing w:line="360" w:lineRule="auto"/>
        <w:ind w:left="0" w:leftChars="0"/>
        <w:rPr>
          <w:rFonts w:cs="宋体"/>
          <w:sz w:val="24"/>
          <w:szCs w:val="24"/>
        </w:rPr>
      </w:pPr>
      <w:r>
        <w:rPr>
          <w:rFonts w:hint="eastAsia" w:cs="宋体"/>
          <w:sz w:val="24"/>
          <w:szCs w:val="24"/>
        </w:rPr>
        <w:t>（7）在国家或地方产品质量监督部门定期发布质量抽查报告中被列为不合格产品；</w:t>
      </w:r>
    </w:p>
    <w:p>
      <w:pPr>
        <w:pStyle w:val="13"/>
        <w:spacing w:line="360" w:lineRule="auto"/>
        <w:ind w:left="0" w:leftChars="0"/>
        <w:rPr>
          <w:rFonts w:cs="宋体"/>
          <w:sz w:val="24"/>
          <w:szCs w:val="24"/>
        </w:rPr>
      </w:pPr>
      <w:r>
        <w:rPr>
          <w:rFonts w:hint="eastAsia" w:cs="宋体"/>
          <w:sz w:val="24"/>
          <w:szCs w:val="24"/>
        </w:rPr>
        <w:t>（8）其他质量缺陷问题。</w:t>
      </w:r>
    </w:p>
    <w:p>
      <w:pPr>
        <w:pStyle w:val="13"/>
        <w:spacing w:line="360" w:lineRule="auto"/>
        <w:ind w:left="0" w:leftChars="0" w:firstLine="480" w:firstLineChars="200"/>
        <w:rPr>
          <w:rFonts w:cs="宋体"/>
          <w:sz w:val="24"/>
          <w:szCs w:val="24"/>
        </w:rPr>
      </w:pPr>
      <w:r>
        <w:rPr>
          <w:rFonts w:hint="eastAsia" w:cs="宋体"/>
          <w:sz w:val="24"/>
          <w:szCs w:val="24"/>
        </w:rPr>
        <w:t>6、合同规定的质保期满后</w:t>
      </w:r>
      <w:r>
        <w:rPr>
          <w:rFonts w:hint="eastAsia" w:cs="宋体"/>
          <w:sz w:val="24"/>
          <w:szCs w:val="24"/>
          <w:u w:val="single"/>
        </w:rPr>
        <w:t xml:space="preserve"> 14</w:t>
      </w:r>
      <w:r>
        <w:rPr>
          <w:rFonts w:hint="eastAsia" w:cs="宋体"/>
          <w:sz w:val="24"/>
          <w:szCs w:val="24"/>
        </w:rPr>
        <w:t>日内，买方出具合同设备最终验收证书。条件是，在此期间，卖方应完成买方在保证期满前提出的索赔和赔偿，但卖方对买方非正常维修和误操作以及由于正常磨损造成的损失不承担赔偿责任。</w:t>
      </w:r>
    </w:p>
    <w:p>
      <w:pPr>
        <w:pStyle w:val="13"/>
        <w:spacing w:line="360" w:lineRule="auto"/>
        <w:ind w:left="0" w:leftChars="0" w:firstLine="480" w:firstLineChars="200"/>
        <w:rPr>
          <w:rFonts w:cs="宋体"/>
          <w:sz w:val="24"/>
          <w:szCs w:val="24"/>
        </w:rPr>
      </w:pPr>
      <w:r>
        <w:rPr>
          <w:rFonts w:hint="eastAsia" w:cs="宋体"/>
          <w:sz w:val="24"/>
          <w:szCs w:val="24"/>
        </w:rPr>
        <w:t>7、设备最终验收证书仅证明卖方所提供的设备性能和参数在质保期内可以按合同要求予以接受，但不能视为卖方对设备存在的潜在缺陷所应付的责任的解除。此检验不作为对产品内在质量认定的依据。</w:t>
      </w:r>
    </w:p>
    <w:p>
      <w:pPr>
        <w:pStyle w:val="13"/>
        <w:spacing w:line="360" w:lineRule="auto"/>
        <w:ind w:left="0" w:leftChars="0" w:firstLine="480" w:firstLineChars="200"/>
        <w:rPr>
          <w:rFonts w:cs="宋体"/>
          <w:sz w:val="24"/>
          <w:szCs w:val="24"/>
        </w:rPr>
      </w:pPr>
      <w:r>
        <w:rPr>
          <w:rFonts w:hint="eastAsia" w:cs="宋体"/>
          <w:sz w:val="24"/>
          <w:szCs w:val="24"/>
        </w:rPr>
        <w:t>8、如买方需要卖方提供设备使用培训的，卖方应为买方提供免费培训服务。</w:t>
      </w:r>
    </w:p>
    <w:p>
      <w:pPr>
        <w:pStyle w:val="13"/>
        <w:spacing w:line="360" w:lineRule="auto"/>
        <w:ind w:left="0" w:leftChars="0" w:firstLine="480" w:firstLineChars="200"/>
        <w:rPr>
          <w:rFonts w:cs="宋体"/>
          <w:sz w:val="24"/>
          <w:szCs w:val="24"/>
        </w:rPr>
      </w:pPr>
      <w:r>
        <w:rPr>
          <w:rFonts w:hint="eastAsia" w:cs="宋体"/>
          <w:sz w:val="24"/>
          <w:szCs w:val="24"/>
        </w:rPr>
        <w:t>9、卖方保证基于本合同提供的设备，买方使用、制造、销售、出口等经营活动不会侵犯任何第三方知识产权；若发生上述情况，卖方保证承担由此产生的违约责任及其他法律问题。</w:t>
      </w:r>
    </w:p>
    <w:p>
      <w:pPr>
        <w:pStyle w:val="13"/>
        <w:spacing w:line="360" w:lineRule="auto"/>
        <w:ind w:left="0" w:leftChars="0" w:firstLine="480" w:firstLineChars="200"/>
        <w:rPr>
          <w:rFonts w:cs="宋体"/>
          <w:sz w:val="24"/>
          <w:szCs w:val="24"/>
        </w:rPr>
      </w:pPr>
      <w:r>
        <w:rPr>
          <w:rFonts w:hint="eastAsia" w:cs="宋体"/>
          <w:sz w:val="24"/>
          <w:szCs w:val="24"/>
        </w:rPr>
        <w:t>10、卖方不得在任何情况下以口头、书面、宣传或其他类似的行为公开、透露因本合同涉及买方的一切相关资料、信息。</w:t>
      </w:r>
    </w:p>
    <w:p>
      <w:pPr>
        <w:pStyle w:val="13"/>
        <w:spacing w:line="360" w:lineRule="auto"/>
        <w:ind w:left="0" w:leftChars="0"/>
        <w:outlineLvl w:val="1"/>
        <w:rPr>
          <w:rFonts w:cs="宋体"/>
          <w:b/>
          <w:sz w:val="24"/>
          <w:szCs w:val="24"/>
        </w:rPr>
      </w:pPr>
      <w:bookmarkStart w:id="878" w:name="_Toc28723"/>
      <w:bookmarkStart w:id="879" w:name="_Toc3004"/>
      <w:bookmarkStart w:id="880" w:name="_Toc30966"/>
      <w:bookmarkStart w:id="881" w:name="_Toc15065"/>
      <w:bookmarkStart w:id="882" w:name="_Toc22065"/>
      <w:bookmarkStart w:id="883" w:name="_Toc2782"/>
      <w:bookmarkStart w:id="884" w:name="_Toc17524"/>
      <w:r>
        <w:rPr>
          <w:rFonts w:hint="eastAsia" w:cs="宋体"/>
          <w:b/>
          <w:sz w:val="24"/>
          <w:szCs w:val="24"/>
        </w:rPr>
        <w:t>十一、违约责任：</w:t>
      </w:r>
      <w:bookmarkEnd w:id="878"/>
      <w:bookmarkEnd w:id="879"/>
      <w:bookmarkEnd w:id="880"/>
      <w:bookmarkEnd w:id="881"/>
      <w:bookmarkEnd w:id="882"/>
      <w:bookmarkEnd w:id="883"/>
      <w:bookmarkEnd w:id="884"/>
    </w:p>
    <w:p>
      <w:pPr>
        <w:pStyle w:val="13"/>
        <w:spacing w:line="360" w:lineRule="auto"/>
        <w:ind w:left="0" w:leftChars="0" w:firstLine="480" w:firstLineChars="200"/>
        <w:rPr>
          <w:rFonts w:cs="宋体"/>
          <w:sz w:val="24"/>
          <w:szCs w:val="24"/>
        </w:rPr>
      </w:pPr>
      <w:r>
        <w:rPr>
          <w:rFonts w:hint="eastAsia" w:cs="宋体"/>
          <w:sz w:val="24"/>
          <w:szCs w:val="24"/>
        </w:rPr>
        <w:t>1、卖方不能交货的，应向买方偿付合同总价</w:t>
      </w:r>
      <w:r>
        <w:rPr>
          <w:rFonts w:hint="eastAsia" w:cs="宋体"/>
          <w:sz w:val="24"/>
          <w:szCs w:val="24"/>
          <w:u w:val="single"/>
        </w:rPr>
        <w:t xml:space="preserve"> 10 % </w:t>
      </w:r>
      <w:r>
        <w:rPr>
          <w:rFonts w:hint="eastAsia" w:cs="宋体"/>
          <w:sz w:val="24"/>
          <w:szCs w:val="24"/>
        </w:rPr>
        <w:t>违约金，并承担买方因此所受的全部损失。</w:t>
      </w:r>
    </w:p>
    <w:p>
      <w:pPr>
        <w:pStyle w:val="13"/>
        <w:spacing w:line="360" w:lineRule="auto"/>
        <w:ind w:left="0" w:leftChars="0" w:firstLine="480" w:firstLineChars="200"/>
        <w:rPr>
          <w:rFonts w:cs="宋体"/>
          <w:sz w:val="24"/>
          <w:szCs w:val="24"/>
        </w:rPr>
      </w:pPr>
      <w:r>
        <w:rPr>
          <w:rFonts w:hint="eastAsia" w:cs="宋体"/>
          <w:sz w:val="24"/>
          <w:szCs w:val="24"/>
        </w:rPr>
        <w:t>2、卖方逾期交货的，应承担不能交货部分价款的</w:t>
      </w:r>
      <w:r>
        <w:rPr>
          <w:rFonts w:hint="eastAsia" w:cs="宋体"/>
          <w:sz w:val="24"/>
          <w:szCs w:val="24"/>
          <w:u w:val="single"/>
        </w:rPr>
        <w:t xml:space="preserve"> 3‰ /日</w:t>
      </w:r>
      <w:r>
        <w:rPr>
          <w:rFonts w:hint="eastAsia" w:cs="宋体"/>
          <w:sz w:val="24"/>
          <w:szCs w:val="24"/>
        </w:rPr>
        <w:t xml:space="preserve"> 的违约金。卖方逾期交货超过</w:t>
      </w:r>
      <w:r>
        <w:rPr>
          <w:rFonts w:hint="eastAsia" w:cs="宋体"/>
          <w:sz w:val="24"/>
          <w:szCs w:val="24"/>
          <w:u w:val="single"/>
        </w:rPr>
        <w:t>30</w:t>
      </w:r>
      <w:r>
        <w:rPr>
          <w:rFonts w:hint="eastAsia" w:cs="宋体"/>
          <w:sz w:val="24"/>
          <w:szCs w:val="24"/>
        </w:rPr>
        <w:t>日，买方有权解除合同，卖方应返还买方所付货款，并按不能交货承担违约责任，若违约金不足以弥补由此给买方造成的损失，卖方应补足。</w:t>
      </w:r>
    </w:p>
    <w:p>
      <w:pPr>
        <w:pStyle w:val="13"/>
        <w:spacing w:line="360" w:lineRule="auto"/>
        <w:ind w:left="0" w:leftChars="0" w:firstLine="480" w:firstLineChars="200"/>
        <w:rPr>
          <w:rFonts w:cs="宋体"/>
          <w:sz w:val="24"/>
          <w:szCs w:val="24"/>
        </w:rPr>
      </w:pPr>
      <w:r>
        <w:rPr>
          <w:rFonts w:hint="eastAsia" w:cs="宋体"/>
          <w:sz w:val="24"/>
          <w:szCs w:val="24"/>
        </w:rPr>
        <w:t>3、产品不符合合同规定，不能通过初步验收，卖方应在一周内更换符合合同规定的设备，并承担相关费用，直至达到合同要求，由此延误的时间按逾期交货承担违约责任。卖方不能更换的，按不能交货承担违约责任。</w:t>
      </w:r>
    </w:p>
    <w:p>
      <w:pPr>
        <w:pStyle w:val="13"/>
        <w:spacing w:line="360" w:lineRule="auto"/>
        <w:ind w:left="0" w:leftChars="0" w:firstLine="480" w:firstLineChars="200"/>
        <w:rPr>
          <w:rFonts w:cs="宋体"/>
          <w:sz w:val="24"/>
          <w:szCs w:val="24"/>
        </w:rPr>
      </w:pPr>
      <w:r>
        <w:rPr>
          <w:rFonts w:hint="eastAsia" w:cs="宋体"/>
          <w:sz w:val="24"/>
          <w:szCs w:val="24"/>
        </w:rPr>
        <w:t>4、卖方所交付的设备没有通过安装调试验收，按以下方式处理：</w:t>
      </w:r>
    </w:p>
    <w:p>
      <w:pPr>
        <w:pStyle w:val="13"/>
        <w:tabs>
          <w:tab w:val="left" w:pos="1080"/>
        </w:tabs>
        <w:spacing w:line="360" w:lineRule="auto"/>
        <w:ind w:left="0" w:leftChars="0" w:firstLine="480" w:firstLineChars="200"/>
        <w:rPr>
          <w:rFonts w:cs="宋体"/>
          <w:sz w:val="24"/>
          <w:szCs w:val="24"/>
        </w:rPr>
      </w:pPr>
      <w:r>
        <w:rPr>
          <w:rFonts w:hint="eastAsia" w:cs="宋体"/>
          <w:sz w:val="24"/>
          <w:szCs w:val="24"/>
        </w:rPr>
        <w:sym w:font="Wingdings 2" w:char="00A3"/>
      </w:r>
      <w:r>
        <w:rPr>
          <w:rFonts w:hint="eastAsia" w:cs="宋体"/>
          <w:sz w:val="24"/>
          <w:szCs w:val="24"/>
        </w:rPr>
        <w:t xml:space="preserve">  ①卖方应在一周内更换符合技术质量要求的设备，双方重新确定性能试验验收的时间，由此延误的时间卖方按逾期交货承担违约责任，并承担给买方造成的损失。如卖方更换后的设备仍不能通过性能试验验收，买方有权退货，卖方返还买方所付款项，并按不能交货承担违约责任，若违约金不足以弥补由此给买方造成的损失，卖方应补足。</w:t>
      </w:r>
    </w:p>
    <w:p>
      <w:pPr>
        <w:pStyle w:val="13"/>
        <w:spacing w:line="360" w:lineRule="auto"/>
        <w:ind w:left="0" w:leftChars="0" w:firstLine="480" w:firstLineChars="200"/>
        <w:rPr>
          <w:rFonts w:cs="宋体"/>
          <w:sz w:val="24"/>
          <w:szCs w:val="24"/>
        </w:rPr>
      </w:pPr>
      <w:r>
        <w:rPr>
          <w:rFonts w:hint="eastAsia" w:cs="宋体"/>
          <w:sz w:val="24"/>
          <w:szCs w:val="24"/>
        </w:rPr>
        <w:sym w:font="Wingdings 2" w:char="00A3"/>
      </w:r>
      <w:r>
        <w:rPr>
          <w:rFonts w:hint="eastAsia" w:cs="宋体"/>
          <w:sz w:val="24"/>
          <w:szCs w:val="24"/>
        </w:rPr>
        <w:t xml:space="preserve"> ②买方有权退货，卖方返还买方所付款项，并按不能交货承担违约责任，若违约金不足以弥补由此给买方造成的损失，卖方应补足。</w:t>
      </w:r>
    </w:p>
    <w:p>
      <w:pPr>
        <w:pStyle w:val="13"/>
        <w:spacing w:line="360" w:lineRule="auto"/>
        <w:ind w:left="0" w:leftChars="0" w:firstLine="480" w:firstLineChars="200"/>
        <w:rPr>
          <w:rFonts w:cs="宋体"/>
          <w:sz w:val="24"/>
          <w:szCs w:val="24"/>
        </w:rPr>
      </w:pPr>
      <w:r>
        <w:rPr>
          <w:rFonts w:hint="eastAsia" w:cs="宋体"/>
          <w:sz w:val="24"/>
          <w:szCs w:val="24"/>
        </w:rPr>
        <w:t>5、 在设备质保期内，如发现设备有缺陷，不符合合同规定时，则买方有权根据损失大小扣除设备质保金，卖方认可买方扣除的金额，如质保金不足以赔偿买方损失的，由卖方负责赔偿。质保金扣除后，卖方应当在收到买方通知后3日内补足质保金，否则应当按照支付未补足质保金</w:t>
      </w:r>
      <w:r>
        <w:rPr>
          <w:rFonts w:hint="eastAsia" w:cs="宋体"/>
          <w:sz w:val="24"/>
          <w:szCs w:val="24"/>
          <w:u w:val="single"/>
        </w:rPr>
        <w:t>3‰ /日</w:t>
      </w:r>
      <w:r>
        <w:rPr>
          <w:rFonts w:hint="eastAsia" w:cs="宋体"/>
          <w:sz w:val="24"/>
          <w:szCs w:val="24"/>
        </w:rPr>
        <w:t>的违约金。</w:t>
      </w:r>
    </w:p>
    <w:p>
      <w:pPr>
        <w:pStyle w:val="13"/>
        <w:spacing w:line="360" w:lineRule="auto"/>
        <w:ind w:left="0" w:leftChars="0" w:firstLine="480" w:firstLineChars="200"/>
        <w:rPr>
          <w:rFonts w:cs="宋体"/>
          <w:sz w:val="24"/>
          <w:szCs w:val="24"/>
        </w:rPr>
      </w:pPr>
      <w:r>
        <w:rPr>
          <w:rFonts w:hint="eastAsia" w:cs="宋体"/>
          <w:sz w:val="24"/>
          <w:szCs w:val="24"/>
        </w:rPr>
        <w:t>6、如卖方提供设备不符合质量要求或提供假冒、伪劣产品、以次充好等，一经买方抽检发现的，双方约定同意视为所提供的同类设备全部不合格，买方有权拒付全部剩余货款且已交付的设备不予退还，同时要求卖方承担违约责任，违约赔偿金以本合同总价款数额的10%计算，并承担由此发生的一切损失和费用。</w:t>
      </w:r>
    </w:p>
    <w:p>
      <w:pPr>
        <w:pStyle w:val="13"/>
        <w:spacing w:line="360" w:lineRule="auto"/>
        <w:ind w:left="0" w:leftChars="0" w:firstLine="480" w:firstLineChars="200"/>
        <w:rPr>
          <w:rFonts w:cs="宋体"/>
          <w:sz w:val="24"/>
          <w:szCs w:val="24"/>
        </w:rPr>
      </w:pPr>
      <w:r>
        <w:rPr>
          <w:rFonts w:hint="eastAsia" w:cs="宋体"/>
          <w:sz w:val="24"/>
          <w:szCs w:val="24"/>
        </w:rPr>
        <w:t>7、 如果因本合同设备潜在缺陷造成的货物损坏或给买方造成损失，无论是在设备质保期内或者质保期外，卖方对消除潜在缺陷应承担责任，买方有权要求卖方按照合同总价款的10%支付违约金并赔偿买方因此受到的损失。</w:t>
      </w:r>
    </w:p>
    <w:p>
      <w:pPr>
        <w:pStyle w:val="13"/>
        <w:spacing w:line="360" w:lineRule="auto"/>
        <w:ind w:left="0" w:leftChars="0" w:firstLine="480" w:firstLineChars="200"/>
        <w:rPr>
          <w:rFonts w:cs="宋体"/>
          <w:sz w:val="24"/>
          <w:szCs w:val="24"/>
        </w:rPr>
      </w:pPr>
      <w:r>
        <w:rPr>
          <w:rFonts w:hint="eastAsia" w:cs="宋体"/>
          <w:sz w:val="24"/>
          <w:szCs w:val="24"/>
        </w:rPr>
        <w:t>8、 第三人对货物所有权或知识产权提出异议，由卖方负责处理解决，若因此导致买方损失的，卖方应当按照本合同总金额的10%支付违约金，并赔偿由此给买方造成的实际损失，且不能免除卖方履行本合同的义务。</w:t>
      </w:r>
    </w:p>
    <w:p>
      <w:pPr>
        <w:pStyle w:val="13"/>
        <w:spacing w:line="360" w:lineRule="auto"/>
        <w:ind w:left="0" w:leftChars="0"/>
        <w:outlineLvl w:val="1"/>
        <w:rPr>
          <w:rFonts w:cs="宋体"/>
          <w:b/>
          <w:sz w:val="24"/>
          <w:szCs w:val="24"/>
        </w:rPr>
      </w:pPr>
      <w:bookmarkStart w:id="885" w:name="_Toc18027"/>
      <w:bookmarkStart w:id="886" w:name="_Toc14682"/>
      <w:bookmarkStart w:id="887" w:name="_Toc17980"/>
      <w:bookmarkStart w:id="888" w:name="_Toc15591"/>
      <w:bookmarkStart w:id="889" w:name="_Toc15616"/>
      <w:bookmarkStart w:id="890" w:name="_Toc32098"/>
      <w:bookmarkStart w:id="891" w:name="_Toc15263"/>
      <w:r>
        <w:rPr>
          <w:rFonts w:hint="eastAsia" w:cs="宋体"/>
          <w:b/>
          <w:sz w:val="24"/>
          <w:szCs w:val="24"/>
        </w:rPr>
        <w:t>十二、不可抗力</w:t>
      </w:r>
      <w:bookmarkEnd w:id="885"/>
      <w:bookmarkEnd w:id="886"/>
      <w:bookmarkEnd w:id="887"/>
      <w:bookmarkEnd w:id="888"/>
      <w:bookmarkEnd w:id="889"/>
      <w:bookmarkEnd w:id="890"/>
      <w:bookmarkEnd w:id="891"/>
    </w:p>
    <w:p>
      <w:pPr>
        <w:spacing w:line="360" w:lineRule="auto"/>
        <w:ind w:firstLine="480" w:firstLineChars="200"/>
        <w:rPr>
          <w:rFonts w:cs="宋体"/>
          <w:kern w:val="0"/>
          <w:sz w:val="24"/>
          <w:szCs w:val="24"/>
        </w:rPr>
      </w:pPr>
      <w:r>
        <w:rPr>
          <w:rFonts w:hint="eastAsia" w:cs="宋体"/>
          <w:kern w:val="0"/>
          <w:sz w:val="24"/>
          <w:szCs w:val="24"/>
        </w:rPr>
        <w:t>合同签订后，签约双方任何一方，由于火灾、水灾、地震、战争、台风和双方同意的其他不可抗力的事故影响本合同履行时，可延长履行合同的期限；这一期限相当于事故所影响的时间，并可根据情况部分或全部免予承担违约责任。</w:t>
      </w:r>
    </w:p>
    <w:p>
      <w:pPr>
        <w:spacing w:line="360" w:lineRule="auto"/>
        <w:ind w:firstLine="480" w:firstLineChars="200"/>
        <w:rPr>
          <w:rFonts w:cs="宋体"/>
          <w:kern w:val="0"/>
          <w:sz w:val="24"/>
          <w:szCs w:val="24"/>
        </w:rPr>
      </w:pPr>
      <w:r>
        <w:rPr>
          <w:rFonts w:hint="eastAsia" w:cs="宋体"/>
          <w:kern w:val="0"/>
          <w:sz w:val="24"/>
          <w:szCs w:val="24"/>
        </w:rPr>
        <w:t>受事故影响方应尽快将所发生的不可抗力事故情况以书面形式（传真或电报等）通知对方，并</w:t>
      </w:r>
      <w:r>
        <w:rPr>
          <w:rFonts w:hint="eastAsia" w:cs="宋体"/>
          <w:sz w:val="24"/>
          <w:szCs w:val="24"/>
        </w:rPr>
        <w:t>将有关部门出具的证明文件用挂号信邮寄给或送给另一方</w:t>
      </w:r>
      <w:r>
        <w:rPr>
          <w:rFonts w:hint="eastAsia" w:cs="宋体"/>
          <w:kern w:val="0"/>
          <w:sz w:val="24"/>
          <w:szCs w:val="24"/>
        </w:rPr>
        <w:t>。</w:t>
      </w:r>
    </w:p>
    <w:p>
      <w:pPr>
        <w:spacing w:line="360" w:lineRule="auto"/>
        <w:ind w:firstLine="480" w:firstLineChars="200"/>
        <w:rPr>
          <w:rFonts w:cs="宋体"/>
          <w:kern w:val="0"/>
          <w:sz w:val="24"/>
          <w:szCs w:val="24"/>
        </w:rPr>
      </w:pPr>
      <w:r>
        <w:rPr>
          <w:rFonts w:hint="eastAsia" w:cs="宋体"/>
          <w:kern w:val="0"/>
          <w:sz w:val="24"/>
          <w:szCs w:val="24"/>
        </w:rPr>
        <w:t>当不可抗力事故停止或消除后，受事故影响的一方应尽快以书面形式（传真或电报等）通知另一方，如不可抗力事故影响连续</w:t>
      </w:r>
      <w:r>
        <w:rPr>
          <w:rFonts w:hint="eastAsia" w:cs="宋体"/>
          <w:kern w:val="0"/>
          <w:sz w:val="24"/>
          <w:szCs w:val="24"/>
          <w:u w:val="single"/>
        </w:rPr>
        <w:t xml:space="preserve"> 90 </w:t>
      </w:r>
      <w:r>
        <w:rPr>
          <w:rFonts w:hint="eastAsia" w:cs="宋体"/>
          <w:kern w:val="0"/>
          <w:sz w:val="24"/>
          <w:szCs w:val="24"/>
        </w:rPr>
        <w:t xml:space="preserve">天以上，双方可通过友好协商解决本合同的履行问题，并尽快达成变更协议。 </w:t>
      </w:r>
    </w:p>
    <w:p>
      <w:pPr>
        <w:pStyle w:val="13"/>
        <w:spacing w:line="360" w:lineRule="auto"/>
        <w:ind w:left="0" w:leftChars="0"/>
        <w:outlineLvl w:val="1"/>
        <w:rPr>
          <w:rFonts w:cs="宋体"/>
          <w:b/>
          <w:sz w:val="24"/>
          <w:szCs w:val="24"/>
        </w:rPr>
      </w:pPr>
      <w:bookmarkStart w:id="892" w:name="_Toc30810"/>
      <w:bookmarkStart w:id="893" w:name="_Toc12840"/>
      <w:bookmarkStart w:id="894" w:name="_Toc21656"/>
      <w:bookmarkStart w:id="895" w:name="_Toc25879"/>
      <w:bookmarkStart w:id="896" w:name="_Toc17043"/>
      <w:bookmarkStart w:id="897" w:name="_Toc27043"/>
      <w:bookmarkStart w:id="898" w:name="_Toc25959"/>
      <w:r>
        <w:rPr>
          <w:rFonts w:hint="eastAsia" w:cs="宋体"/>
          <w:b/>
          <w:sz w:val="24"/>
          <w:szCs w:val="24"/>
        </w:rPr>
        <w:t>十三、争议的解决</w:t>
      </w:r>
      <w:bookmarkEnd w:id="892"/>
      <w:bookmarkEnd w:id="893"/>
      <w:bookmarkEnd w:id="894"/>
      <w:bookmarkEnd w:id="895"/>
      <w:bookmarkEnd w:id="896"/>
      <w:bookmarkEnd w:id="897"/>
      <w:bookmarkEnd w:id="898"/>
    </w:p>
    <w:p>
      <w:pPr>
        <w:pStyle w:val="13"/>
        <w:spacing w:line="360" w:lineRule="auto"/>
        <w:ind w:left="0" w:leftChars="0" w:firstLine="480" w:firstLineChars="200"/>
        <w:rPr>
          <w:rFonts w:cs="宋体"/>
          <w:sz w:val="24"/>
          <w:szCs w:val="24"/>
        </w:rPr>
      </w:pPr>
      <w:r>
        <w:rPr>
          <w:rFonts w:hint="eastAsia" w:cs="宋体"/>
          <w:sz w:val="24"/>
          <w:szCs w:val="24"/>
        </w:rPr>
        <w:t>对于本合同项下的纠纷，买卖双方应当本着平等协商的原则友好协商解决，协商不成时，应向买方所在地人民法院起诉。</w:t>
      </w:r>
    </w:p>
    <w:p>
      <w:pPr>
        <w:pStyle w:val="13"/>
        <w:spacing w:line="360" w:lineRule="auto"/>
        <w:ind w:left="0" w:leftChars="0"/>
        <w:outlineLvl w:val="1"/>
        <w:rPr>
          <w:rFonts w:cs="宋体"/>
          <w:b/>
          <w:sz w:val="24"/>
          <w:szCs w:val="24"/>
        </w:rPr>
      </w:pPr>
      <w:bookmarkStart w:id="899" w:name="_Toc19433"/>
      <w:bookmarkStart w:id="900" w:name="_Toc16044"/>
      <w:bookmarkStart w:id="901" w:name="_Toc17863"/>
      <w:bookmarkStart w:id="902" w:name="_Toc32518"/>
      <w:bookmarkStart w:id="903" w:name="_Toc23637"/>
      <w:bookmarkStart w:id="904" w:name="_Toc10745"/>
      <w:bookmarkStart w:id="905" w:name="_Toc5032"/>
      <w:r>
        <w:rPr>
          <w:rFonts w:hint="eastAsia" w:cs="宋体"/>
          <w:b/>
          <w:sz w:val="24"/>
          <w:szCs w:val="24"/>
        </w:rPr>
        <w:t>十四、合同的变更、解除</w:t>
      </w:r>
      <w:bookmarkEnd w:id="899"/>
      <w:bookmarkEnd w:id="900"/>
      <w:bookmarkEnd w:id="901"/>
      <w:bookmarkEnd w:id="902"/>
      <w:bookmarkEnd w:id="903"/>
      <w:bookmarkEnd w:id="904"/>
      <w:bookmarkEnd w:id="905"/>
    </w:p>
    <w:p>
      <w:pPr>
        <w:pStyle w:val="13"/>
        <w:spacing w:line="360" w:lineRule="auto"/>
        <w:ind w:left="0" w:leftChars="0" w:firstLine="480" w:firstLineChars="200"/>
        <w:rPr>
          <w:rFonts w:cs="宋体"/>
          <w:sz w:val="24"/>
          <w:szCs w:val="24"/>
        </w:rPr>
      </w:pPr>
      <w:r>
        <w:rPr>
          <w:rFonts w:hint="eastAsia" w:cs="宋体"/>
          <w:sz w:val="24"/>
          <w:szCs w:val="24"/>
        </w:rPr>
        <w:t>1、本合同生效后合同双方均不能擅自对本合同的内容及附件进行单方面的修改变更，但任何一方均可以对合同的内容以书面形式提出变更和修改的建议，该项建议经对方书面同意后视为对合同内容的变更。</w:t>
      </w:r>
    </w:p>
    <w:p>
      <w:pPr>
        <w:pStyle w:val="13"/>
        <w:spacing w:line="360" w:lineRule="auto"/>
        <w:ind w:left="0" w:leftChars="0" w:firstLine="480" w:firstLineChars="200"/>
        <w:rPr>
          <w:rFonts w:cs="宋体"/>
          <w:sz w:val="24"/>
          <w:szCs w:val="24"/>
        </w:rPr>
      </w:pPr>
      <w:r>
        <w:rPr>
          <w:rFonts w:hint="eastAsia" w:cs="宋体"/>
          <w:sz w:val="24"/>
          <w:szCs w:val="24"/>
        </w:rPr>
        <w:t>2、合同生效后卖方有下列情形之一的，买方有权解除合同：（1）因不可抗力致使不能实现合同目的；（2）在交货期限届满前，卖方明确表示或者以自己的行为表明不履行交货义务；（3）卖方迟延交货超过30天；（4）卖方迟延交货或者有其他违约行为致使买方不能实现合同目的。上述除不可抗力原因外，卖方应承担相应的违约责任。</w:t>
      </w:r>
    </w:p>
    <w:p>
      <w:pPr>
        <w:pStyle w:val="13"/>
        <w:spacing w:line="360" w:lineRule="auto"/>
        <w:ind w:left="0" w:leftChars="0" w:firstLine="480" w:firstLineChars="200"/>
        <w:rPr>
          <w:rFonts w:cs="宋体"/>
          <w:sz w:val="24"/>
          <w:szCs w:val="24"/>
        </w:rPr>
      </w:pPr>
      <w:r>
        <w:rPr>
          <w:rFonts w:hint="eastAsia" w:cs="宋体"/>
          <w:sz w:val="24"/>
          <w:szCs w:val="24"/>
        </w:rPr>
        <w:t>3、除本合同规定的解除合同的情形外，买卖双方协商一致并共同书面同意，可以解除本合同。</w:t>
      </w:r>
    </w:p>
    <w:p>
      <w:pPr>
        <w:pStyle w:val="13"/>
        <w:spacing w:line="360" w:lineRule="auto"/>
        <w:ind w:left="0" w:leftChars="0"/>
        <w:outlineLvl w:val="1"/>
        <w:rPr>
          <w:rFonts w:cs="宋体"/>
          <w:b/>
          <w:sz w:val="24"/>
          <w:szCs w:val="24"/>
        </w:rPr>
      </w:pPr>
      <w:bookmarkStart w:id="906" w:name="_Toc2663"/>
      <w:bookmarkStart w:id="907" w:name="_Toc15469"/>
      <w:bookmarkStart w:id="908" w:name="_Toc32439"/>
      <w:bookmarkStart w:id="909" w:name="_Toc7056"/>
      <w:bookmarkStart w:id="910" w:name="_Toc6636"/>
      <w:bookmarkStart w:id="911" w:name="_Toc30171"/>
      <w:bookmarkStart w:id="912" w:name="_Toc14792"/>
      <w:r>
        <w:rPr>
          <w:rFonts w:hint="eastAsia" w:cs="宋体"/>
          <w:b/>
          <w:sz w:val="24"/>
          <w:szCs w:val="24"/>
        </w:rPr>
        <w:t>十五、其他</w:t>
      </w:r>
      <w:bookmarkEnd w:id="906"/>
      <w:bookmarkEnd w:id="907"/>
      <w:bookmarkEnd w:id="908"/>
      <w:bookmarkEnd w:id="909"/>
      <w:bookmarkEnd w:id="910"/>
      <w:bookmarkEnd w:id="911"/>
      <w:bookmarkEnd w:id="912"/>
    </w:p>
    <w:p>
      <w:pPr>
        <w:pStyle w:val="13"/>
        <w:spacing w:after="0" w:line="360" w:lineRule="auto"/>
        <w:ind w:left="0" w:leftChars="0" w:firstLine="480" w:firstLineChars="200"/>
        <w:rPr>
          <w:rFonts w:cs="宋体"/>
          <w:sz w:val="24"/>
          <w:szCs w:val="24"/>
        </w:rPr>
      </w:pPr>
      <w:r>
        <w:rPr>
          <w:rFonts w:hint="eastAsia" w:cs="宋体"/>
          <w:sz w:val="24"/>
          <w:szCs w:val="24"/>
        </w:rPr>
        <w:t>1、本合同自买卖双方法定代表人或其授权代理人签字并加盖买卖双方公章之日起生效。</w:t>
      </w:r>
    </w:p>
    <w:p>
      <w:pPr>
        <w:pStyle w:val="13"/>
        <w:spacing w:after="0" w:line="360" w:lineRule="auto"/>
        <w:ind w:left="0" w:leftChars="0" w:firstLine="480" w:firstLineChars="200"/>
        <w:rPr>
          <w:rFonts w:cs="宋体"/>
          <w:sz w:val="24"/>
          <w:szCs w:val="24"/>
        </w:rPr>
      </w:pPr>
      <w:r>
        <w:rPr>
          <w:rFonts w:hint="eastAsia" w:cs="宋体"/>
          <w:sz w:val="24"/>
          <w:szCs w:val="24"/>
        </w:rPr>
        <w:t>2、买卖双方记载于本合同的地址不仅为履行、解除本合同的联系及送达地址，亦是买卖双方确认为接收司法文书的送达地址，邮寄被拒收的，视为已送达，邮寄送达不到的，退件之日视为送达之日。</w:t>
      </w:r>
    </w:p>
    <w:p>
      <w:pPr>
        <w:pStyle w:val="13"/>
        <w:spacing w:after="0" w:line="360" w:lineRule="auto"/>
        <w:ind w:left="0" w:leftChars="0" w:firstLine="480" w:firstLineChars="200"/>
        <w:rPr>
          <w:rFonts w:cs="宋体"/>
          <w:sz w:val="24"/>
          <w:szCs w:val="24"/>
        </w:rPr>
      </w:pPr>
      <w:r>
        <w:rPr>
          <w:rFonts w:hint="eastAsia" w:cs="宋体"/>
          <w:sz w:val="24"/>
          <w:szCs w:val="24"/>
        </w:rPr>
        <w:t>3、本合同中“□”列示的选项，以在“□”中作标记的为双方约定的选项。</w:t>
      </w:r>
    </w:p>
    <w:p>
      <w:pPr>
        <w:pStyle w:val="13"/>
        <w:spacing w:line="360" w:lineRule="auto"/>
        <w:ind w:left="0" w:leftChars="0" w:firstLine="480" w:firstLineChars="200"/>
        <w:rPr>
          <w:rFonts w:cs="宋体"/>
          <w:kern w:val="0"/>
          <w:sz w:val="24"/>
          <w:szCs w:val="24"/>
        </w:rPr>
      </w:pPr>
      <w:r>
        <w:rPr>
          <w:rFonts w:hint="eastAsia" w:cs="宋体"/>
          <w:kern w:val="0"/>
          <w:sz w:val="24"/>
          <w:szCs w:val="24"/>
        </w:rPr>
        <w:t>4、对本合同条款的任何变更、修改或增减，须经双方授权代表签署书面文件，成为本合同的组成部分，并具有同等法律效力。</w:t>
      </w:r>
    </w:p>
    <w:p>
      <w:pPr>
        <w:pStyle w:val="13"/>
        <w:spacing w:line="360" w:lineRule="auto"/>
        <w:ind w:left="0" w:leftChars="0" w:firstLine="480" w:firstLineChars="200"/>
        <w:rPr>
          <w:rFonts w:cs="宋体"/>
          <w:sz w:val="24"/>
          <w:szCs w:val="24"/>
        </w:rPr>
      </w:pPr>
      <w:r>
        <w:rPr>
          <w:rFonts w:hint="eastAsia" w:cs="宋体"/>
          <w:sz w:val="24"/>
          <w:szCs w:val="24"/>
        </w:rPr>
        <w:t>5、本合同附件与本合同具有同等效力。</w:t>
      </w:r>
    </w:p>
    <w:p>
      <w:pPr>
        <w:pStyle w:val="13"/>
        <w:spacing w:line="360" w:lineRule="auto"/>
        <w:ind w:left="0" w:leftChars="0" w:firstLine="480" w:firstLineChars="200"/>
        <w:rPr>
          <w:rFonts w:cs="宋体"/>
          <w:sz w:val="24"/>
          <w:szCs w:val="24"/>
        </w:rPr>
      </w:pPr>
      <w:r>
        <w:rPr>
          <w:rFonts w:hint="eastAsia" w:cs="宋体"/>
          <w:sz w:val="24"/>
          <w:szCs w:val="24"/>
        </w:rPr>
        <w:t>6、本合同一式</w:t>
      </w:r>
      <w:r>
        <w:rPr>
          <w:rFonts w:hint="eastAsia" w:cs="宋体"/>
          <w:sz w:val="24"/>
          <w:szCs w:val="24"/>
          <w:u w:val="single"/>
        </w:rPr>
        <w:t xml:space="preserve"> </w:t>
      </w:r>
      <w:r>
        <w:rPr>
          <w:rFonts w:hint="eastAsia" w:cs="宋体"/>
          <w:sz w:val="24"/>
          <w:szCs w:val="24"/>
          <w:u w:val="single"/>
          <w:lang w:val="en-US"/>
        </w:rPr>
        <w:t>肆</w:t>
      </w:r>
      <w:r>
        <w:rPr>
          <w:rFonts w:hint="eastAsia" w:cs="宋体"/>
          <w:sz w:val="24"/>
          <w:szCs w:val="24"/>
          <w:u w:val="single"/>
        </w:rPr>
        <w:t xml:space="preserve"> </w:t>
      </w:r>
      <w:r>
        <w:rPr>
          <w:rFonts w:hint="eastAsia" w:cs="宋体"/>
          <w:sz w:val="24"/>
          <w:szCs w:val="24"/>
        </w:rPr>
        <w:t>份，买方持</w:t>
      </w:r>
      <w:r>
        <w:rPr>
          <w:rFonts w:hint="eastAsia" w:cs="宋体"/>
          <w:sz w:val="24"/>
          <w:szCs w:val="24"/>
          <w:u w:val="single"/>
        </w:rPr>
        <w:t xml:space="preserve"> </w:t>
      </w:r>
      <w:r>
        <w:rPr>
          <w:rFonts w:hint="eastAsia" w:cs="宋体"/>
          <w:sz w:val="24"/>
          <w:szCs w:val="24"/>
          <w:u w:val="single"/>
          <w:lang w:val="en-US"/>
        </w:rPr>
        <w:t>贰</w:t>
      </w:r>
      <w:r>
        <w:rPr>
          <w:rFonts w:hint="eastAsia" w:cs="宋体"/>
          <w:sz w:val="24"/>
          <w:szCs w:val="24"/>
          <w:u w:val="single"/>
        </w:rPr>
        <w:t xml:space="preserve"> </w:t>
      </w:r>
      <w:r>
        <w:rPr>
          <w:rFonts w:hint="eastAsia" w:cs="宋体"/>
          <w:sz w:val="24"/>
          <w:szCs w:val="24"/>
        </w:rPr>
        <w:t>份，卖方持</w:t>
      </w:r>
      <w:r>
        <w:rPr>
          <w:rFonts w:hint="eastAsia" w:cs="宋体"/>
          <w:sz w:val="24"/>
          <w:szCs w:val="24"/>
          <w:u w:val="single"/>
        </w:rPr>
        <w:t xml:space="preserve">  </w:t>
      </w:r>
      <w:r>
        <w:rPr>
          <w:rFonts w:hint="eastAsia" w:cs="宋体"/>
          <w:sz w:val="24"/>
          <w:szCs w:val="24"/>
          <w:u w:val="single"/>
          <w:lang w:val="en-US"/>
        </w:rPr>
        <w:t>贰</w:t>
      </w:r>
      <w:r>
        <w:rPr>
          <w:rFonts w:hint="eastAsia" w:cs="宋体"/>
          <w:sz w:val="24"/>
          <w:szCs w:val="24"/>
          <w:u w:val="single"/>
        </w:rPr>
        <w:t xml:space="preserve"> </w:t>
      </w:r>
      <w:r>
        <w:rPr>
          <w:rFonts w:hint="eastAsia" w:cs="宋体"/>
          <w:sz w:val="24"/>
          <w:szCs w:val="24"/>
        </w:rPr>
        <w:t>份。</w:t>
      </w:r>
    </w:p>
    <w:tbl>
      <w:tblPr>
        <w:tblStyle w:val="28"/>
        <w:tblW w:w="8316" w:type="dxa"/>
        <w:tblInd w:w="97" w:type="dxa"/>
        <w:tblLayout w:type="fixed"/>
        <w:tblCellMar>
          <w:top w:w="0" w:type="dxa"/>
          <w:left w:w="108" w:type="dxa"/>
          <w:bottom w:w="0" w:type="dxa"/>
          <w:right w:w="108" w:type="dxa"/>
        </w:tblCellMar>
      </w:tblPr>
      <w:tblGrid>
        <w:gridCol w:w="4230"/>
        <w:gridCol w:w="4086"/>
      </w:tblGrid>
      <w:tr>
        <w:tblPrEx>
          <w:tblLayout w:type="fixed"/>
          <w:tblCellMar>
            <w:top w:w="0" w:type="dxa"/>
            <w:left w:w="108" w:type="dxa"/>
            <w:bottom w:w="0" w:type="dxa"/>
            <w:right w:w="108" w:type="dxa"/>
          </w:tblCellMar>
        </w:tblPrEx>
        <w:trPr>
          <w:trHeight w:val="232" w:hRule="atLeast"/>
        </w:trPr>
        <w:tc>
          <w:tcPr>
            <w:tcW w:w="4230" w:type="dxa"/>
            <w:tcBorders>
              <w:top w:val="nil"/>
              <w:left w:val="nil"/>
              <w:bottom w:val="nil"/>
              <w:right w:val="nil"/>
            </w:tcBorders>
            <w:noWrap/>
            <w:vAlign w:val="center"/>
          </w:tcPr>
          <w:p>
            <w:pPr>
              <w:widowControl/>
              <w:spacing w:line="360" w:lineRule="auto"/>
              <w:rPr>
                <w:rFonts w:cs="宋体"/>
                <w:kern w:val="0"/>
                <w:sz w:val="24"/>
                <w:szCs w:val="24"/>
              </w:rPr>
            </w:pPr>
            <w:bookmarkStart w:id="913" w:name="_Hlk519071586"/>
            <w:r>
              <w:rPr>
                <w:rFonts w:hint="eastAsia" w:cs="宋体"/>
                <w:kern w:val="0"/>
                <w:sz w:val="24"/>
                <w:szCs w:val="24"/>
              </w:rPr>
              <w:t>买方（章）：</w:t>
            </w:r>
            <w:r>
              <w:rPr>
                <w:rFonts w:hint="eastAsia" w:cs="宋体"/>
                <w:sz w:val="24"/>
                <w:szCs w:val="24"/>
              </w:rPr>
              <w:t>厦工（三明）重型机器有限公司</w:t>
            </w:r>
          </w:p>
        </w:tc>
        <w:tc>
          <w:tcPr>
            <w:tcW w:w="4086" w:type="dxa"/>
            <w:tcBorders>
              <w:top w:val="nil"/>
              <w:left w:val="nil"/>
              <w:bottom w:val="nil"/>
              <w:right w:val="nil"/>
            </w:tcBorders>
            <w:noWrap/>
            <w:vAlign w:val="center"/>
          </w:tcPr>
          <w:p>
            <w:pPr>
              <w:widowControl/>
              <w:spacing w:line="360" w:lineRule="auto"/>
              <w:ind w:right="420"/>
              <w:jc w:val="left"/>
              <w:rPr>
                <w:rFonts w:cs="宋体"/>
                <w:kern w:val="0"/>
                <w:sz w:val="24"/>
                <w:szCs w:val="24"/>
              </w:rPr>
            </w:pPr>
            <w:r>
              <w:rPr>
                <w:rFonts w:hint="eastAsia" w:cs="宋体"/>
                <w:kern w:val="0"/>
                <w:sz w:val="24"/>
                <w:szCs w:val="24"/>
              </w:rPr>
              <w:t xml:space="preserve">卖方（章）： </w:t>
            </w:r>
          </w:p>
        </w:tc>
      </w:tr>
      <w:tr>
        <w:tblPrEx>
          <w:tblLayout w:type="fixed"/>
          <w:tblCellMar>
            <w:top w:w="0" w:type="dxa"/>
            <w:left w:w="108" w:type="dxa"/>
            <w:bottom w:w="0" w:type="dxa"/>
            <w:right w:w="108" w:type="dxa"/>
          </w:tblCellMar>
        </w:tblPrEx>
        <w:trPr>
          <w:trHeight w:val="232" w:hRule="atLeast"/>
        </w:trPr>
        <w:tc>
          <w:tcPr>
            <w:tcW w:w="4230" w:type="dxa"/>
            <w:tcBorders>
              <w:top w:val="nil"/>
              <w:left w:val="nil"/>
              <w:bottom w:val="nil"/>
              <w:right w:val="nil"/>
            </w:tcBorders>
            <w:noWrap/>
            <w:vAlign w:val="center"/>
          </w:tcPr>
          <w:p>
            <w:pPr>
              <w:widowControl/>
              <w:spacing w:line="360" w:lineRule="auto"/>
              <w:rPr>
                <w:rFonts w:cs="宋体"/>
                <w:kern w:val="0"/>
                <w:sz w:val="24"/>
                <w:szCs w:val="24"/>
              </w:rPr>
            </w:pPr>
            <w:r>
              <w:rPr>
                <w:rFonts w:hint="eastAsia" w:cs="宋体"/>
                <w:kern w:val="0"/>
                <w:sz w:val="24"/>
                <w:szCs w:val="24"/>
              </w:rPr>
              <w:t xml:space="preserve">地址： </w:t>
            </w:r>
          </w:p>
        </w:tc>
        <w:tc>
          <w:tcPr>
            <w:tcW w:w="4086" w:type="dxa"/>
            <w:tcBorders>
              <w:top w:val="nil"/>
              <w:left w:val="nil"/>
              <w:bottom w:val="nil"/>
              <w:right w:val="nil"/>
            </w:tcBorders>
            <w:noWrap/>
            <w:vAlign w:val="center"/>
          </w:tcPr>
          <w:p>
            <w:pPr>
              <w:widowControl/>
              <w:spacing w:line="360" w:lineRule="auto"/>
              <w:ind w:right="420"/>
              <w:jc w:val="left"/>
              <w:rPr>
                <w:rFonts w:cs="宋体"/>
                <w:kern w:val="0"/>
                <w:sz w:val="24"/>
                <w:szCs w:val="24"/>
              </w:rPr>
            </w:pPr>
            <w:r>
              <w:rPr>
                <w:rFonts w:hint="eastAsia" w:cs="宋体"/>
                <w:kern w:val="0"/>
                <w:sz w:val="24"/>
                <w:szCs w:val="24"/>
              </w:rPr>
              <w:t xml:space="preserve">地址：  </w:t>
            </w:r>
          </w:p>
        </w:tc>
      </w:tr>
      <w:tr>
        <w:tblPrEx>
          <w:tblLayout w:type="fixed"/>
          <w:tblCellMar>
            <w:top w:w="0" w:type="dxa"/>
            <w:left w:w="108" w:type="dxa"/>
            <w:bottom w:w="0" w:type="dxa"/>
            <w:right w:w="108" w:type="dxa"/>
          </w:tblCellMar>
        </w:tblPrEx>
        <w:trPr>
          <w:trHeight w:val="232" w:hRule="atLeast"/>
        </w:trPr>
        <w:tc>
          <w:tcPr>
            <w:tcW w:w="4230" w:type="dxa"/>
            <w:tcBorders>
              <w:top w:val="nil"/>
              <w:left w:val="nil"/>
              <w:bottom w:val="nil"/>
              <w:right w:val="nil"/>
            </w:tcBorders>
            <w:noWrap/>
            <w:vAlign w:val="center"/>
          </w:tcPr>
          <w:p>
            <w:pPr>
              <w:widowControl/>
              <w:spacing w:line="360" w:lineRule="auto"/>
              <w:rPr>
                <w:rFonts w:cs="宋体"/>
                <w:kern w:val="0"/>
                <w:sz w:val="24"/>
                <w:szCs w:val="24"/>
              </w:rPr>
            </w:pPr>
            <w:r>
              <w:rPr>
                <w:rFonts w:hint="eastAsia" w:cs="宋体"/>
                <w:kern w:val="0"/>
                <w:sz w:val="24"/>
                <w:szCs w:val="24"/>
              </w:rPr>
              <w:t xml:space="preserve">邮编：  </w:t>
            </w:r>
            <w:r>
              <w:rPr>
                <w:rFonts w:cs="宋体"/>
                <w:kern w:val="0"/>
                <w:sz w:val="24"/>
                <w:szCs w:val="24"/>
              </w:rPr>
              <w:t>365500</w:t>
            </w:r>
          </w:p>
        </w:tc>
        <w:tc>
          <w:tcPr>
            <w:tcW w:w="4086" w:type="dxa"/>
            <w:tcBorders>
              <w:top w:val="nil"/>
              <w:left w:val="nil"/>
              <w:bottom w:val="nil"/>
              <w:right w:val="nil"/>
            </w:tcBorders>
            <w:noWrap/>
            <w:vAlign w:val="center"/>
          </w:tcPr>
          <w:p>
            <w:pPr>
              <w:widowControl/>
              <w:spacing w:line="360" w:lineRule="auto"/>
              <w:rPr>
                <w:rFonts w:cs="宋体"/>
                <w:kern w:val="0"/>
                <w:sz w:val="24"/>
                <w:szCs w:val="24"/>
              </w:rPr>
            </w:pPr>
            <w:r>
              <w:rPr>
                <w:rFonts w:hint="eastAsia" w:cs="宋体"/>
                <w:kern w:val="0"/>
                <w:sz w:val="24"/>
                <w:szCs w:val="24"/>
              </w:rPr>
              <w:t>邮编：</w:t>
            </w:r>
          </w:p>
        </w:tc>
      </w:tr>
      <w:tr>
        <w:tblPrEx>
          <w:tblLayout w:type="fixed"/>
          <w:tblCellMar>
            <w:top w:w="0" w:type="dxa"/>
            <w:left w:w="108" w:type="dxa"/>
            <w:bottom w:w="0" w:type="dxa"/>
            <w:right w:w="108" w:type="dxa"/>
          </w:tblCellMar>
        </w:tblPrEx>
        <w:trPr>
          <w:trHeight w:val="232" w:hRule="atLeast"/>
        </w:trPr>
        <w:tc>
          <w:tcPr>
            <w:tcW w:w="4230" w:type="dxa"/>
            <w:tcBorders>
              <w:top w:val="nil"/>
              <w:left w:val="nil"/>
              <w:bottom w:val="nil"/>
              <w:right w:val="nil"/>
            </w:tcBorders>
            <w:noWrap/>
            <w:vAlign w:val="center"/>
          </w:tcPr>
          <w:p>
            <w:pPr>
              <w:widowControl/>
              <w:spacing w:line="360" w:lineRule="auto"/>
              <w:rPr>
                <w:rFonts w:cs="宋体"/>
                <w:kern w:val="0"/>
                <w:sz w:val="24"/>
                <w:szCs w:val="24"/>
              </w:rPr>
            </w:pPr>
            <w:r>
              <w:rPr>
                <w:rFonts w:hint="eastAsia" w:cs="宋体"/>
                <w:kern w:val="0"/>
                <w:sz w:val="24"/>
                <w:szCs w:val="24"/>
              </w:rPr>
              <w:t xml:space="preserve">法定代表人或授权代理人：            </w:t>
            </w:r>
          </w:p>
        </w:tc>
        <w:tc>
          <w:tcPr>
            <w:tcW w:w="4086" w:type="dxa"/>
            <w:tcBorders>
              <w:top w:val="nil"/>
              <w:left w:val="nil"/>
              <w:bottom w:val="nil"/>
              <w:right w:val="nil"/>
            </w:tcBorders>
            <w:noWrap/>
            <w:vAlign w:val="center"/>
          </w:tcPr>
          <w:p>
            <w:pPr>
              <w:widowControl/>
              <w:spacing w:line="360" w:lineRule="auto"/>
              <w:jc w:val="left"/>
              <w:rPr>
                <w:rFonts w:cs="宋体"/>
                <w:kern w:val="0"/>
                <w:sz w:val="24"/>
                <w:szCs w:val="24"/>
              </w:rPr>
            </w:pPr>
            <w:r>
              <w:rPr>
                <w:rFonts w:hint="eastAsia" w:cs="宋体"/>
                <w:kern w:val="0"/>
                <w:sz w:val="24"/>
                <w:szCs w:val="24"/>
              </w:rPr>
              <w:t>法定代表人或授权代理人：</w:t>
            </w:r>
          </w:p>
        </w:tc>
      </w:tr>
      <w:tr>
        <w:tblPrEx>
          <w:tblLayout w:type="fixed"/>
          <w:tblCellMar>
            <w:top w:w="0" w:type="dxa"/>
            <w:left w:w="108" w:type="dxa"/>
            <w:bottom w:w="0" w:type="dxa"/>
            <w:right w:w="108" w:type="dxa"/>
          </w:tblCellMar>
        </w:tblPrEx>
        <w:trPr>
          <w:trHeight w:val="232" w:hRule="atLeast"/>
        </w:trPr>
        <w:tc>
          <w:tcPr>
            <w:tcW w:w="4230" w:type="dxa"/>
            <w:tcBorders>
              <w:top w:val="nil"/>
              <w:left w:val="nil"/>
              <w:bottom w:val="nil"/>
              <w:right w:val="nil"/>
            </w:tcBorders>
            <w:noWrap/>
            <w:vAlign w:val="center"/>
          </w:tcPr>
          <w:p>
            <w:pPr>
              <w:widowControl/>
              <w:spacing w:line="360" w:lineRule="auto"/>
              <w:rPr>
                <w:rFonts w:cs="宋体"/>
                <w:kern w:val="0"/>
                <w:sz w:val="24"/>
                <w:szCs w:val="24"/>
              </w:rPr>
            </w:pPr>
            <w:r>
              <w:rPr>
                <w:rFonts w:hint="eastAsia" w:cs="宋体"/>
                <w:kern w:val="0"/>
                <w:sz w:val="24"/>
                <w:szCs w:val="24"/>
              </w:rPr>
              <w:t>电话：</w:t>
            </w:r>
          </w:p>
        </w:tc>
        <w:tc>
          <w:tcPr>
            <w:tcW w:w="4086" w:type="dxa"/>
            <w:tcBorders>
              <w:top w:val="nil"/>
              <w:left w:val="nil"/>
              <w:bottom w:val="nil"/>
              <w:right w:val="nil"/>
            </w:tcBorders>
            <w:noWrap/>
            <w:vAlign w:val="center"/>
          </w:tcPr>
          <w:p>
            <w:pPr>
              <w:widowControl/>
              <w:spacing w:line="360" w:lineRule="auto"/>
              <w:jc w:val="left"/>
              <w:rPr>
                <w:rFonts w:cs="宋体"/>
                <w:kern w:val="0"/>
                <w:sz w:val="24"/>
                <w:szCs w:val="24"/>
              </w:rPr>
            </w:pPr>
            <w:r>
              <w:rPr>
                <w:rFonts w:hint="eastAsia" w:cs="宋体"/>
                <w:kern w:val="0"/>
                <w:sz w:val="24"/>
                <w:szCs w:val="24"/>
              </w:rPr>
              <w:t xml:space="preserve">电话： </w:t>
            </w:r>
          </w:p>
        </w:tc>
      </w:tr>
      <w:tr>
        <w:tblPrEx>
          <w:tblLayout w:type="fixed"/>
          <w:tblCellMar>
            <w:top w:w="0" w:type="dxa"/>
            <w:left w:w="108" w:type="dxa"/>
            <w:bottom w:w="0" w:type="dxa"/>
            <w:right w:w="108" w:type="dxa"/>
          </w:tblCellMar>
        </w:tblPrEx>
        <w:trPr>
          <w:trHeight w:val="232" w:hRule="atLeast"/>
        </w:trPr>
        <w:tc>
          <w:tcPr>
            <w:tcW w:w="4230" w:type="dxa"/>
            <w:tcBorders>
              <w:top w:val="nil"/>
              <w:left w:val="nil"/>
              <w:bottom w:val="nil"/>
              <w:right w:val="nil"/>
            </w:tcBorders>
            <w:noWrap/>
            <w:vAlign w:val="center"/>
          </w:tcPr>
          <w:p>
            <w:pPr>
              <w:widowControl/>
              <w:spacing w:line="360" w:lineRule="auto"/>
              <w:rPr>
                <w:rFonts w:cs="宋体"/>
                <w:kern w:val="0"/>
                <w:sz w:val="24"/>
                <w:szCs w:val="24"/>
              </w:rPr>
            </w:pPr>
            <w:r>
              <w:rPr>
                <w:rFonts w:hint="eastAsia" w:cs="宋体"/>
                <w:kern w:val="0"/>
                <w:sz w:val="24"/>
                <w:szCs w:val="24"/>
              </w:rPr>
              <w:t xml:space="preserve">税号：    </w:t>
            </w:r>
          </w:p>
        </w:tc>
        <w:tc>
          <w:tcPr>
            <w:tcW w:w="4086" w:type="dxa"/>
            <w:tcBorders>
              <w:top w:val="nil"/>
              <w:left w:val="nil"/>
              <w:bottom w:val="nil"/>
              <w:right w:val="nil"/>
            </w:tcBorders>
            <w:noWrap/>
            <w:vAlign w:val="center"/>
          </w:tcPr>
          <w:p>
            <w:pPr>
              <w:widowControl/>
              <w:spacing w:line="360" w:lineRule="auto"/>
              <w:jc w:val="left"/>
              <w:rPr>
                <w:rFonts w:cs="宋体"/>
                <w:kern w:val="0"/>
                <w:sz w:val="24"/>
                <w:szCs w:val="24"/>
              </w:rPr>
            </w:pPr>
            <w:r>
              <w:rPr>
                <w:rFonts w:hint="eastAsia" w:cs="宋体"/>
                <w:kern w:val="0"/>
                <w:sz w:val="24"/>
                <w:szCs w:val="24"/>
              </w:rPr>
              <w:t>税号：</w:t>
            </w:r>
          </w:p>
        </w:tc>
      </w:tr>
      <w:tr>
        <w:tblPrEx>
          <w:tblLayout w:type="fixed"/>
          <w:tblCellMar>
            <w:top w:w="0" w:type="dxa"/>
            <w:left w:w="108" w:type="dxa"/>
            <w:bottom w:w="0" w:type="dxa"/>
            <w:right w:w="108" w:type="dxa"/>
          </w:tblCellMar>
        </w:tblPrEx>
        <w:trPr>
          <w:trHeight w:val="232" w:hRule="atLeast"/>
        </w:trPr>
        <w:tc>
          <w:tcPr>
            <w:tcW w:w="4230" w:type="dxa"/>
            <w:tcBorders>
              <w:top w:val="nil"/>
              <w:left w:val="nil"/>
              <w:bottom w:val="nil"/>
              <w:right w:val="nil"/>
            </w:tcBorders>
            <w:noWrap/>
            <w:vAlign w:val="center"/>
          </w:tcPr>
          <w:p>
            <w:pPr>
              <w:widowControl/>
              <w:spacing w:line="360" w:lineRule="auto"/>
              <w:rPr>
                <w:rFonts w:cs="宋体"/>
                <w:kern w:val="0"/>
                <w:sz w:val="24"/>
                <w:szCs w:val="24"/>
              </w:rPr>
            </w:pPr>
            <w:r>
              <w:rPr>
                <w:rFonts w:hint="eastAsia" w:cs="宋体"/>
                <w:kern w:val="0"/>
                <w:sz w:val="24"/>
                <w:szCs w:val="24"/>
              </w:rPr>
              <w:t xml:space="preserve">开户行： </w:t>
            </w:r>
          </w:p>
        </w:tc>
        <w:tc>
          <w:tcPr>
            <w:tcW w:w="4086" w:type="dxa"/>
            <w:tcBorders>
              <w:top w:val="nil"/>
              <w:left w:val="nil"/>
              <w:bottom w:val="nil"/>
              <w:right w:val="nil"/>
            </w:tcBorders>
            <w:noWrap/>
            <w:vAlign w:val="center"/>
          </w:tcPr>
          <w:p>
            <w:pPr>
              <w:widowControl/>
              <w:spacing w:line="360" w:lineRule="auto"/>
              <w:jc w:val="left"/>
              <w:rPr>
                <w:rFonts w:cs="宋体"/>
                <w:kern w:val="0"/>
                <w:sz w:val="24"/>
                <w:szCs w:val="24"/>
              </w:rPr>
            </w:pPr>
            <w:r>
              <w:rPr>
                <w:rFonts w:hint="eastAsia" w:cs="宋体"/>
                <w:kern w:val="0"/>
                <w:sz w:val="24"/>
                <w:szCs w:val="24"/>
              </w:rPr>
              <w:t xml:space="preserve">开户行： </w:t>
            </w:r>
          </w:p>
        </w:tc>
      </w:tr>
      <w:tr>
        <w:tblPrEx>
          <w:tblLayout w:type="fixed"/>
          <w:tblCellMar>
            <w:top w:w="0" w:type="dxa"/>
            <w:left w:w="108" w:type="dxa"/>
            <w:bottom w:w="0" w:type="dxa"/>
            <w:right w:w="108" w:type="dxa"/>
          </w:tblCellMar>
        </w:tblPrEx>
        <w:trPr>
          <w:trHeight w:val="232" w:hRule="atLeast"/>
        </w:trPr>
        <w:tc>
          <w:tcPr>
            <w:tcW w:w="4230" w:type="dxa"/>
            <w:tcBorders>
              <w:top w:val="nil"/>
              <w:left w:val="nil"/>
              <w:bottom w:val="nil"/>
              <w:right w:val="nil"/>
            </w:tcBorders>
            <w:noWrap/>
            <w:vAlign w:val="center"/>
          </w:tcPr>
          <w:p>
            <w:pPr>
              <w:widowControl/>
              <w:spacing w:line="360" w:lineRule="auto"/>
              <w:rPr>
                <w:rFonts w:cs="宋体"/>
                <w:kern w:val="0"/>
                <w:sz w:val="24"/>
                <w:szCs w:val="24"/>
              </w:rPr>
            </w:pPr>
            <w:r>
              <w:rPr>
                <w:rFonts w:hint="eastAsia" w:cs="宋体"/>
                <w:kern w:val="0"/>
                <w:sz w:val="24"/>
                <w:szCs w:val="24"/>
              </w:rPr>
              <w:t>账号：</w:t>
            </w:r>
            <w:r>
              <w:rPr>
                <w:rFonts w:cs="宋体"/>
                <w:kern w:val="0"/>
                <w:sz w:val="24"/>
                <w:szCs w:val="24"/>
              </w:rPr>
              <w:t xml:space="preserve"> </w:t>
            </w:r>
          </w:p>
        </w:tc>
        <w:tc>
          <w:tcPr>
            <w:tcW w:w="4086" w:type="dxa"/>
            <w:tcBorders>
              <w:top w:val="nil"/>
              <w:left w:val="nil"/>
              <w:bottom w:val="nil"/>
              <w:right w:val="nil"/>
            </w:tcBorders>
            <w:noWrap/>
            <w:vAlign w:val="center"/>
          </w:tcPr>
          <w:p>
            <w:pPr>
              <w:widowControl/>
              <w:spacing w:line="360" w:lineRule="auto"/>
              <w:jc w:val="left"/>
              <w:rPr>
                <w:rFonts w:cs="宋体"/>
                <w:kern w:val="0"/>
                <w:sz w:val="24"/>
                <w:szCs w:val="24"/>
              </w:rPr>
            </w:pPr>
            <w:r>
              <w:rPr>
                <w:rFonts w:hint="eastAsia" w:cs="宋体"/>
                <w:kern w:val="0"/>
                <w:sz w:val="24"/>
                <w:szCs w:val="24"/>
              </w:rPr>
              <w:t xml:space="preserve">账号： </w:t>
            </w:r>
          </w:p>
        </w:tc>
      </w:tr>
      <w:tr>
        <w:tblPrEx>
          <w:tblLayout w:type="fixed"/>
          <w:tblCellMar>
            <w:top w:w="0" w:type="dxa"/>
            <w:left w:w="108" w:type="dxa"/>
            <w:bottom w:w="0" w:type="dxa"/>
            <w:right w:w="108" w:type="dxa"/>
          </w:tblCellMar>
        </w:tblPrEx>
        <w:trPr>
          <w:trHeight w:val="232" w:hRule="atLeast"/>
        </w:trPr>
        <w:tc>
          <w:tcPr>
            <w:tcW w:w="4230" w:type="dxa"/>
            <w:tcBorders>
              <w:top w:val="nil"/>
              <w:left w:val="nil"/>
              <w:bottom w:val="nil"/>
              <w:right w:val="nil"/>
            </w:tcBorders>
            <w:noWrap/>
            <w:vAlign w:val="center"/>
          </w:tcPr>
          <w:p>
            <w:pPr>
              <w:widowControl/>
              <w:spacing w:line="360" w:lineRule="auto"/>
              <w:rPr>
                <w:rFonts w:cs="宋体"/>
                <w:kern w:val="0"/>
                <w:sz w:val="24"/>
                <w:szCs w:val="24"/>
              </w:rPr>
            </w:pPr>
            <w:r>
              <w:rPr>
                <w:rFonts w:hint="eastAsia" w:cs="宋体"/>
                <w:kern w:val="0"/>
                <w:sz w:val="24"/>
                <w:szCs w:val="24"/>
              </w:rPr>
              <w:t xml:space="preserve">签订日期：     年   月   日                 </w:t>
            </w:r>
          </w:p>
        </w:tc>
        <w:tc>
          <w:tcPr>
            <w:tcW w:w="4086" w:type="dxa"/>
            <w:tcBorders>
              <w:top w:val="nil"/>
              <w:left w:val="nil"/>
              <w:bottom w:val="nil"/>
              <w:right w:val="nil"/>
            </w:tcBorders>
            <w:noWrap/>
            <w:vAlign w:val="center"/>
          </w:tcPr>
          <w:p>
            <w:pPr>
              <w:widowControl/>
              <w:spacing w:line="360" w:lineRule="auto"/>
              <w:jc w:val="left"/>
              <w:rPr>
                <w:rFonts w:cs="宋体"/>
                <w:kern w:val="0"/>
                <w:sz w:val="24"/>
                <w:szCs w:val="24"/>
              </w:rPr>
            </w:pPr>
            <w:r>
              <w:rPr>
                <w:rFonts w:hint="eastAsia" w:cs="宋体"/>
                <w:kern w:val="0"/>
                <w:sz w:val="24"/>
                <w:szCs w:val="24"/>
              </w:rPr>
              <w:t>签订日期：    年   月   日</w:t>
            </w:r>
          </w:p>
        </w:tc>
      </w:tr>
      <w:bookmarkEnd w:id="913"/>
    </w:tbl>
    <w:p>
      <w:pPr>
        <w:pStyle w:val="38"/>
        <w:jc w:val="left"/>
        <w:sectPr>
          <w:headerReference r:id="rId3" w:type="default"/>
          <w:footerReference r:id="rId4" w:type="default"/>
          <w:pgSz w:w="11906" w:h="16838"/>
          <w:pgMar w:top="1440" w:right="1797" w:bottom="1440" w:left="1797" w:header="851" w:footer="992" w:gutter="0"/>
          <w:cols w:space="425" w:num="1"/>
          <w:docGrid w:linePitch="312" w:charSpace="0"/>
        </w:sectPr>
      </w:pPr>
    </w:p>
    <w:p>
      <w:pPr>
        <w:pStyle w:val="9"/>
        <w:spacing w:line="360" w:lineRule="auto"/>
        <w:ind w:firstLine="2209" w:firstLineChars="500"/>
        <w:outlineLvl w:val="0"/>
        <w:rPr>
          <w:rFonts w:cs="宋体"/>
          <w:b/>
          <w:bCs/>
          <w:sz w:val="44"/>
          <w:szCs w:val="44"/>
        </w:rPr>
      </w:pPr>
      <w:bookmarkStart w:id="914" w:name="_Toc8941"/>
      <w:bookmarkStart w:id="915" w:name="_Toc26845"/>
      <w:bookmarkStart w:id="916" w:name="_Toc29927"/>
      <w:bookmarkStart w:id="917" w:name="_Toc16154"/>
      <w:bookmarkStart w:id="918" w:name="_Toc4545"/>
      <w:bookmarkStart w:id="919" w:name="_Toc6144"/>
      <w:bookmarkStart w:id="920" w:name="_Toc22955"/>
      <w:r>
        <w:rPr>
          <w:rFonts w:hint="eastAsia" w:cs="宋体"/>
          <w:b/>
          <w:bCs/>
          <w:sz w:val="44"/>
          <w:szCs w:val="44"/>
        </w:rPr>
        <w:t>第六章  投标文件格式</w:t>
      </w:r>
      <w:bookmarkEnd w:id="914"/>
      <w:bookmarkEnd w:id="915"/>
      <w:bookmarkEnd w:id="916"/>
      <w:bookmarkEnd w:id="917"/>
      <w:bookmarkEnd w:id="918"/>
      <w:bookmarkEnd w:id="919"/>
      <w:bookmarkEnd w:id="920"/>
    </w:p>
    <w:p>
      <w:pPr>
        <w:pStyle w:val="9"/>
        <w:spacing w:line="360" w:lineRule="auto"/>
        <w:jc w:val="right"/>
        <w:rPr>
          <w:rFonts w:cs="宋体"/>
          <w:b/>
          <w:bCs/>
          <w:sz w:val="72"/>
          <w:szCs w:val="72"/>
        </w:rPr>
      </w:pPr>
      <w:r>
        <w:rPr>
          <w:rFonts w:hint="eastAsia" w:cs="宋体"/>
          <w:b/>
          <w:bCs/>
          <w:sz w:val="36"/>
          <w:szCs w:val="36"/>
        </w:rPr>
        <w:t xml:space="preserve">  （正/副本）</w:t>
      </w:r>
    </w:p>
    <w:p>
      <w:pPr>
        <w:spacing w:line="360" w:lineRule="auto"/>
        <w:jc w:val="center"/>
        <w:rPr>
          <w:rFonts w:cs="宋体"/>
          <w:b/>
          <w:bCs/>
          <w:sz w:val="72"/>
          <w:szCs w:val="72"/>
        </w:rPr>
      </w:pPr>
      <w:r>
        <w:rPr>
          <w:rFonts w:hint="eastAsia" w:cs="宋体"/>
          <w:b/>
          <w:bCs/>
          <w:sz w:val="72"/>
          <w:szCs w:val="72"/>
        </w:rPr>
        <w:t xml:space="preserve"> </w:t>
      </w:r>
    </w:p>
    <w:p>
      <w:pPr>
        <w:spacing w:line="360" w:lineRule="auto"/>
        <w:jc w:val="center"/>
        <w:outlineLvl w:val="1"/>
        <w:rPr>
          <w:rFonts w:cs="宋体"/>
          <w:b/>
          <w:bCs/>
          <w:sz w:val="72"/>
          <w:szCs w:val="72"/>
        </w:rPr>
      </w:pPr>
      <w:bookmarkStart w:id="921" w:name="_Toc12906"/>
      <w:bookmarkStart w:id="922" w:name="_Toc13009"/>
      <w:bookmarkStart w:id="923" w:name="_Toc25546"/>
      <w:bookmarkStart w:id="924" w:name="_Toc4491"/>
      <w:bookmarkStart w:id="925" w:name="_Toc12855"/>
      <w:bookmarkStart w:id="926" w:name="_Toc29159"/>
      <w:bookmarkStart w:id="927" w:name="_Toc5226"/>
      <w:r>
        <w:rPr>
          <w:rFonts w:hint="eastAsia" w:cs="宋体"/>
          <w:b/>
          <w:bCs/>
          <w:sz w:val="72"/>
          <w:szCs w:val="72"/>
        </w:rPr>
        <w:t>投  标  文  件</w:t>
      </w:r>
      <w:bookmarkEnd w:id="921"/>
      <w:bookmarkEnd w:id="922"/>
      <w:bookmarkEnd w:id="923"/>
      <w:bookmarkEnd w:id="924"/>
      <w:bookmarkEnd w:id="925"/>
      <w:bookmarkEnd w:id="926"/>
      <w:bookmarkEnd w:id="927"/>
    </w:p>
    <w:p>
      <w:pPr>
        <w:spacing w:line="360" w:lineRule="auto"/>
        <w:jc w:val="center"/>
        <w:outlineLvl w:val="1"/>
        <w:rPr>
          <w:rFonts w:cs="宋体"/>
          <w:b/>
          <w:bCs/>
          <w:sz w:val="36"/>
          <w:szCs w:val="36"/>
        </w:rPr>
      </w:pPr>
      <w:bookmarkStart w:id="928" w:name="_Toc20363"/>
      <w:bookmarkStart w:id="929" w:name="_Toc16524"/>
      <w:bookmarkStart w:id="930" w:name="_Toc4659"/>
      <w:bookmarkStart w:id="931" w:name="_Toc7964"/>
      <w:bookmarkStart w:id="932" w:name="_Toc15805"/>
      <w:bookmarkStart w:id="933" w:name="_Toc10513"/>
      <w:bookmarkStart w:id="934" w:name="_Toc24934"/>
      <w:r>
        <w:rPr>
          <w:rFonts w:hint="eastAsia" w:cs="宋体"/>
          <w:b/>
          <w:bCs/>
          <w:sz w:val="36"/>
          <w:szCs w:val="36"/>
        </w:rPr>
        <w:t>（资格文件）</w:t>
      </w:r>
      <w:bookmarkEnd w:id="928"/>
      <w:bookmarkEnd w:id="929"/>
      <w:bookmarkEnd w:id="930"/>
      <w:bookmarkEnd w:id="931"/>
      <w:bookmarkEnd w:id="932"/>
      <w:bookmarkEnd w:id="933"/>
      <w:bookmarkEnd w:id="934"/>
    </w:p>
    <w:p>
      <w:pPr>
        <w:spacing w:line="360" w:lineRule="auto"/>
        <w:jc w:val="center"/>
        <w:rPr>
          <w:rFonts w:cs="宋体"/>
          <w:b/>
          <w:bCs/>
          <w:sz w:val="36"/>
          <w:szCs w:val="36"/>
        </w:rPr>
      </w:pPr>
      <w:r>
        <w:rPr>
          <w:rFonts w:hint="eastAsia" w:cs="宋体"/>
          <w:b/>
          <w:bCs/>
          <w:sz w:val="36"/>
          <w:szCs w:val="36"/>
        </w:rPr>
        <w:t xml:space="preserve"> </w:t>
      </w:r>
    </w:p>
    <w:p>
      <w:pPr>
        <w:spacing w:line="360" w:lineRule="auto"/>
        <w:ind w:firstLine="1084" w:firstLineChars="300"/>
        <w:rPr>
          <w:rFonts w:cs="宋体"/>
          <w:b/>
          <w:bCs/>
          <w:sz w:val="36"/>
          <w:szCs w:val="36"/>
        </w:rPr>
      </w:pPr>
      <w:r>
        <w:rPr>
          <w:rFonts w:hint="eastAsia" w:cs="宋体"/>
          <w:b/>
          <w:bCs/>
          <w:sz w:val="36"/>
          <w:szCs w:val="36"/>
        </w:rPr>
        <w:t>项 目 名 称：</w:t>
      </w:r>
      <w:r>
        <w:rPr>
          <w:rFonts w:hint="eastAsia" w:cs="宋体"/>
          <w:b/>
          <w:bCs/>
          <w:sz w:val="36"/>
          <w:szCs w:val="36"/>
          <w:u w:val="single"/>
        </w:rPr>
        <w:t xml:space="preserve">               </w:t>
      </w:r>
    </w:p>
    <w:p>
      <w:pPr>
        <w:spacing w:line="360" w:lineRule="auto"/>
        <w:ind w:firstLine="1084" w:firstLineChars="300"/>
        <w:rPr>
          <w:rFonts w:cs="宋体"/>
          <w:b/>
          <w:bCs/>
          <w:sz w:val="36"/>
          <w:szCs w:val="36"/>
          <w:u w:val="single"/>
        </w:rPr>
      </w:pPr>
      <w:r>
        <w:rPr>
          <w:rFonts w:hint="eastAsia" w:cs="宋体"/>
          <w:b/>
          <w:bCs/>
          <w:sz w:val="36"/>
          <w:szCs w:val="36"/>
        </w:rPr>
        <w:t>招 标 编 号：</w:t>
      </w:r>
      <w:r>
        <w:rPr>
          <w:rFonts w:hint="eastAsia" w:cs="宋体"/>
          <w:b/>
          <w:bCs/>
          <w:sz w:val="36"/>
          <w:szCs w:val="36"/>
          <w:u w:val="single"/>
        </w:rPr>
        <w:t xml:space="preserve">               </w:t>
      </w:r>
    </w:p>
    <w:p>
      <w:pPr>
        <w:spacing w:line="360" w:lineRule="auto"/>
        <w:rPr>
          <w:rFonts w:cs="宋体"/>
          <w:b/>
          <w:bCs/>
          <w:sz w:val="36"/>
          <w:szCs w:val="36"/>
        </w:rPr>
      </w:pPr>
      <w:r>
        <w:rPr>
          <w:rFonts w:hint="eastAsia" w:cs="宋体"/>
          <w:b/>
          <w:bCs/>
          <w:sz w:val="36"/>
          <w:szCs w:val="36"/>
        </w:rPr>
        <w:t xml:space="preserve"> </w:t>
      </w:r>
    </w:p>
    <w:p>
      <w:pPr>
        <w:spacing w:line="360" w:lineRule="auto"/>
        <w:rPr>
          <w:rFonts w:cs="宋体"/>
          <w:b/>
          <w:bCs/>
          <w:sz w:val="36"/>
          <w:szCs w:val="36"/>
        </w:rPr>
      </w:pPr>
      <w:r>
        <w:rPr>
          <w:rFonts w:hint="eastAsia" w:cs="宋体"/>
          <w:b/>
          <w:bCs/>
          <w:sz w:val="36"/>
          <w:szCs w:val="36"/>
        </w:rPr>
        <w:t xml:space="preserve"> </w:t>
      </w:r>
    </w:p>
    <w:p>
      <w:pPr>
        <w:spacing w:line="360" w:lineRule="auto"/>
        <w:rPr>
          <w:rFonts w:cs="宋体"/>
          <w:b/>
          <w:bCs/>
          <w:sz w:val="36"/>
          <w:szCs w:val="36"/>
        </w:rPr>
      </w:pPr>
      <w:r>
        <w:rPr>
          <w:rFonts w:hint="eastAsia" w:cs="宋体"/>
          <w:b/>
          <w:bCs/>
          <w:sz w:val="36"/>
          <w:szCs w:val="36"/>
        </w:rPr>
        <w:t xml:space="preserve"> </w:t>
      </w:r>
    </w:p>
    <w:p>
      <w:pPr>
        <w:spacing w:line="360" w:lineRule="auto"/>
        <w:rPr>
          <w:rFonts w:cs="宋体"/>
          <w:b/>
          <w:bCs/>
          <w:sz w:val="36"/>
          <w:szCs w:val="36"/>
        </w:rPr>
      </w:pPr>
      <w:r>
        <w:rPr>
          <w:rFonts w:hint="eastAsia" w:cs="宋体"/>
          <w:b/>
          <w:bCs/>
          <w:sz w:val="36"/>
          <w:szCs w:val="36"/>
        </w:rPr>
        <w:t xml:space="preserve"> </w:t>
      </w:r>
    </w:p>
    <w:p>
      <w:pPr>
        <w:spacing w:line="360" w:lineRule="auto"/>
        <w:rPr>
          <w:rFonts w:cs="宋体"/>
          <w:b/>
          <w:bCs/>
          <w:sz w:val="36"/>
          <w:szCs w:val="36"/>
          <w:u w:val="single"/>
        </w:rPr>
      </w:pPr>
      <w:r>
        <w:rPr>
          <w:rFonts w:hint="eastAsia" w:cs="宋体"/>
          <w:b/>
          <w:bCs/>
          <w:sz w:val="36"/>
          <w:szCs w:val="36"/>
        </w:rPr>
        <w:t xml:space="preserve">       投标人名称 ：</w:t>
      </w:r>
      <w:r>
        <w:rPr>
          <w:rFonts w:hint="eastAsia" w:cs="宋体"/>
          <w:b/>
          <w:bCs/>
          <w:sz w:val="36"/>
          <w:szCs w:val="36"/>
          <w:u w:val="single"/>
        </w:rPr>
        <w:t xml:space="preserve">               </w:t>
      </w:r>
    </w:p>
    <w:p>
      <w:pPr>
        <w:spacing w:line="360" w:lineRule="auto"/>
        <w:rPr>
          <w:rFonts w:cs="宋体"/>
          <w:b/>
          <w:bCs/>
          <w:sz w:val="36"/>
          <w:szCs w:val="36"/>
        </w:rPr>
      </w:pPr>
      <w:r>
        <w:rPr>
          <w:rFonts w:hint="eastAsia" w:cs="宋体"/>
          <w:b/>
          <w:bCs/>
          <w:sz w:val="36"/>
          <w:szCs w:val="36"/>
        </w:rPr>
        <w:t xml:space="preserve">       日      期 ：</w:t>
      </w:r>
      <w:r>
        <w:rPr>
          <w:rFonts w:hint="eastAsia" w:cs="宋体"/>
          <w:b/>
          <w:bCs/>
          <w:sz w:val="36"/>
          <w:szCs w:val="36"/>
          <w:u w:val="single"/>
        </w:rPr>
        <w:t xml:space="preserve">               </w:t>
      </w:r>
    </w:p>
    <w:p>
      <w:pPr>
        <w:autoSpaceDE/>
        <w:autoSpaceDN/>
        <w:adjustRightInd/>
        <w:spacing w:line="360" w:lineRule="auto"/>
        <w:jc w:val="left"/>
        <w:rPr>
          <w:rFonts w:cs="宋体"/>
          <w:kern w:val="0"/>
          <w:sz w:val="36"/>
          <w:szCs w:val="36"/>
        </w:rPr>
      </w:pPr>
      <w:r>
        <w:rPr>
          <w:rFonts w:hint="eastAsia" w:cs="宋体"/>
          <w:sz w:val="24"/>
        </w:rPr>
        <w:t xml:space="preserve"> </w:t>
      </w:r>
    </w:p>
    <w:p>
      <w:pPr>
        <w:autoSpaceDE w:val="0"/>
        <w:autoSpaceDN w:val="0"/>
        <w:adjustRightInd w:val="0"/>
        <w:spacing w:line="480" w:lineRule="auto"/>
        <w:jc w:val="center"/>
        <w:rPr>
          <w:rFonts w:cs="宋体"/>
          <w:kern w:val="0"/>
          <w:sz w:val="36"/>
          <w:szCs w:val="36"/>
        </w:rPr>
      </w:pPr>
      <w:r>
        <w:rPr>
          <w:rFonts w:hint="eastAsia" w:cs="宋体"/>
          <w:kern w:val="0"/>
          <w:sz w:val="36"/>
          <w:szCs w:val="36"/>
        </w:rPr>
        <w:t>目 录</w:t>
      </w:r>
    </w:p>
    <w:p>
      <w:pPr>
        <w:autoSpaceDE w:val="0"/>
        <w:autoSpaceDN w:val="0"/>
        <w:adjustRightInd w:val="0"/>
        <w:spacing w:line="480" w:lineRule="auto"/>
        <w:jc w:val="left"/>
        <w:rPr>
          <w:rFonts w:cs="宋体"/>
          <w:kern w:val="0"/>
          <w:sz w:val="28"/>
          <w:szCs w:val="28"/>
        </w:rPr>
      </w:pPr>
      <w:r>
        <w:rPr>
          <w:rFonts w:hint="eastAsia" w:cs="宋体"/>
          <w:kern w:val="0"/>
          <w:sz w:val="28"/>
          <w:szCs w:val="28"/>
        </w:rPr>
        <w:t>一、投标函</w:t>
      </w:r>
    </w:p>
    <w:p>
      <w:pPr>
        <w:autoSpaceDE w:val="0"/>
        <w:autoSpaceDN w:val="0"/>
        <w:adjustRightInd w:val="0"/>
        <w:spacing w:line="480" w:lineRule="auto"/>
        <w:jc w:val="left"/>
        <w:rPr>
          <w:rFonts w:cs="宋体"/>
          <w:kern w:val="0"/>
          <w:sz w:val="28"/>
          <w:szCs w:val="28"/>
        </w:rPr>
      </w:pPr>
      <w:r>
        <w:rPr>
          <w:rFonts w:hint="eastAsia" w:cs="宋体"/>
          <w:kern w:val="0"/>
          <w:sz w:val="28"/>
          <w:szCs w:val="28"/>
        </w:rPr>
        <w:t>二、开标一览表</w:t>
      </w:r>
    </w:p>
    <w:p>
      <w:pPr>
        <w:autoSpaceDE w:val="0"/>
        <w:autoSpaceDN w:val="0"/>
        <w:adjustRightInd w:val="0"/>
        <w:spacing w:line="480" w:lineRule="auto"/>
        <w:jc w:val="left"/>
        <w:rPr>
          <w:rFonts w:cs="宋体"/>
          <w:kern w:val="0"/>
          <w:sz w:val="28"/>
          <w:szCs w:val="28"/>
        </w:rPr>
      </w:pPr>
      <w:r>
        <w:rPr>
          <w:rFonts w:hint="eastAsia" w:cs="宋体"/>
          <w:kern w:val="0"/>
          <w:sz w:val="28"/>
          <w:szCs w:val="28"/>
        </w:rPr>
        <w:t>三、分项报价表</w:t>
      </w:r>
    </w:p>
    <w:p>
      <w:pPr>
        <w:autoSpaceDE w:val="0"/>
        <w:autoSpaceDN w:val="0"/>
        <w:adjustRightInd w:val="0"/>
        <w:spacing w:line="480" w:lineRule="auto"/>
        <w:jc w:val="left"/>
        <w:rPr>
          <w:rFonts w:cs="宋体"/>
          <w:kern w:val="0"/>
          <w:sz w:val="28"/>
          <w:szCs w:val="28"/>
        </w:rPr>
      </w:pPr>
      <w:r>
        <w:rPr>
          <w:rFonts w:hint="eastAsia" w:cs="宋体"/>
          <w:kern w:val="0"/>
          <w:sz w:val="28"/>
          <w:szCs w:val="28"/>
        </w:rPr>
        <w:t>四、投标人资格证明文件</w:t>
      </w:r>
    </w:p>
    <w:p>
      <w:pPr>
        <w:autoSpaceDE w:val="0"/>
        <w:autoSpaceDN w:val="0"/>
        <w:adjustRightInd w:val="0"/>
        <w:spacing w:line="480" w:lineRule="auto"/>
        <w:jc w:val="left"/>
        <w:rPr>
          <w:rFonts w:cs="宋体"/>
          <w:kern w:val="0"/>
          <w:sz w:val="28"/>
          <w:szCs w:val="28"/>
        </w:rPr>
      </w:pPr>
      <w:r>
        <w:rPr>
          <w:rFonts w:hint="eastAsia" w:cs="宋体"/>
          <w:kern w:val="0"/>
          <w:sz w:val="28"/>
          <w:szCs w:val="28"/>
        </w:rPr>
        <w:t>五、带“★”号条款响应表</w:t>
      </w:r>
    </w:p>
    <w:p>
      <w:pPr>
        <w:autoSpaceDE w:val="0"/>
        <w:autoSpaceDN w:val="0"/>
        <w:adjustRightInd w:val="0"/>
        <w:spacing w:line="480" w:lineRule="auto"/>
        <w:jc w:val="left"/>
        <w:rPr>
          <w:rFonts w:cs="宋体"/>
          <w:kern w:val="0"/>
          <w:sz w:val="28"/>
          <w:szCs w:val="28"/>
        </w:rPr>
      </w:pPr>
      <w:r>
        <w:rPr>
          <w:rFonts w:hint="eastAsia" w:cs="宋体"/>
          <w:kern w:val="0"/>
          <w:sz w:val="28"/>
          <w:szCs w:val="28"/>
        </w:rPr>
        <w:t>六、法定代表人资格证明书</w:t>
      </w:r>
    </w:p>
    <w:p>
      <w:pPr>
        <w:autoSpaceDE w:val="0"/>
        <w:autoSpaceDN w:val="0"/>
        <w:adjustRightInd w:val="0"/>
        <w:spacing w:line="480" w:lineRule="auto"/>
        <w:jc w:val="left"/>
        <w:rPr>
          <w:rFonts w:cs="宋体"/>
          <w:kern w:val="0"/>
          <w:sz w:val="28"/>
          <w:szCs w:val="28"/>
        </w:rPr>
      </w:pPr>
      <w:r>
        <w:rPr>
          <w:rFonts w:hint="eastAsia" w:cs="宋体"/>
          <w:kern w:val="0"/>
          <w:sz w:val="28"/>
          <w:szCs w:val="28"/>
        </w:rPr>
        <w:t>七、授权委托书</w:t>
      </w:r>
    </w:p>
    <w:p>
      <w:pPr>
        <w:autoSpaceDE w:val="0"/>
        <w:autoSpaceDN w:val="0"/>
        <w:adjustRightInd w:val="0"/>
        <w:spacing w:line="480" w:lineRule="auto"/>
        <w:jc w:val="left"/>
        <w:rPr>
          <w:rFonts w:cs="宋体"/>
          <w:kern w:val="0"/>
          <w:sz w:val="28"/>
          <w:szCs w:val="28"/>
        </w:rPr>
      </w:pPr>
      <w:r>
        <w:rPr>
          <w:rFonts w:hint="eastAsia" w:cs="宋体"/>
          <w:kern w:val="0"/>
          <w:sz w:val="28"/>
          <w:szCs w:val="28"/>
        </w:rPr>
        <w:t>八、投标保证金缴交凭证</w:t>
      </w:r>
    </w:p>
    <w:p>
      <w:pPr>
        <w:autoSpaceDE w:val="0"/>
        <w:autoSpaceDN w:val="0"/>
        <w:adjustRightInd w:val="0"/>
        <w:spacing w:line="480" w:lineRule="auto"/>
        <w:jc w:val="left"/>
        <w:rPr>
          <w:rFonts w:cs="宋体"/>
          <w:kern w:val="0"/>
          <w:sz w:val="28"/>
          <w:szCs w:val="28"/>
        </w:rPr>
      </w:pPr>
      <w:r>
        <w:rPr>
          <w:rFonts w:hint="eastAsia" w:cs="宋体"/>
          <w:kern w:val="0"/>
          <w:sz w:val="28"/>
          <w:szCs w:val="28"/>
        </w:rPr>
        <w:t>九、投标人基本账户信息</w:t>
      </w:r>
    </w:p>
    <w:p>
      <w:pPr>
        <w:autoSpaceDE w:val="0"/>
        <w:autoSpaceDN w:val="0"/>
        <w:adjustRightInd w:val="0"/>
        <w:spacing w:line="480" w:lineRule="auto"/>
        <w:jc w:val="left"/>
        <w:rPr>
          <w:rFonts w:cs="宋体"/>
          <w:kern w:val="0"/>
          <w:sz w:val="28"/>
          <w:szCs w:val="28"/>
        </w:rPr>
      </w:pPr>
      <w:r>
        <w:rPr>
          <w:rFonts w:hint="eastAsia" w:cs="宋体"/>
          <w:kern w:val="0"/>
          <w:sz w:val="28"/>
          <w:szCs w:val="28"/>
        </w:rPr>
        <w:t>十、投标人提交的其它资料</w:t>
      </w:r>
    </w:p>
    <w:p>
      <w:pPr>
        <w:autoSpaceDE w:val="0"/>
        <w:autoSpaceDN w:val="0"/>
        <w:adjustRightInd w:val="0"/>
        <w:jc w:val="left"/>
        <w:rPr>
          <w:rFonts w:cs="宋体"/>
          <w:kern w:val="0"/>
          <w:sz w:val="24"/>
          <w:szCs w:val="24"/>
        </w:rPr>
      </w:pPr>
    </w:p>
    <w:p>
      <w:pPr>
        <w:rPr>
          <w:sz w:val="28"/>
          <w:szCs w:val="28"/>
        </w:rPr>
      </w:pPr>
    </w:p>
    <w:p>
      <w:pPr>
        <w:keepNext/>
        <w:keepLines/>
        <w:spacing w:before="120" w:beforeLines="50" w:after="120" w:afterLines="50" w:line="415" w:lineRule="auto"/>
        <w:jc w:val="center"/>
        <w:rPr>
          <w:rFonts w:cs="宋体"/>
          <w:b/>
          <w:bCs/>
          <w:kern w:val="0"/>
          <w:sz w:val="28"/>
          <w:szCs w:val="28"/>
        </w:rPr>
      </w:pPr>
      <w:bookmarkStart w:id="935" w:name="_Toc148459146"/>
      <w:r>
        <w:rPr>
          <w:rFonts w:hint="eastAsia" w:cs="宋体"/>
          <w:b/>
          <w:bCs/>
          <w:kern w:val="0"/>
          <w:sz w:val="28"/>
          <w:szCs w:val="28"/>
        </w:rPr>
        <w:t>一、投 标 函</w:t>
      </w:r>
      <w:bookmarkEnd w:id="935"/>
    </w:p>
    <w:p>
      <w:pPr>
        <w:snapToGrid w:val="0"/>
        <w:spacing w:line="400" w:lineRule="exact"/>
        <w:rPr>
          <w:rFonts w:cs="宋体"/>
          <w:sz w:val="24"/>
        </w:rPr>
      </w:pPr>
      <w:r>
        <w:rPr>
          <w:rFonts w:hint="eastAsia" w:cs="宋体"/>
          <w:sz w:val="24"/>
        </w:rPr>
        <w:t>致：</w:t>
      </w:r>
      <w:r>
        <w:rPr>
          <w:rFonts w:hint="eastAsia" w:cs="宋体"/>
          <w:sz w:val="24"/>
          <w:u w:val="single"/>
        </w:rPr>
        <w:t>厦工（三明）重型机器有限公司</w:t>
      </w:r>
    </w:p>
    <w:p>
      <w:pPr>
        <w:snapToGrid w:val="0"/>
        <w:spacing w:line="400" w:lineRule="exact"/>
        <w:ind w:firstLine="480" w:firstLineChars="200"/>
        <w:rPr>
          <w:rFonts w:cs="宋体"/>
          <w:sz w:val="24"/>
        </w:rPr>
      </w:pPr>
      <w:r>
        <w:rPr>
          <w:rFonts w:hint="eastAsia" w:cs="宋体"/>
          <w:sz w:val="24"/>
        </w:rPr>
        <w:t>根据贵方为</w:t>
      </w:r>
      <w:r>
        <w:rPr>
          <w:rFonts w:hint="eastAsia" w:cs="宋体"/>
          <w:sz w:val="24"/>
          <w:u w:val="single"/>
        </w:rPr>
        <w:t xml:space="preserve">       </w:t>
      </w:r>
      <w:r>
        <w:rPr>
          <w:rFonts w:hint="eastAsia" w:cs="宋体"/>
          <w:sz w:val="24"/>
        </w:rPr>
        <w:t>项目的投标邀请（招标编号：</w:t>
      </w:r>
      <w:r>
        <w:rPr>
          <w:rFonts w:hint="eastAsia" w:cs="宋体"/>
          <w:sz w:val="24"/>
          <w:u w:val="single"/>
        </w:rPr>
        <w:t xml:space="preserve">         </w:t>
      </w:r>
      <w:r>
        <w:rPr>
          <w:rFonts w:hint="eastAsia" w:cs="宋体"/>
          <w:sz w:val="24"/>
        </w:rPr>
        <w:t>），本签字代表</w:t>
      </w:r>
      <w:r>
        <w:rPr>
          <w:rFonts w:hint="eastAsia" w:cs="宋体"/>
          <w:sz w:val="24"/>
          <w:u w:val="single"/>
        </w:rPr>
        <w:t>（全名、职务）</w:t>
      </w:r>
      <w:r>
        <w:rPr>
          <w:rFonts w:hint="eastAsia" w:cs="宋体"/>
          <w:sz w:val="24"/>
        </w:rPr>
        <w:t>经正式授权并代表投标人</w:t>
      </w:r>
      <w:r>
        <w:rPr>
          <w:rFonts w:hint="eastAsia" w:cs="宋体"/>
          <w:sz w:val="24"/>
          <w:u w:val="single"/>
        </w:rPr>
        <w:t>（投标人名称、地址）</w:t>
      </w:r>
      <w:r>
        <w:rPr>
          <w:rFonts w:hint="eastAsia" w:cs="宋体"/>
          <w:sz w:val="24"/>
        </w:rPr>
        <w:t>提交下述文件：</w:t>
      </w:r>
    </w:p>
    <w:p>
      <w:pPr>
        <w:adjustRightInd w:val="0"/>
        <w:snapToGrid w:val="0"/>
        <w:spacing w:line="400" w:lineRule="exact"/>
        <w:ind w:firstLine="480" w:firstLineChars="200"/>
        <w:rPr>
          <w:rFonts w:cs="宋体"/>
          <w:sz w:val="24"/>
        </w:rPr>
      </w:pPr>
      <w:r>
        <w:rPr>
          <w:rFonts w:hint="eastAsia" w:cs="宋体"/>
          <w:sz w:val="24"/>
        </w:rPr>
        <w:t>1、投标文件内容：</w:t>
      </w:r>
    </w:p>
    <w:p>
      <w:pPr>
        <w:adjustRightInd w:val="0"/>
        <w:snapToGrid w:val="0"/>
        <w:spacing w:line="400" w:lineRule="exact"/>
        <w:ind w:firstLine="480" w:firstLineChars="200"/>
        <w:rPr>
          <w:rFonts w:cs="宋体"/>
          <w:sz w:val="24"/>
        </w:rPr>
      </w:pPr>
      <w:r>
        <w:rPr>
          <w:rFonts w:hint="eastAsia" w:cs="宋体"/>
          <w:sz w:val="24"/>
        </w:rPr>
        <w:t xml:space="preserve">1.1资格文件 </w:t>
      </w:r>
    </w:p>
    <w:p>
      <w:pPr>
        <w:adjustRightInd w:val="0"/>
        <w:snapToGrid w:val="0"/>
        <w:spacing w:line="400" w:lineRule="exact"/>
        <w:ind w:firstLine="480" w:firstLineChars="200"/>
        <w:rPr>
          <w:rFonts w:cs="宋体"/>
          <w:sz w:val="24"/>
        </w:rPr>
      </w:pPr>
      <w:r>
        <w:rPr>
          <w:rFonts w:hint="eastAsia" w:cs="宋体"/>
          <w:sz w:val="24"/>
        </w:rPr>
        <w:t>1.2技术文件</w:t>
      </w:r>
    </w:p>
    <w:p>
      <w:pPr>
        <w:adjustRightInd w:val="0"/>
        <w:snapToGrid w:val="0"/>
        <w:spacing w:line="400" w:lineRule="exact"/>
        <w:ind w:firstLine="480" w:firstLineChars="200"/>
        <w:rPr>
          <w:rFonts w:cs="宋体"/>
          <w:sz w:val="24"/>
        </w:rPr>
      </w:pPr>
      <w:r>
        <w:rPr>
          <w:rFonts w:hint="eastAsia" w:cs="宋体"/>
          <w:sz w:val="24"/>
        </w:rPr>
        <w:t xml:space="preserve">1.3商务文件         </w:t>
      </w:r>
    </w:p>
    <w:p>
      <w:pPr>
        <w:adjustRightInd w:val="0"/>
        <w:snapToGrid w:val="0"/>
        <w:spacing w:line="400" w:lineRule="exact"/>
        <w:ind w:firstLine="480" w:firstLineChars="200"/>
        <w:rPr>
          <w:rFonts w:cs="宋体"/>
          <w:sz w:val="24"/>
        </w:rPr>
      </w:pPr>
      <w:r>
        <w:rPr>
          <w:rFonts w:hint="eastAsia" w:cs="宋体"/>
          <w:sz w:val="24"/>
        </w:rPr>
        <w:t>1.4以</w:t>
      </w:r>
      <w:r>
        <w:rPr>
          <w:rFonts w:hint="eastAsia" w:cs="宋体"/>
          <w:sz w:val="24"/>
          <w:u w:val="single"/>
        </w:rPr>
        <w:t xml:space="preserve">      </w:t>
      </w:r>
      <w:r>
        <w:rPr>
          <w:rFonts w:hint="eastAsia" w:cs="宋体"/>
          <w:sz w:val="24"/>
        </w:rPr>
        <w:t>方式提供的金额为人民币</w:t>
      </w:r>
      <w:r>
        <w:rPr>
          <w:rFonts w:hint="eastAsia" w:cs="宋体"/>
          <w:sz w:val="24"/>
          <w:u w:val="single"/>
        </w:rPr>
        <w:t xml:space="preserve">       </w:t>
      </w:r>
      <w:r>
        <w:rPr>
          <w:rFonts w:hint="eastAsia" w:cs="宋体"/>
          <w:sz w:val="24"/>
        </w:rPr>
        <w:t>元的投标保证金。</w:t>
      </w:r>
    </w:p>
    <w:p>
      <w:pPr>
        <w:adjustRightInd w:val="0"/>
        <w:snapToGrid w:val="0"/>
        <w:spacing w:line="400" w:lineRule="exact"/>
        <w:ind w:firstLine="480" w:firstLineChars="200"/>
        <w:rPr>
          <w:rFonts w:cs="宋体"/>
          <w:sz w:val="24"/>
        </w:rPr>
      </w:pPr>
      <w:r>
        <w:rPr>
          <w:rFonts w:hint="eastAsia" w:cs="宋体"/>
          <w:sz w:val="24"/>
        </w:rPr>
        <w:t>据此函，签字代表宣布同意如下：</w:t>
      </w:r>
    </w:p>
    <w:p>
      <w:pPr>
        <w:adjustRightInd w:val="0"/>
        <w:snapToGrid w:val="0"/>
        <w:spacing w:line="400" w:lineRule="exact"/>
        <w:ind w:firstLine="480" w:firstLineChars="200"/>
        <w:rPr>
          <w:rFonts w:cs="宋体"/>
          <w:sz w:val="24"/>
        </w:rPr>
      </w:pPr>
      <w:r>
        <w:rPr>
          <w:rFonts w:hint="eastAsia" w:cs="宋体"/>
          <w:sz w:val="24"/>
        </w:rPr>
        <w:t>1.按本投标文件开标一览表中的价格进行报价。</w:t>
      </w:r>
    </w:p>
    <w:p>
      <w:pPr>
        <w:adjustRightInd w:val="0"/>
        <w:snapToGrid w:val="0"/>
        <w:spacing w:line="400" w:lineRule="exact"/>
        <w:ind w:firstLine="480" w:firstLineChars="200"/>
        <w:rPr>
          <w:rFonts w:cs="宋体"/>
          <w:sz w:val="24"/>
        </w:rPr>
      </w:pPr>
      <w:r>
        <w:rPr>
          <w:rFonts w:hint="eastAsia" w:cs="宋体"/>
          <w:sz w:val="24"/>
        </w:rPr>
        <w:t>2.投标人已详细审查全部招标文件，包括修改文件（如有的话）和有关附件，将自行承担因对全部招标文件理解不正确或误解而产生的相应后果。</w:t>
      </w:r>
    </w:p>
    <w:p>
      <w:pPr>
        <w:adjustRightInd w:val="0"/>
        <w:snapToGrid w:val="0"/>
        <w:spacing w:line="400" w:lineRule="exact"/>
        <w:ind w:firstLine="480" w:firstLineChars="200"/>
        <w:rPr>
          <w:rFonts w:cs="宋体"/>
          <w:sz w:val="24"/>
        </w:rPr>
      </w:pPr>
      <w:r>
        <w:rPr>
          <w:rFonts w:hint="eastAsia" w:cs="宋体"/>
          <w:sz w:val="24"/>
        </w:rPr>
        <w:t>3.投标人保证遵守招标文件的全部规定，投标人所提交的材料中所含的信息均为真实、准确、完整，且不具有任何误导性。</w:t>
      </w:r>
    </w:p>
    <w:p>
      <w:pPr>
        <w:adjustRightInd w:val="0"/>
        <w:snapToGrid w:val="0"/>
        <w:spacing w:line="400" w:lineRule="exact"/>
        <w:ind w:firstLine="480" w:firstLineChars="200"/>
        <w:rPr>
          <w:rFonts w:cs="宋体"/>
          <w:sz w:val="24"/>
        </w:rPr>
      </w:pPr>
      <w:r>
        <w:rPr>
          <w:rFonts w:hint="eastAsia" w:cs="宋体"/>
          <w:sz w:val="24"/>
        </w:rPr>
        <w:t>4.投标人将按招标文件的规定，及时签订合同并履行合同责任和义务。</w:t>
      </w:r>
    </w:p>
    <w:p>
      <w:pPr>
        <w:adjustRightInd w:val="0"/>
        <w:snapToGrid w:val="0"/>
        <w:spacing w:line="400" w:lineRule="exact"/>
        <w:ind w:firstLine="480" w:firstLineChars="200"/>
        <w:rPr>
          <w:rFonts w:cs="宋体"/>
          <w:sz w:val="24"/>
        </w:rPr>
      </w:pPr>
      <w:r>
        <w:rPr>
          <w:rFonts w:hint="eastAsia" w:cs="宋体"/>
          <w:sz w:val="24"/>
        </w:rPr>
        <w:t>5.本投标文件自开标日起投标有效期为：在招标文件所规定的期限内保持有效。</w:t>
      </w:r>
    </w:p>
    <w:p>
      <w:pPr>
        <w:adjustRightInd w:val="0"/>
        <w:snapToGrid w:val="0"/>
        <w:spacing w:line="400" w:lineRule="exact"/>
        <w:ind w:firstLine="480" w:firstLineChars="200"/>
        <w:rPr>
          <w:rFonts w:cs="宋体"/>
          <w:sz w:val="24"/>
        </w:rPr>
      </w:pPr>
      <w:r>
        <w:rPr>
          <w:rFonts w:hint="eastAsia" w:cs="宋体"/>
          <w:sz w:val="24"/>
        </w:rPr>
        <w:t>6.如果发生招标文件第二章投标人须知第12条所述情况，则同意招标代理机构不予退还投标保证金。</w:t>
      </w:r>
    </w:p>
    <w:p>
      <w:pPr>
        <w:adjustRightInd w:val="0"/>
        <w:snapToGrid w:val="0"/>
        <w:spacing w:line="400" w:lineRule="exact"/>
        <w:ind w:firstLine="480" w:firstLineChars="200"/>
        <w:rPr>
          <w:rFonts w:cs="宋体"/>
          <w:sz w:val="24"/>
        </w:rPr>
      </w:pPr>
      <w:r>
        <w:rPr>
          <w:rFonts w:hint="eastAsia" w:cs="宋体"/>
          <w:sz w:val="24"/>
        </w:rPr>
        <w:t>7.投标人同意按照招标采购单位要求提供与其投标有关的一切数据或资料，完全理解贵方不一定要接受最低的报价或收到的任何投标。</w:t>
      </w:r>
    </w:p>
    <w:p>
      <w:pPr>
        <w:adjustRightInd w:val="0"/>
        <w:snapToGrid w:val="0"/>
        <w:spacing w:line="400" w:lineRule="exact"/>
        <w:ind w:firstLine="480" w:firstLineChars="200"/>
        <w:rPr>
          <w:rFonts w:cs="宋体"/>
          <w:sz w:val="24"/>
        </w:rPr>
      </w:pPr>
      <w:r>
        <w:rPr>
          <w:rFonts w:hint="eastAsia" w:cs="宋体"/>
          <w:sz w:val="24"/>
        </w:rPr>
        <w:t>8.除投标人已在投标文件中明示差异的条款外，其余条款均视为投标人接受招标文件的条款（但招标文件有明确要求投标人做出承诺或说明的条款除外）。</w:t>
      </w:r>
    </w:p>
    <w:p>
      <w:pPr>
        <w:autoSpaceDE w:val="0"/>
        <w:autoSpaceDN w:val="0"/>
        <w:adjustRightInd w:val="0"/>
        <w:snapToGrid w:val="0"/>
        <w:spacing w:line="400" w:lineRule="exact"/>
        <w:ind w:firstLine="480" w:firstLineChars="200"/>
        <w:jc w:val="left"/>
        <w:rPr>
          <w:rFonts w:cs="宋体"/>
          <w:kern w:val="0"/>
          <w:sz w:val="24"/>
          <w:szCs w:val="24"/>
        </w:rPr>
      </w:pPr>
      <w:r>
        <w:rPr>
          <w:rFonts w:hint="eastAsia" w:cs="宋体"/>
          <w:kern w:val="0"/>
          <w:sz w:val="24"/>
          <w:szCs w:val="24"/>
        </w:rPr>
        <w:t>9．</w:t>
      </w:r>
      <w:r>
        <w:rPr>
          <w:rFonts w:hint="eastAsia" w:cs="宋体"/>
          <w:kern w:val="0"/>
          <w:sz w:val="24"/>
          <w:szCs w:val="24"/>
          <w:u w:val="single"/>
        </w:rPr>
        <w:t xml:space="preserve">                                           </w:t>
      </w:r>
      <w:r>
        <w:rPr>
          <w:rFonts w:hint="eastAsia" w:cs="宋体"/>
          <w:kern w:val="0"/>
          <w:sz w:val="24"/>
          <w:szCs w:val="24"/>
        </w:rPr>
        <w:t xml:space="preserve"> （其他补充说明）。</w:t>
      </w:r>
    </w:p>
    <w:p>
      <w:pPr>
        <w:autoSpaceDE w:val="0"/>
        <w:autoSpaceDN w:val="0"/>
        <w:adjustRightInd w:val="0"/>
        <w:snapToGrid w:val="0"/>
        <w:spacing w:line="400" w:lineRule="exact"/>
        <w:ind w:firstLine="3000" w:firstLineChars="1250"/>
        <w:jc w:val="left"/>
        <w:rPr>
          <w:rFonts w:cs="宋体"/>
          <w:kern w:val="0"/>
          <w:sz w:val="24"/>
          <w:szCs w:val="24"/>
        </w:rPr>
      </w:pPr>
      <w:r>
        <w:rPr>
          <w:rFonts w:hint="eastAsia" w:cs="宋体"/>
          <w:kern w:val="0"/>
          <w:sz w:val="24"/>
          <w:szCs w:val="24"/>
        </w:rPr>
        <w:t>投标人：</w:t>
      </w:r>
      <w:r>
        <w:rPr>
          <w:rFonts w:hint="eastAsia" w:cs="宋体"/>
          <w:kern w:val="0"/>
          <w:sz w:val="24"/>
          <w:szCs w:val="24"/>
          <w:u w:val="single"/>
        </w:rPr>
        <w:t xml:space="preserve">                         </w:t>
      </w:r>
      <w:r>
        <w:rPr>
          <w:rFonts w:hint="eastAsia" w:cs="宋体"/>
          <w:kern w:val="0"/>
          <w:sz w:val="24"/>
          <w:szCs w:val="24"/>
        </w:rPr>
        <w:t>（盖单位公章）</w:t>
      </w:r>
    </w:p>
    <w:p>
      <w:pPr>
        <w:autoSpaceDE w:val="0"/>
        <w:autoSpaceDN w:val="0"/>
        <w:adjustRightInd w:val="0"/>
        <w:snapToGrid w:val="0"/>
        <w:spacing w:line="400" w:lineRule="exact"/>
        <w:ind w:firstLine="3000" w:firstLineChars="1250"/>
        <w:jc w:val="left"/>
        <w:rPr>
          <w:rFonts w:cs="宋体"/>
          <w:kern w:val="0"/>
          <w:sz w:val="24"/>
          <w:szCs w:val="24"/>
        </w:rPr>
      </w:pPr>
      <w:r>
        <w:rPr>
          <w:rFonts w:hint="eastAsia" w:cs="宋体"/>
          <w:kern w:val="0"/>
          <w:sz w:val="24"/>
          <w:szCs w:val="24"/>
        </w:rPr>
        <w:t>法定代表人或其委托代理人：</w:t>
      </w:r>
      <w:r>
        <w:rPr>
          <w:rFonts w:hint="eastAsia" w:cs="宋体"/>
          <w:kern w:val="0"/>
          <w:sz w:val="24"/>
          <w:szCs w:val="24"/>
          <w:u w:val="single"/>
        </w:rPr>
        <w:t xml:space="preserve">       </w:t>
      </w:r>
      <w:r>
        <w:rPr>
          <w:rFonts w:hint="eastAsia" w:cs="宋体"/>
          <w:kern w:val="0"/>
          <w:sz w:val="24"/>
          <w:szCs w:val="24"/>
        </w:rPr>
        <w:t>（签字或盖章）</w:t>
      </w:r>
    </w:p>
    <w:p>
      <w:pPr>
        <w:autoSpaceDE w:val="0"/>
        <w:autoSpaceDN w:val="0"/>
        <w:adjustRightInd w:val="0"/>
        <w:snapToGrid w:val="0"/>
        <w:spacing w:line="400" w:lineRule="exact"/>
        <w:ind w:firstLine="3000" w:firstLineChars="1250"/>
        <w:rPr>
          <w:rFonts w:cs="宋体"/>
          <w:sz w:val="24"/>
          <w:szCs w:val="24"/>
        </w:rPr>
      </w:pPr>
      <w:r>
        <w:rPr>
          <w:rFonts w:hint="eastAsia" w:cs="宋体"/>
          <w:sz w:val="24"/>
          <w:szCs w:val="24"/>
        </w:rPr>
        <w:t>法定代表人或其委托代理人手机号码：</w:t>
      </w:r>
      <w:r>
        <w:rPr>
          <w:rFonts w:hint="eastAsia" w:cs="宋体"/>
          <w:sz w:val="24"/>
          <w:szCs w:val="24"/>
          <w:u w:val="single"/>
        </w:rPr>
        <w:t xml:space="preserve">               </w:t>
      </w:r>
    </w:p>
    <w:p>
      <w:pPr>
        <w:autoSpaceDE w:val="0"/>
        <w:autoSpaceDN w:val="0"/>
        <w:adjustRightInd w:val="0"/>
        <w:snapToGrid w:val="0"/>
        <w:spacing w:line="400" w:lineRule="exact"/>
        <w:ind w:firstLine="3000" w:firstLineChars="1250"/>
        <w:jc w:val="left"/>
        <w:rPr>
          <w:rFonts w:cs="宋体"/>
          <w:kern w:val="0"/>
          <w:sz w:val="24"/>
          <w:szCs w:val="24"/>
          <w:u w:val="single"/>
        </w:rPr>
      </w:pPr>
      <w:r>
        <w:rPr>
          <w:rFonts w:hint="eastAsia" w:cs="宋体"/>
          <w:kern w:val="0"/>
          <w:sz w:val="24"/>
          <w:szCs w:val="24"/>
        </w:rPr>
        <w:t>地址：</w:t>
      </w:r>
      <w:r>
        <w:rPr>
          <w:rFonts w:hint="eastAsia" w:cs="宋体"/>
          <w:kern w:val="0"/>
          <w:sz w:val="24"/>
          <w:szCs w:val="24"/>
          <w:u w:val="single"/>
        </w:rPr>
        <w:t xml:space="preserve">                                           </w:t>
      </w:r>
    </w:p>
    <w:p>
      <w:pPr>
        <w:autoSpaceDE w:val="0"/>
        <w:autoSpaceDN w:val="0"/>
        <w:adjustRightInd w:val="0"/>
        <w:snapToGrid w:val="0"/>
        <w:spacing w:line="400" w:lineRule="exact"/>
        <w:ind w:firstLine="3000" w:firstLineChars="1250"/>
        <w:jc w:val="left"/>
        <w:rPr>
          <w:rFonts w:cs="宋体"/>
          <w:kern w:val="0"/>
          <w:sz w:val="24"/>
          <w:szCs w:val="24"/>
          <w:u w:val="single"/>
        </w:rPr>
      </w:pPr>
      <w:r>
        <w:rPr>
          <w:rFonts w:hint="eastAsia" w:cs="宋体"/>
          <w:kern w:val="0"/>
          <w:sz w:val="24"/>
          <w:szCs w:val="24"/>
        </w:rPr>
        <w:t>传真：</w:t>
      </w:r>
      <w:r>
        <w:rPr>
          <w:rFonts w:hint="eastAsia" w:cs="宋体"/>
          <w:kern w:val="0"/>
          <w:sz w:val="24"/>
          <w:szCs w:val="24"/>
          <w:u w:val="single"/>
        </w:rPr>
        <w:t xml:space="preserve">                                           </w:t>
      </w:r>
    </w:p>
    <w:p>
      <w:pPr>
        <w:autoSpaceDE w:val="0"/>
        <w:autoSpaceDN w:val="0"/>
        <w:adjustRightInd w:val="0"/>
        <w:snapToGrid w:val="0"/>
        <w:spacing w:line="400" w:lineRule="exact"/>
        <w:ind w:firstLine="3000" w:firstLineChars="1250"/>
        <w:jc w:val="left"/>
        <w:rPr>
          <w:rFonts w:cs="宋体"/>
          <w:kern w:val="0"/>
          <w:sz w:val="24"/>
          <w:szCs w:val="24"/>
        </w:rPr>
      </w:pPr>
      <w:r>
        <w:rPr>
          <w:rFonts w:hint="eastAsia" w:cs="宋体"/>
          <w:kern w:val="0"/>
          <w:sz w:val="24"/>
          <w:szCs w:val="24"/>
        </w:rPr>
        <w:t>邮政编码：</w:t>
      </w:r>
      <w:r>
        <w:rPr>
          <w:rFonts w:hint="eastAsia" w:cs="宋体"/>
          <w:kern w:val="0"/>
          <w:sz w:val="24"/>
          <w:szCs w:val="24"/>
          <w:u w:val="single"/>
        </w:rPr>
        <w:t xml:space="preserve">                                       </w:t>
      </w:r>
    </w:p>
    <w:p>
      <w:pPr>
        <w:snapToGrid w:val="0"/>
        <w:spacing w:line="400" w:lineRule="exact"/>
        <w:ind w:firstLine="480" w:firstLineChars="200"/>
        <w:jc w:val="center"/>
        <w:rPr>
          <w:rFonts w:cs="宋体"/>
          <w:sz w:val="24"/>
        </w:rPr>
      </w:pPr>
      <w:r>
        <w:rPr>
          <w:rFonts w:hint="eastAsia" w:cs="宋体"/>
          <w:sz w:val="24"/>
          <w:szCs w:val="24"/>
          <w:lang w:bidi="zh-CN"/>
        </w:rPr>
        <w:t xml:space="preserve">                                         </w:t>
      </w:r>
      <w:r>
        <w:rPr>
          <w:rFonts w:hint="eastAsia" w:cs="宋体"/>
          <w:sz w:val="24"/>
          <w:szCs w:val="24"/>
          <w:u w:val="single"/>
          <w:lang w:val="zh-CN" w:bidi="zh-CN"/>
        </w:rPr>
        <w:t xml:space="preserve">         </w:t>
      </w:r>
      <w:r>
        <w:rPr>
          <w:rFonts w:hint="eastAsia" w:cs="宋体"/>
          <w:sz w:val="24"/>
          <w:szCs w:val="24"/>
          <w:lang w:val="zh-CN" w:bidi="zh-CN"/>
        </w:rPr>
        <w:t>年</w:t>
      </w:r>
      <w:r>
        <w:rPr>
          <w:rFonts w:hint="eastAsia" w:cs="宋体"/>
          <w:sz w:val="24"/>
          <w:szCs w:val="24"/>
          <w:u w:val="single"/>
          <w:lang w:val="zh-CN" w:bidi="zh-CN"/>
        </w:rPr>
        <w:t xml:space="preserve">      </w:t>
      </w:r>
      <w:r>
        <w:rPr>
          <w:rFonts w:hint="eastAsia" w:cs="宋体"/>
          <w:sz w:val="24"/>
          <w:szCs w:val="24"/>
          <w:lang w:val="zh-CN" w:bidi="zh-CN"/>
        </w:rPr>
        <w:t>月</w:t>
      </w:r>
      <w:r>
        <w:rPr>
          <w:rFonts w:hint="eastAsia" w:cs="宋体"/>
          <w:sz w:val="24"/>
          <w:szCs w:val="24"/>
          <w:u w:val="single"/>
          <w:lang w:val="zh-CN" w:bidi="zh-CN"/>
        </w:rPr>
        <w:t xml:space="preserve">      </w:t>
      </w:r>
      <w:r>
        <w:rPr>
          <w:rFonts w:hint="eastAsia" w:cs="宋体"/>
          <w:sz w:val="24"/>
          <w:szCs w:val="24"/>
          <w:lang w:val="zh-CN" w:bidi="zh-CN"/>
        </w:rPr>
        <w:t>日</w:t>
      </w:r>
    </w:p>
    <w:p>
      <w:pPr>
        <w:keepNext w:val="0"/>
        <w:keepLines w:val="0"/>
        <w:spacing w:before="0" w:beforeLines="-2147483648" w:after="0" w:afterLines="-2147483648" w:line="240" w:lineRule="auto"/>
        <w:jc w:val="left"/>
        <w:rPr>
          <w:rFonts w:hint="eastAsia" w:cs="宋体"/>
          <w:b/>
          <w:bCs/>
          <w:kern w:val="0"/>
          <w:sz w:val="28"/>
          <w:szCs w:val="28"/>
        </w:rPr>
      </w:pPr>
      <w:bookmarkStart w:id="936" w:name="_Toc148459147"/>
      <w:r>
        <w:rPr>
          <w:rFonts w:hint="eastAsia" w:cs="宋体"/>
          <w:b/>
          <w:bCs/>
          <w:kern w:val="0"/>
          <w:sz w:val="28"/>
          <w:szCs w:val="28"/>
        </w:rPr>
        <w:br w:type="page"/>
      </w:r>
    </w:p>
    <w:p>
      <w:pPr>
        <w:keepNext/>
        <w:keepLines/>
        <w:spacing w:before="120" w:beforeLines="50" w:after="120" w:afterLines="50" w:line="415" w:lineRule="auto"/>
        <w:jc w:val="center"/>
        <w:rPr>
          <w:rFonts w:cs="宋体"/>
          <w:b/>
          <w:bCs/>
          <w:kern w:val="0"/>
          <w:sz w:val="28"/>
          <w:szCs w:val="28"/>
        </w:rPr>
      </w:pPr>
      <w:r>
        <w:rPr>
          <w:rFonts w:hint="eastAsia" w:cs="宋体"/>
          <w:b/>
          <w:bCs/>
          <w:kern w:val="0"/>
          <w:sz w:val="28"/>
          <w:szCs w:val="28"/>
        </w:rPr>
        <w:t>二、开标一览表</w:t>
      </w:r>
      <w:bookmarkEnd w:id="936"/>
    </w:p>
    <w:p>
      <w:pPr>
        <w:spacing w:line="360" w:lineRule="auto"/>
        <w:rPr>
          <w:rFonts w:cs="宋体"/>
          <w:sz w:val="24"/>
          <w:szCs w:val="24"/>
        </w:rPr>
      </w:pPr>
      <w:r>
        <w:rPr>
          <w:rFonts w:hint="eastAsia" w:cs="宋体"/>
          <w:sz w:val="24"/>
          <w:szCs w:val="24"/>
        </w:rPr>
        <w:t>招标编号：</w:t>
      </w:r>
      <w:r>
        <w:rPr>
          <w:rFonts w:hint="eastAsia" w:cs="宋体"/>
          <w:sz w:val="24"/>
          <w:szCs w:val="24"/>
          <w:u w:val="single"/>
        </w:rPr>
        <w:t xml:space="preserve">                       </w:t>
      </w:r>
      <w:r>
        <w:rPr>
          <w:rFonts w:hint="eastAsia" w:cs="宋体"/>
          <w:sz w:val="24"/>
          <w:szCs w:val="24"/>
        </w:rPr>
        <w:t xml:space="preserve">                                                </w:t>
      </w:r>
    </w:p>
    <w:p>
      <w:pPr>
        <w:spacing w:line="360" w:lineRule="auto"/>
        <w:rPr>
          <w:rFonts w:cs="宋体"/>
          <w:sz w:val="24"/>
          <w:szCs w:val="24"/>
        </w:rPr>
      </w:pPr>
      <w:r>
        <w:rPr>
          <w:rFonts w:hint="eastAsia" w:cs="宋体"/>
          <w:sz w:val="24"/>
          <w:szCs w:val="24"/>
        </w:rPr>
        <w:t>投标货币：</w:t>
      </w:r>
      <w:r>
        <w:rPr>
          <w:rFonts w:hint="eastAsia" w:cs="宋体"/>
          <w:sz w:val="24"/>
          <w:szCs w:val="24"/>
          <w:u w:val="single"/>
        </w:rPr>
        <w:t xml:space="preserve">                       </w:t>
      </w:r>
    </w:p>
    <w:tbl>
      <w:tblPr>
        <w:tblStyle w:val="28"/>
        <w:tblW w:w="9147"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84"/>
        <w:gridCol w:w="1164"/>
        <w:gridCol w:w="2034"/>
        <w:gridCol w:w="1953"/>
        <w:gridCol w:w="181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847" w:hRule="atLeast"/>
          <w:jc w:val="center"/>
        </w:trPr>
        <w:tc>
          <w:tcPr>
            <w:tcW w:w="2184" w:type="dxa"/>
            <w:vAlign w:val="center"/>
          </w:tcPr>
          <w:p>
            <w:pPr>
              <w:jc w:val="center"/>
              <w:rPr>
                <w:rFonts w:cs="宋体"/>
                <w:sz w:val="24"/>
                <w:szCs w:val="24"/>
              </w:rPr>
            </w:pPr>
            <w:r>
              <w:rPr>
                <w:rFonts w:hint="eastAsia" w:cs="宋体"/>
                <w:sz w:val="24"/>
                <w:szCs w:val="24"/>
              </w:rPr>
              <w:t>货物名称</w:t>
            </w:r>
          </w:p>
        </w:tc>
        <w:tc>
          <w:tcPr>
            <w:tcW w:w="1164" w:type="dxa"/>
            <w:vAlign w:val="center"/>
          </w:tcPr>
          <w:p>
            <w:pPr>
              <w:jc w:val="center"/>
              <w:rPr>
                <w:rFonts w:cs="宋体"/>
                <w:sz w:val="24"/>
                <w:szCs w:val="24"/>
              </w:rPr>
            </w:pPr>
            <w:r>
              <w:rPr>
                <w:rFonts w:hint="eastAsia" w:cs="宋体"/>
                <w:sz w:val="24"/>
                <w:szCs w:val="24"/>
              </w:rPr>
              <w:t>数量</w:t>
            </w:r>
          </w:p>
        </w:tc>
        <w:tc>
          <w:tcPr>
            <w:tcW w:w="2034" w:type="dxa"/>
            <w:tcBorders>
              <w:right w:val="single" w:color="auto" w:sz="4" w:space="0"/>
            </w:tcBorders>
            <w:vAlign w:val="center"/>
          </w:tcPr>
          <w:p>
            <w:pPr>
              <w:adjustRightInd w:val="0"/>
              <w:spacing w:line="360" w:lineRule="atLeast"/>
              <w:jc w:val="center"/>
              <w:textAlignment w:val="baseline"/>
              <w:rPr>
                <w:rFonts w:cs="宋体"/>
                <w:kern w:val="0"/>
                <w:sz w:val="24"/>
                <w:szCs w:val="24"/>
              </w:rPr>
            </w:pPr>
            <w:r>
              <w:rPr>
                <w:rFonts w:hint="eastAsia" w:cs="宋体"/>
                <w:kern w:val="0"/>
                <w:sz w:val="24"/>
                <w:szCs w:val="24"/>
              </w:rPr>
              <w:t>投标总价</w:t>
            </w:r>
          </w:p>
          <w:p>
            <w:pPr>
              <w:adjustRightInd w:val="0"/>
              <w:spacing w:line="360" w:lineRule="atLeast"/>
              <w:jc w:val="center"/>
              <w:textAlignment w:val="baseline"/>
              <w:rPr>
                <w:rFonts w:cs="宋体"/>
                <w:kern w:val="0"/>
                <w:sz w:val="24"/>
                <w:szCs w:val="24"/>
              </w:rPr>
            </w:pPr>
            <w:r>
              <w:rPr>
                <w:rFonts w:hint="eastAsia" w:cs="宋体"/>
                <w:kern w:val="0"/>
                <w:sz w:val="24"/>
                <w:szCs w:val="24"/>
              </w:rPr>
              <w:t>（含税/元）</w:t>
            </w:r>
          </w:p>
        </w:tc>
        <w:tc>
          <w:tcPr>
            <w:tcW w:w="1953" w:type="dxa"/>
            <w:tcBorders>
              <w:left w:val="single" w:color="auto" w:sz="4" w:space="0"/>
            </w:tcBorders>
            <w:vAlign w:val="center"/>
          </w:tcPr>
          <w:p>
            <w:pPr>
              <w:adjustRightInd w:val="0"/>
              <w:spacing w:line="360" w:lineRule="atLeast"/>
              <w:jc w:val="center"/>
              <w:textAlignment w:val="baseline"/>
              <w:rPr>
                <w:rFonts w:cs="宋体"/>
                <w:kern w:val="0"/>
                <w:sz w:val="24"/>
                <w:szCs w:val="24"/>
              </w:rPr>
            </w:pPr>
            <w:r>
              <w:rPr>
                <w:rFonts w:hint="eastAsia" w:cs="宋体"/>
                <w:kern w:val="0"/>
                <w:sz w:val="24"/>
                <w:szCs w:val="24"/>
              </w:rPr>
              <w:t>交货期</w:t>
            </w:r>
          </w:p>
        </w:tc>
        <w:tc>
          <w:tcPr>
            <w:tcW w:w="1812" w:type="dxa"/>
            <w:vAlign w:val="center"/>
          </w:tcPr>
          <w:p>
            <w:pPr>
              <w:adjustRightInd w:val="0"/>
              <w:spacing w:line="360" w:lineRule="atLeast"/>
              <w:jc w:val="center"/>
              <w:textAlignment w:val="baseline"/>
              <w:rPr>
                <w:rFonts w:cs="宋体"/>
                <w:kern w:val="0"/>
                <w:sz w:val="24"/>
                <w:szCs w:val="24"/>
              </w:rPr>
            </w:pPr>
            <w:r>
              <w:rPr>
                <w:rFonts w:hint="eastAsia" w:cs="宋体"/>
                <w:kern w:val="0"/>
                <w:sz w:val="24"/>
                <w:szCs w:val="24"/>
              </w:rPr>
              <w:t>质保期</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314" w:hRule="atLeast"/>
          <w:jc w:val="center"/>
        </w:trPr>
        <w:tc>
          <w:tcPr>
            <w:tcW w:w="2184" w:type="dxa"/>
            <w:vAlign w:val="center"/>
          </w:tcPr>
          <w:p>
            <w:pPr>
              <w:jc w:val="center"/>
              <w:rPr>
                <w:rFonts w:cs="宋体"/>
                <w:sz w:val="24"/>
                <w:szCs w:val="24"/>
              </w:rPr>
            </w:pPr>
          </w:p>
        </w:tc>
        <w:tc>
          <w:tcPr>
            <w:tcW w:w="1164" w:type="dxa"/>
            <w:vAlign w:val="center"/>
          </w:tcPr>
          <w:p>
            <w:pPr>
              <w:jc w:val="center"/>
              <w:rPr>
                <w:rFonts w:cs="宋体"/>
                <w:sz w:val="24"/>
                <w:szCs w:val="24"/>
              </w:rPr>
            </w:pPr>
          </w:p>
        </w:tc>
        <w:tc>
          <w:tcPr>
            <w:tcW w:w="2034" w:type="dxa"/>
            <w:tcBorders>
              <w:right w:val="single" w:color="auto" w:sz="4" w:space="0"/>
            </w:tcBorders>
          </w:tcPr>
          <w:p>
            <w:pPr>
              <w:rPr>
                <w:rFonts w:cs="宋体"/>
                <w:sz w:val="24"/>
                <w:szCs w:val="24"/>
              </w:rPr>
            </w:pPr>
          </w:p>
        </w:tc>
        <w:tc>
          <w:tcPr>
            <w:tcW w:w="1953" w:type="dxa"/>
            <w:tcBorders>
              <w:left w:val="single" w:color="auto" w:sz="4" w:space="0"/>
            </w:tcBorders>
          </w:tcPr>
          <w:p>
            <w:pPr>
              <w:rPr>
                <w:rFonts w:cs="宋体"/>
                <w:sz w:val="24"/>
                <w:szCs w:val="24"/>
              </w:rPr>
            </w:pPr>
          </w:p>
        </w:tc>
        <w:tc>
          <w:tcPr>
            <w:tcW w:w="1812" w:type="dxa"/>
          </w:tcPr>
          <w:p>
            <w:pPr>
              <w:rPr>
                <w:rFonts w:cs="宋体"/>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301" w:hRule="atLeast"/>
          <w:jc w:val="center"/>
        </w:trPr>
        <w:tc>
          <w:tcPr>
            <w:tcW w:w="9147" w:type="dxa"/>
            <w:gridSpan w:val="5"/>
            <w:vAlign w:val="center"/>
          </w:tcPr>
          <w:p>
            <w:pPr>
              <w:spacing w:line="360" w:lineRule="auto"/>
              <w:rPr>
                <w:rFonts w:cs="宋体"/>
                <w:sz w:val="24"/>
                <w:szCs w:val="24"/>
                <w:u w:val="single"/>
              </w:rPr>
            </w:pPr>
            <w:r>
              <w:rPr>
                <w:rFonts w:hint="eastAsia" w:cs="宋体"/>
                <w:sz w:val="24"/>
                <w:szCs w:val="24"/>
              </w:rPr>
              <w:t>投标总价（含税）： 小写金额：</w:t>
            </w:r>
            <w:r>
              <w:rPr>
                <w:rFonts w:hint="eastAsia" w:cs="宋体"/>
                <w:sz w:val="24"/>
                <w:szCs w:val="24"/>
                <w:u w:val="single"/>
              </w:rPr>
              <w:t xml:space="preserve">           </w:t>
            </w:r>
          </w:p>
          <w:p>
            <w:pPr>
              <w:spacing w:line="360" w:lineRule="auto"/>
              <w:ind w:firstLine="2160" w:firstLineChars="900"/>
              <w:rPr>
                <w:rFonts w:cs="宋体"/>
                <w:sz w:val="24"/>
                <w:szCs w:val="24"/>
                <w:u w:val="single"/>
              </w:rPr>
            </w:pPr>
            <w:r>
              <w:rPr>
                <w:rFonts w:hint="eastAsia" w:cs="宋体"/>
                <w:sz w:val="24"/>
                <w:szCs w:val="24"/>
              </w:rPr>
              <w:t>大写金额：</w:t>
            </w:r>
            <w:r>
              <w:rPr>
                <w:rFonts w:hint="eastAsia" w:cs="宋体"/>
                <w:sz w:val="24"/>
                <w:szCs w:val="24"/>
                <w:u w:val="single"/>
              </w:rPr>
              <w:t xml:space="preserve">           </w:t>
            </w:r>
          </w:p>
        </w:tc>
      </w:tr>
    </w:tbl>
    <w:p>
      <w:pPr>
        <w:jc w:val="left"/>
        <w:rPr>
          <w:rFonts w:cs="宋体"/>
          <w:sz w:val="24"/>
          <w:szCs w:val="24"/>
        </w:rPr>
      </w:pPr>
    </w:p>
    <w:p>
      <w:pPr>
        <w:autoSpaceDE w:val="0"/>
        <w:autoSpaceDN w:val="0"/>
        <w:adjustRightInd w:val="0"/>
        <w:spacing w:line="480" w:lineRule="auto"/>
        <w:jc w:val="right"/>
        <w:rPr>
          <w:rFonts w:cs="宋体"/>
          <w:sz w:val="24"/>
          <w:szCs w:val="24"/>
        </w:rPr>
      </w:pPr>
    </w:p>
    <w:p>
      <w:pPr>
        <w:autoSpaceDE w:val="0"/>
        <w:autoSpaceDN w:val="0"/>
        <w:adjustRightInd w:val="0"/>
        <w:spacing w:line="480" w:lineRule="auto"/>
        <w:jc w:val="right"/>
        <w:rPr>
          <w:rFonts w:cs="宋体"/>
          <w:sz w:val="24"/>
          <w:szCs w:val="24"/>
        </w:rPr>
      </w:pPr>
      <w:r>
        <w:rPr>
          <w:rFonts w:hint="eastAsia" w:cs="宋体"/>
          <w:sz w:val="24"/>
          <w:szCs w:val="24"/>
        </w:rPr>
        <w:t>投标人：</w:t>
      </w:r>
      <w:r>
        <w:rPr>
          <w:rFonts w:hint="eastAsia" w:cs="宋体"/>
          <w:sz w:val="24"/>
          <w:szCs w:val="24"/>
          <w:u w:val="single"/>
        </w:rPr>
        <w:t xml:space="preserve">                 </w:t>
      </w:r>
      <w:r>
        <w:rPr>
          <w:rFonts w:hint="eastAsia" w:cs="宋体"/>
          <w:sz w:val="24"/>
          <w:szCs w:val="24"/>
        </w:rPr>
        <w:t>（盖单位公章）</w:t>
      </w:r>
    </w:p>
    <w:p>
      <w:pPr>
        <w:autoSpaceDE w:val="0"/>
        <w:autoSpaceDN w:val="0"/>
        <w:adjustRightInd w:val="0"/>
        <w:spacing w:line="480" w:lineRule="auto"/>
        <w:jc w:val="right"/>
        <w:rPr>
          <w:rFonts w:cs="宋体"/>
          <w:sz w:val="24"/>
          <w:szCs w:val="24"/>
        </w:rPr>
      </w:pPr>
      <w:r>
        <w:rPr>
          <w:rFonts w:hint="eastAsia" w:cs="宋体"/>
          <w:sz w:val="24"/>
          <w:szCs w:val="24"/>
        </w:rPr>
        <w:t>法定代表人或其委托代理人：</w:t>
      </w:r>
      <w:r>
        <w:rPr>
          <w:rFonts w:hint="eastAsia" w:cs="宋体"/>
          <w:sz w:val="24"/>
          <w:szCs w:val="24"/>
          <w:u w:val="single"/>
        </w:rPr>
        <w:t xml:space="preserve">         </w:t>
      </w:r>
      <w:r>
        <w:rPr>
          <w:rFonts w:hint="eastAsia" w:cs="宋体"/>
          <w:sz w:val="24"/>
          <w:szCs w:val="24"/>
        </w:rPr>
        <w:t>（签字或盖章）</w:t>
      </w:r>
    </w:p>
    <w:p>
      <w:pPr>
        <w:autoSpaceDE w:val="0"/>
        <w:autoSpaceDN w:val="0"/>
        <w:adjustRightInd w:val="0"/>
        <w:spacing w:line="480" w:lineRule="auto"/>
        <w:jc w:val="right"/>
        <w:rPr>
          <w:rFonts w:cs="宋体"/>
          <w:sz w:val="24"/>
          <w:szCs w:val="24"/>
        </w:rPr>
      </w:pPr>
      <w:r>
        <w:rPr>
          <w:rFonts w:hint="eastAsia" w:cs="宋体"/>
          <w:sz w:val="24"/>
          <w:szCs w:val="24"/>
          <w:u w:val="single"/>
          <w:lang w:val="zh-CN" w:bidi="zh-CN"/>
        </w:rPr>
        <w:t xml:space="preserve">         </w:t>
      </w:r>
      <w:r>
        <w:rPr>
          <w:rFonts w:hint="eastAsia" w:cs="宋体"/>
          <w:sz w:val="24"/>
          <w:szCs w:val="24"/>
          <w:lang w:val="zh-CN" w:bidi="zh-CN"/>
        </w:rPr>
        <w:t>年</w:t>
      </w:r>
      <w:r>
        <w:rPr>
          <w:rFonts w:hint="eastAsia" w:cs="宋体"/>
          <w:sz w:val="24"/>
          <w:szCs w:val="24"/>
          <w:u w:val="single"/>
          <w:lang w:val="zh-CN" w:bidi="zh-CN"/>
        </w:rPr>
        <w:t xml:space="preserve">      </w:t>
      </w:r>
      <w:r>
        <w:rPr>
          <w:rFonts w:hint="eastAsia" w:cs="宋体"/>
          <w:sz w:val="24"/>
          <w:szCs w:val="24"/>
          <w:lang w:val="zh-CN" w:bidi="zh-CN"/>
        </w:rPr>
        <w:t>月</w:t>
      </w:r>
      <w:r>
        <w:rPr>
          <w:rFonts w:hint="eastAsia" w:cs="宋体"/>
          <w:sz w:val="24"/>
          <w:szCs w:val="24"/>
          <w:u w:val="single"/>
          <w:lang w:val="zh-CN" w:bidi="zh-CN"/>
        </w:rPr>
        <w:t xml:space="preserve">      </w:t>
      </w:r>
      <w:r>
        <w:rPr>
          <w:rFonts w:hint="eastAsia" w:cs="宋体"/>
          <w:sz w:val="24"/>
          <w:szCs w:val="24"/>
          <w:lang w:val="zh-CN" w:bidi="zh-CN"/>
        </w:rPr>
        <w:t>日</w:t>
      </w:r>
    </w:p>
    <w:p>
      <w:pPr>
        <w:autoSpaceDE w:val="0"/>
        <w:autoSpaceDN w:val="0"/>
        <w:adjustRightInd w:val="0"/>
        <w:spacing w:line="300" w:lineRule="auto"/>
        <w:jc w:val="center"/>
        <w:rPr>
          <w:rFonts w:cs="宋体"/>
          <w:b/>
          <w:bCs/>
          <w:sz w:val="28"/>
          <w:szCs w:val="32"/>
        </w:rPr>
      </w:pPr>
    </w:p>
    <w:p>
      <w:pPr>
        <w:autoSpaceDE w:val="0"/>
        <w:autoSpaceDN w:val="0"/>
        <w:adjustRightInd w:val="0"/>
        <w:spacing w:line="300" w:lineRule="auto"/>
        <w:jc w:val="center"/>
        <w:rPr>
          <w:rFonts w:cs="宋体"/>
          <w:b/>
          <w:bCs/>
          <w:sz w:val="28"/>
          <w:szCs w:val="32"/>
        </w:rPr>
      </w:pPr>
    </w:p>
    <w:p>
      <w:pPr>
        <w:autoSpaceDE w:val="0"/>
        <w:autoSpaceDN w:val="0"/>
        <w:adjustRightInd w:val="0"/>
        <w:spacing w:line="300" w:lineRule="auto"/>
        <w:jc w:val="both"/>
        <w:rPr>
          <w:rFonts w:cs="宋体"/>
          <w:b/>
          <w:bCs/>
          <w:sz w:val="28"/>
          <w:szCs w:val="32"/>
        </w:rPr>
      </w:pPr>
    </w:p>
    <w:p>
      <w:pPr>
        <w:autoSpaceDE w:val="0"/>
        <w:autoSpaceDN w:val="0"/>
        <w:adjustRightInd w:val="0"/>
        <w:spacing w:line="300" w:lineRule="auto"/>
        <w:jc w:val="center"/>
        <w:rPr>
          <w:rFonts w:cs="宋体"/>
          <w:b/>
          <w:bCs/>
          <w:sz w:val="28"/>
          <w:szCs w:val="32"/>
        </w:rPr>
      </w:pPr>
    </w:p>
    <w:p>
      <w:pPr>
        <w:keepNext/>
        <w:keepLines/>
        <w:spacing w:before="120" w:beforeLines="50" w:after="120" w:afterLines="50" w:line="415" w:lineRule="auto"/>
        <w:jc w:val="center"/>
        <w:rPr>
          <w:rFonts w:cs="宋体"/>
          <w:b/>
          <w:bCs/>
          <w:kern w:val="0"/>
          <w:sz w:val="28"/>
          <w:szCs w:val="28"/>
        </w:rPr>
      </w:pPr>
      <w:bookmarkStart w:id="937" w:name="_Toc148459148"/>
      <w:r>
        <w:rPr>
          <w:rFonts w:hint="eastAsia" w:cs="宋体"/>
          <w:b/>
          <w:bCs/>
          <w:kern w:val="0"/>
          <w:sz w:val="28"/>
          <w:szCs w:val="28"/>
        </w:rPr>
        <w:t>三、分项报价表</w:t>
      </w:r>
      <w:bookmarkEnd w:id="937"/>
    </w:p>
    <w:p>
      <w:pPr>
        <w:spacing w:line="360" w:lineRule="auto"/>
        <w:rPr>
          <w:rFonts w:cs="宋体"/>
          <w:sz w:val="24"/>
          <w:szCs w:val="24"/>
        </w:rPr>
      </w:pPr>
      <w:r>
        <w:rPr>
          <w:rFonts w:hint="eastAsia" w:cs="宋体"/>
          <w:sz w:val="24"/>
          <w:szCs w:val="24"/>
        </w:rPr>
        <w:t>招标编号：</w:t>
      </w:r>
      <w:r>
        <w:rPr>
          <w:rFonts w:hint="eastAsia" w:cs="宋体"/>
          <w:sz w:val="24"/>
          <w:szCs w:val="24"/>
          <w:u w:val="single"/>
        </w:rPr>
        <w:t xml:space="preserve">                       </w:t>
      </w:r>
      <w:r>
        <w:rPr>
          <w:rFonts w:hint="eastAsia" w:cs="宋体"/>
          <w:sz w:val="24"/>
          <w:szCs w:val="24"/>
        </w:rPr>
        <w:t xml:space="preserve">                                                </w:t>
      </w:r>
    </w:p>
    <w:p>
      <w:pPr>
        <w:spacing w:line="360" w:lineRule="auto"/>
        <w:rPr>
          <w:rFonts w:cs="宋体"/>
          <w:sz w:val="24"/>
          <w:szCs w:val="24"/>
        </w:rPr>
      </w:pPr>
      <w:r>
        <w:rPr>
          <w:rFonts w:hint="eastAsia" w:cs="宋体"/>
          <w:sz w:val="24"/>
          <w:szCs w:val="24"/>
        </w:rPr>
        <w:t>投标货币：</w:t>
      </w:r>
      <w:r>
        <w:rPr>
          <w:rFonts w:hint="eastAsia" w:cs="宋体"/>
          <w:sz w:val="24"/>
          <w:szCs w:val="24"/>
          <w:u w:val="single"/>
        </w:rPr>
        <w:t xml:space="preserve">                       </w:t>
      </w:r>
    </w:p>
    <w:tbl>
      <w:tblPr>
        <w:tblStyle w:val="28"/>
        <w:tblW w:w="941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31"/>
        <w:gridCol w:w="3073"/>
        <w:gridCol w:w="1289"/>
        <w:gridCol w:w="1550"/>
        <w:gridCol w:w="166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627" w:hRule="atLeast"/>
          <w:jc w:val="center"/>
        </w:trPr>
        <w:tc>
          <w:tcPr>
            <w:tcW w:w="1831" w:type="dxa"/>
            <w:vAlign w:val="center"/>
          </w:tcPr>
          <w:p>
            <w:pPr>
              <w:jc w:val="center"/>
              <w:rPr>
                <w:rFonts w:cs="宋体"/>
                <w:sz w:val="24"/>
                <w:szCs w:val="24"/>
              </w:rPr>
            </w:pPr>
            <w:r>
              <w:rPr>
                <w:rFonts w:hint="eastAsia" w:cs="宋体"/>
                <w:sz w:val="24"/>
                <w:szCs w:val="24"/>
              </w:rPr>
              <w:t>产品名称</w:t>
            </w:r>
          </w:p>
        </w:tc>
        <w:tc>
          <w:tcPr>
            <w:tcW w:w="3073" w:type="dxa"/>
            <w:vAlign w:val="center"/>
          </w:tcPr>
          <w:p>
            <w:pPr>
              <w:jc w:val="center"/>
              <w:rPr>
                <w:rFonts w:cs="宋体"/>
                <w:sz w:val="24"/>
                <w:szCs w:val="24"/>
              </w:rPr>
            </w:pPr>
            <w:r>
              <w:rPr>
                <w:rFonts w:hint="eastAsia" w:cs="宋体"/>
                <w:sz w:val="24"/>
                <w:szCs w:val="24"/>
              </w:rPr>
              <w:t>功能配置/技术参数</w:t>
            </w:r>
          </w:p>
        </w:tc>
        <w:tc>
          <w:tcPr>
            <w:tcW w:w="1289" w:type="dxa"/>
            <w:tcBorders>
              <w:right w:val="single" w:color="auto" w:sz="4" w:space="0"/>
            </w:tcBorders>
            <w:vAlign w:val="center"/>
          </w:tcPr>
          <w:p>
            <w:pPr>
              <w:adjustRightInd w:val="0"/>
              <w:spacing w:line="360" w:lineRule="atLeast"/>
              <w:jc w:val="center"/>
              <w:textAlignment w:val="baseline"/>
              <w:rPr>
                <w:rFonts w:cs="宋体"/>
                <w:kern w:val="0"/>
                <w:sz w:val="24"/>
                <w:szCs w:val="24"/>
              </w:rPr>
            </w:pPr>
            <w:r>
              <w:rPr>
                <w:rFonts w:hint="eastAsia" w:cs="宋体"/>
                <w:kern w:val="0"/>
                <w:sz w:val="24"/>
                <w:szCs w:val="24"/>
              </w:rPr>
              <w:t>数量/单位</w:t>
            </w:r>
          </w:p>
        </w:tc>
        <w:tc>
          <w:tcPr>
            <w:tcW w:w="1550" w:type="dxa"/>
            <w:tcBorders>
              <w:right w:val="single" w:color="auto" w:sz="4" w:space="0"/>
            </w:tcBorders>
          </w:tcPr>
          <w:p>
            <w:pPr>
              <w:adjustRightInd w:val="0"/>
              <w:spacing w:line="360" w:lineRule="atLeast"/>
              <w:jc w:val="center"/>
              <w:textAlignment w:val="baseline"/>
              <w:rPr>
                <w:rFonts w:cs="宋体"/>
                <w:kern w:val="0"/>
                <w:sz w:val="24"/>
                <w:szCs w:val="24"/>
              </w:rPr>
            </w:pPr>
            <w:r>
              <w:rPr>
                <w:rFonts w:hint="eastAsia" w:cs="宋体"/>
                <w:kern w:val="0"/>
                <w:sz w:val="24"/>
                <w:szCs w:val="24"/>
              </w:rPr>
              <w:t>单价</w:t>
            </w:r>
          </w:p>
          <w:p>
            <w:pPr>
              <w:adjustRightInd w:val="0"/>
              <w:spacing w:line="360" w:lineRule="atLeast"/>
              <w:jc w:val="center"/>
              <w:textAlignment w:val="baseline"/>
              <w:rPr>
                <w:rFonts w:cs="宋体"/>
                <w:kern w:val="0"/>
                <w:sz w:val="24"/>
                <w:szCs w:val="24"/>
              </w:rPr>
            </w:pPr>
            <w:r>
              <w:rPr>
                <w:rFonts w:hint="eastAsia" w:cs="宋体"/>
                <w:kern w:val="0"/>
                <w:sz w:val="24"/>
                <w:szCs w:val="24"/>
              </w:rPr>
              <w:t>单位：元</w:t>
            </w:r>
          </w:p>
        </w:tc>
        <w:tc>
          <w:tcPr>
            <w:tcW w:w="1669" w:type="dxa"/>
            <w:tcBorders>
              <w:left w:val="single" w:color="auto" w:sz="4" w:space="0"/>
            </w:tcBorders>
            <w:vAlign w:val="center"/>
          </w:tcPr>
          <w:p>
            <w:pPr>
              <w:adjustRightInd w:val="0"/>
              <w:spacing w:line="360" w:lineRule="atLeast"/>
              <w:jc w:val="center"/>
              <w:textAlignment w:val="baseline"/>
              <w:rPr>
                <w:rFonts w:cs="宋体"/>
                <w:kern w:val="0"/>
                <w:sz w:val="24"/>
                <w:szCs w:val="24"/>
              </w:rPr>
            </w:pPr>
            <w:r>
              <w:rPr>
                <w:rFonts w:hint="eastAsia" w:cs="宋体"/>
                <w:kern w:val="0"/>
                <w:sz w:val="24"/>
                <w:szCs w:val="24"/>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670" w:hRule="atLeast"/>
          <w:jc w:val="center"/>
        </w:trPr>
        <w:tc>
          <w:tcPr>
            <w:tcW w:w="1831" w:type="dxa"/>
            <w:vAlign w:val="center"/>
          </w:tcPr>
          <w:p>
            <w:pPr>
              <w:spacing w:line="360" w:lineRule="auto"/>
              <w:jc w:val="center"/>
              <w:rPr>
                <w:rFonts w:cs="宋体"/>
                <w:sz w:val="22"/>
              </w:rPr>
            </w:pPr>
          </w:p>
        </w:tc>
        <w:tc>
          <w:tcPr>
            <w:tcW w:w="3073" w:type="dxa"/>
            <w:vAlign w:val="center"/>
          </w:tcPr>
          <w:p>
            <w:pPr>
              <w:spacing w:line="360" w:lineRule="auto"/>
              <w:jc w:val="center"/>
              <w:rPr>
                <w:rFonts w:cs="宋体"/>
                <w:sz w:val="18"/>
                <w:szCs w:val="18"/>
              </w:rPr>
            </w:pPr>
          </w:p>
        </w:tc>
        <w:tc>
          <w:tcPr>
            <w:tcW w:w="1289" w:type="dxa"/>
            <w:tcBorders>
              <w:right w:val="single" w:color="auto" w:sz="4" w:space="0"/>
            </w:tcBorders>
            <w:vAlign w:val="center"/>
          </w:tcPr>
          <w:p>
            <w:pPr>
              <w:jc w:val="center"/>
              <w:rPr>
                <w:sz w:val="22"/>
                <w:szCs w:val="18"/>
              </w:rPr>
            </w:pPr>
          </w:p>
        </w:tc>
        <w:tc>
          <w:tcPr>
            <w:tcW w:w="1550" w:type="dxa"/>
            <w:tcBorders>
              <w:right w:val="single" w:color="auto" w:sz="4" w:space="0"/>
            </w:tcBorders>
            <w:vAlign w:val="center"/>
          </w:tcPr>
          <w:p>
            <w:pPr>
              <w:jc w:val="center"/>
              <w:rPr>
                <w:b/>
                <w:bCs/>
                <w:kern w:val="44"/>
                <w:sz w:val="22"/>
                <w:szCs w:val="18"/>
              </w:rPr>
            </w:pPr>
          </w:p>
        </w:tc>
        <w:tc>
          <w:tcPr>
            <w:tcW w:w="1669" w:type="dxa"/>
            <w:tcBorders>
              <w:left w:val="single" w:color="auto" w:sz="4" w:space="0"/>
            </w:tcBorders>
            <w:vAlign w:val="center"/>
          </w:tcPr>
          <w:p>
            <w:pPr>
              <w:jc w:val="center"/>
              <w:rPr>
                <w:b/>
                <w:bCs/>
                <w:kern w:val="44"/>
                <w:sz w:val="22"/>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670" w:hRule="atLeast"/>
          <w:jc w:val="center"/>
        </w:trPr>
        <w:tc>
          <w:tcPr>
            <w:tcW w:w="1831" w:type="dxa"/>
            <w:vAlign w:val="center"/>
          </w:tcPr>
          <w:p>
            <w:pPr>
              <w:spacing w:line="360" w:lineRule="auto"/>
              <w:jc w:val="center"/>
              <w:rPr>
                <w:rFonts w:cs="宋体"/>
                <w:sz w:val="22"/>
              </w:rPr>
            </w:pPr>
          </w:p>
        </w:tc>
        <w:tc>
          <w:tcPr>
            <w:tcW w:w="3073" w:type="dxa"/>
            <w:vAlign w:val="center"/>
          </w:tcPr>
          <w:p>
            <w:pPr>
              <w:spacing w:line="360" w:lineRule="auto"/>
              <w:jc w:val="center"/>
              <w:rPr>
                <w:rFonts w:cs="宋体"/>
                <w:sz w:val="18"/>
                <w:szCs w:val="18"/>
              </w:rPr>
            </w:pPr>
          </w:p>
        </w:tc>
        <w:tc>
          <w:tcPr>
            <w:tcW w:w="1289" w:type="dxa"/>
            <w:tcBorders>
              <w:right w:val="single" w:color="auto" w:sz="4" w:space="0"/>
            </w:tcBorders>
            <w:vAlign w:val="center"/>
          </w:tcPr>
          <w:p>
            <w:pPr>
              <w:jc w:val="center"/>
              <w:rPr>
                <w:sz w:val="22"/>
                <w:szCs w:val="18"/>
              </w:rPr>
            </w:pPr>
          </w:p>
        </w:tc>
        <w:tc>
          <w:tcPr>
            <w:tcW w:w="1550" w:type="dxa"/>
            <w:tcBorders>
              <w:right w:val="single" w:color="auto" w:sz="4" w:space="0"/>
            </w:tcBorders>
            <w:vAlign w:val="center"/>
          </w:tcPr>
          <w:p>
            <w:pPr>
              <w:jc w:val="center"/>
              <w:rPr>
                <w:b/>
                <w:bCs/>
                <w:kern w:val="44"/>
                <w:sz w:val="22"/>
                <w:szCs w:val="18"/>
              </w:rPr>
            </w:pPr>
          </w:p>
        </w:tc>
        <w:tc>
          <w:tcPr>
            <w:tcW w:w="1669" w:type="dxa"/>
            <w:tcBorders>
              <w:left w:val="single" w:color="auto" w:sz="4" w:space="0"/>
            </w:tcBorders>
            <w:vAlign w:val="center"/>
          </w:tcPr>
          <w:p>
            <w:pPr>
              <w:jc w:val="center"/>
              <w:rPr>
                <w:b/>
                <w:bCs/>
                <w:kern w:val="44"/>
                <w:sz w:val="22"/>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670" w:hRule="atLeast"/>
          <w:jc w:val="center"/>
        </w:trPr>
        <w:tc>
          <w:tcPr>
            <w:tcW w:w="1831" w:type="dxa"/>
            <w:vAlign w:val="center"/>
          </w:tcPr>
          <w:p>
            <w:pPr>
              <w:spacing w:line="360" w:lineRule="auto"/>
              <w:jc w:val="center"/>
              <w:rPr>
                <w:sz w:val="22"/>
              </w:rPr>
            </w:pPr>
          </w:p>
        </w:tc>
        <w:tc>
          <w:tcPr>
            <w:tcW w:w="3073" w:type="dxa"/>
            <w:vAlign w:val="center"/>
          </w:tcPr>
          <w:p>
            <w:pPr>
              <w:spacing w:line="360" w:lineRule="auto"/>
              <w:jc w:val="center"/>
              <w:rPr>
                <w:rFonts w:cs="宋体"/>
                <w:sz w:val="18"/>
                <w:szCs w:val="18"/>
              </w:rPr>
            </w:pPr>
          </w:p>
        </w:tc>
        <w:tc>
          <w:tcPr>
            <w:tcW w:w="1289" w:type="dxa"/>
            <w:tcBorders>
              <w:right w:val="single" w:color="auto" w:sz="4" w:space="0"/>
            </w:tcBorders>
            <w:vAlign w:val="center"/>
          </w:tcPr>
          <w:p>
            <w:pPr>
              <w:jc w:val="center"/>
              <w:rPr>
                <w:sz w:val="22"/>
                <w:szCs w:val="18"/>
              </w:rPr>
            </w:pPr>
          </w:p>
        </w:tc>
        <w:tc>
          <w:tcPr>
            <w:tcW w:w="1550" w:type="dxa"/>
            <w:tcBorders>
              <w:right w:val="single" w:color="auto" w:sz="4" w:space="0"/>
            </w:tcBorders>
            <w:vAlign w:val="center"/>
          </w:tcPr>
          <w:p>
            <w:pPr>
              <w:jc w:val="center"/>
              <w:rPr>
                <w:b/>
                <w:bCs/>
                <w:kern w:val="44"/>
                <w:sz w:val="22"/>
                <w:szCs w:val="18"/>
              </w:rPr>
            </w:pPr>
          </w:p>
        </w:tc>
        <w:tc>
          <w:tcPr>
            <w:tcW w:w="1669" w:type="dxa"/>
            <w:tcBorders>
              <w:left w:val="single" w:color="auto" w:sz="4" w:space="0"/>
            </w:tcBorders>
            <w:vAlign w:val="center"/>
          </w:tcPr>
          <w:p>
            <w:pPr>
              <w:jc w:val="center"/>
              <w:rPr>
                <w:b/>
                <w:bCs/>
                <w:kern w:val="44"/>
                <w:sz w:val="22"/>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670" w:hRule="atLeast"/>
          <w:jc w:val="center"/>
        </w:trPr>
        <w:tc>
          <w:tcPr>
            <w:tcW w:w="1831" w:type="dxa"/>
            <w:vAlign w:val="center"/>
          </w:tcPr>
          <w:p>
            <w:pPr>
              <w:spacing w:line="360" w:lineRule="auto"/>
              <w:jc w:val="center"/>
              <w:rPr>
                <w:sz w:val="22"/>
              </w:rPr>
            </w:pPr>
          </w:p>
        </w:tc>
        <w:tc>
          <w:tcPr>
            <w:tcW w:w="3073" w:type="dxa"/>
            <w:vAlign w:val="center"/>
          </w:tcPr>
          <w:p>
            <w:pPr>
              <w:spacing w:line="360" w:lineRule="auto"/>
              <w:jc w:val="center"/>
              <w:rPr>
                <w:rFonts w:cs="宋体"/>
                <w:sz w:val="18"/>
                <w:szCs w:val="18"/>
              </w:rPr>
            </w:pPr>
          </w:p>
        </w:tc>
        <w:tc>
          <w:tcPr>
            <w:tcW w:w="1289" w:type="dxa"/>
            <w:tcBorders>
              <w:right w:val="single" w:color="auto" w:sz="4" w:space="0"/>
            </w:tcBorders>
            <w:vAlign w:val="center"/>
          </w:tcPr>
          <w:p>
            <w:pPr>
              <w:jc w:val="center"/>
              <w:rPr>
                <w:sz w:val="22"/>
                <w:szCs w:val="18"/>
              </w:rPr>
            </w:pPr>
          </w:p>
        </w:tc>
        <w:tc>
          <w:tcPr>
            <w:tcW w:w="1550" w:type="dxa"/>
            <w:tcBorders>
              <w:right w:val="single" w:color="auto" w:sz="4" w:space="0"/>
            </w:tcBorders>
            <w:vAlign w:val="center"/>
          </w:tcPr>
          <w:p>
            <w:pPr>
              <w:jc w:val="center"/>
              <w:rPr>
                <w:b/>
                <w:bCs/>
                <w:kern w:val="44"/>
                <w:sz w:val="22"/>
                <w:szCs w:val="18"/>
              </w:rPr>
            </w:pPr>
          </w:p>
        </w:tc>
        <w:tc>
          <w:tcPr>
            <w:tcW w:w="1669" w:type="dxa"/>
            <w:tcBorders>
              <w:left w:val="single" w:color="auto" w:sz="4" w:space="0"/>
            </w:tcBorders>
            <w:vAlign w:val="center"/>
          </w:tcPr>
          <w:p>
            <w:pPr>
              <w:jc w:val="center"/>
              <w:rPr>
                <w:b/>
                <w:bCs/>
                <w:kern w:val="44"/>
                <w:sz w:val="22"/>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670" w:hRule="atLeast"/>
          <w:jc w:val="center"/>
        </w:trPr>
        <w:tc>
          <w:tcPr>
            <w:tcW w:w="1831" w:type="dxa"/>
            <w:vAlign w:val="center"/>
          </w:tcPr>
          <w:p>
            <w:pPr>
              <w:spacing w:line="360" w:lineRule="auto"/>
              <w:jc w:val="center"/>
              <w:rPr>
                <w:sz w:val="22"/>
              </w:rPr>
            </w:pPr>
          </w:p>
        </w:tc>
        <w:tc>
          <w:tcPr>
            <w:tcW w:w="3073" w:type="dxa"/>
            <w:vAlign w:val="center"/>
          </w:tcPr>
          <w:p>
            <w:pPr>
              <w:spacing w:line="360" w:lineRule="auto"/>
              <w:jc w:val="center"/>
              <w:rPr>
                <w:rFonts w:cs="宋体"/>
                <w:sz w:val="18"/>
                <w:szCs w:val="18"/>
              </w:rPr>
            </w:pPr>
          </w:p>
        </w:tc>
        <w:tc>
          <w:tcPr>
            <w:tcW w:w="1289" w:type="dxa"/>
            <w:tcBorders>
              <w:right w:val="single" w:color="auto" w:sz="4" w:space="0"/>
            </w:tcBorders>
            <w:vAlign w:val="center"/>
          </w:tcPr>
          <w:p>
            <w:pPr>
              <w:jc w:val="center"/>
              <w:rPr>
                <w:sz w:val="22"/>
                <w:szCs w:val="18"/>
              </w:rPr>
            </w:pPr>
          </w:p>
        </w:tc>
        <w:tc>
          <w:tcPr>
            <w:tcW w:w="1550" w:type="dxa"/>
            <w:tcBorders>
              <w:right w:val="single" w:color="auto" w:sz="4" w:space="0"/>
            </w:tcBorders>
            <w:vAlign w:val="center"/>
          </w:tcPr>
          <w:p>
            <w:pPr>
              <w:jc w:val="center"/>
              <w:rPr>
                <w:b/>
                <w:bCs/>
                <w:kern w:val="44"/>
                <w:sz w:val="22"/>
                <w:szCs w:val="18"/>
              </w:rPr>
            </w:pPr>
          </w:p>
        </w:tc>
        <w:tc>
          <w:tcPr>
            <w:tcW w:w="1669" w:type="dxa"/>
            <w:tcBorders>
              <w:left w:val="single" w:color="auto" w:sz="4" w:space="0"/>
              <w:bottom w:val="single" w:color="auto" w:sz="4" w:space="0"/>
            </w:tcBorders>
            <w:vAlign w:val="center"/>
          </w:tcPr>
          <w:p>
            <w:pPr>
              <w:jc w:val="center"/>
              <w:rPr>
                <w:b/>
                <w:bCs/>
                <w:kern w:val="44"/>
                <w:sz w:val="22"/>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670" w:hRule="atLeast"/>
          <w:jc w:val="center"/>
        </w:trPr>
        <w:tc>
          <w:tcPr>
            <w:tcW w:w="1831" w:type="dxa"/>
            <w:vAlign w:val="center"/>
          </w:tcPr>
          <w:p>
            <w:pPr>
              <w:spacing w:line="360" w:lineRule="auto"/>
              <w:jc w:val="center"/>
              <w:rPr>
                <w:sz w:val="22"/>
              </w:rPr>
            </w:pPr>
          </w:p>
        </w:tc>
        <w:tc>
          <w:tcPr>
            <w:tcW w:w="3073" w:type="dxa"/>
            <w:vAlign w:val="center"/>
          </w:tcPr>
          <w:p>
            <w:pPr>
              <w:spacing w:line="360" w:lineRule="auto"/>
              <w:jc w:val="center"/>
              <w:rPr>
                <w:rFonts w:cs="宋体"/>
                <w:sz w:val="18"/>
                <w:szCs w:val="18"/>
              </w:rPr>
            </w:pPr>
          </w:p>
        </w:tc>
        <w:tc>
          <w:tcPr>
            <w:tcW w:w="1289" w:type="dxa"/>
            <w:tcBorders>
              <w:right w:val="single" w:color="auto" w:sz="4" w:space="0"/>
            </w:tcBorders>
            <w:vAlign w:val="center"/>
          </w:tcPr>
          <w:p>
            <w:pPr>
              <w:jc w:val="center"/>
              <w:rPr>
                <w:sz w:val="22"/>
                <w:szCs w:val="18"/>
              </w:rPr>
            </w:pPr>
          </w:p>
        </w:tc>
        <w:tc>
          <w:tcPr>
            <w:tcW w:w="1550" w:type="dxa"/>
            <w:tcBorders>
              <w:right w:val="single" w:color="auto" w:sz="4" w:space="0"/>
            </w:tcBorders>
            <w:vAlign w:val="center"/>
          </w:tcPr>
          <w:p>
            <w:pPr>
              <w:jc w:val="center"/>
              <w:rPr>
                <w:b/>
                <w:bCs/>
                <w:kern w:val="44"/>
                <w:sz w:val="22"/>
                <w:szCs w:val="18"/>
              </w:rPr>
            </w:pPr>
          </w:p>
        </w:tc>
        <w:tc>
          <w:tcPr>
            <w:tcW w:w="1669" w:type="dxa"/>
            <w:tcBorders>
              <w:top w:val="single" w:color="auto" w:sz="4" w:space="0"/>
              <w:left w:val="single" w:color="auto" w:sz="4" w:space="0"/>
            </w:tcBorders>
            <w:vAlign w:val="center"/>
          </w:tcPr>
          <w:p>
            <w:pPr>
              <w:jc w:val="center"/>
              <w:rPr>
                <w:b/>
                <w:bCs/>
                <w:kern w:val="44"/>
                <w:sz w:val="22"/>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656" w:hRule="atLeast"/>
          <w:jc w:val="center"/>
        </w:trPr>
        <w:tc>
          <w:tcPr>
            <w:tcW w:w="6193" w:type="dxa"/>
            <w:gridSpan w:val="3"/>
            <w:tcBorders>
              <w:right w:val="single" w:color="auto" w:sz="4" w:space="0"/>
            </w:tcBorders>
            <w:vAlign w:val="center"/>
          </w:tcPr>
          <w:p>
            <w:pPr>
              <w:jc w:val="center"/>
              <w:rPr>
                <w:sz w:val="22"/>
                <w:szCs w:val="18"/>
              </w:rPr>
            </w:pPr>
            <w:r>
              <w:rPr>
                <w:rFonts w:hint="eastAsia" w:cs="宋体"/>
                <w:sz w:val="22"/>
              </w:rPr>
              <w:t>合计</w:t>
            </w:r>
          </w:p>
        </w:tc>
        <w:tc>
          <w:tcPr>
            <w:tcW w:w="1550" w:type="dxa"/>
            <w:tcBorders>
              <w:top w:val="single" w:color="auto" w:sz="4" w:space="0"/>
              <w:right w:val="single" w:color="auto" w:sz="4" w:space="0"/>
            </w:tcBorders>
            <w:vAlign w:val="center"/>
          </w:tcPr>
          <w:p>
            <w:pPr>
              <w:jc w:val="center"/>
              <w:rPr>
                <w:sz w:val="22"/>
                <w:szCs w:val="18"/>
              </w:rPr>
            </w:pPr>
          </w:p>
        </w:tc>
        <w:tc>
          <w:tcPr>
            <w:tcW w:w="1669" w:type="dxa"/>
            <w:tcBorders>
              <w:top w:val="single" w:color="auto" w:sz="4" w:space="0"/>
              <w:left w:val="single" w:color="auto" w:sz="4" w:space="0"/>
            </w:tcBorders>
            <w:vAlign w:val="center"/>
          </w:tcPr>
          <w:p>
            <w:pPr>
              <w:jc w:val="center"/>
              <w:rPr>
                <w:sz w:val="22"/>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115" w:hRule="atLeast"/>
          <w:jc w:val="center"/>
        </w:trPr>
        <w:tc>
          <w:tcPr>
            <w:tcW w:w="9412" w:type="dxa"/>
            <w:gridSpan w:val="5"/>
            <w:vAlign w:val="center"/>
          </w:tcPr>
          <w:p>
            <w:pPr>
              <w:spacing w:line="360" w:lineRule="auto"/>
              <w:rPr>
                <w:rFonts w:cs="宋体"/>
                <w:sz w:val="24"/>
                <w:szCs w:val="24"/>
                <w:u w:val="single"/>
              </w:rPr>
            </w:pPr>
            <w:r>
              <w:rPr>
                <w:rFonts w:hint="eastAsia" w:cs="宋体"/>
                <w:sz w:val="24"/>
                <w:szCs w:val="24"/>
              </w:rPr>
              <w:t>投标总价（含税）： 小写金额：</w:t>
            </w:r>
            <w:r>
              <w:rPr>
                <w:rFonts w:hint="eastAsia" w:cs="宋体"/>
                <w:sz w:val="24"/>
                <w:szCs w:val="24"/>
                <w:u w:val="single"/>
              </w:rPr>
              <w:t xml:space="preserve">           </w:t>
            </w:r>
          </w:p>
          <w:p>
            <w:pPr>
              <w:ind w:firstLine="2160" w:firstLineChars="900"/>
              <w:rPr>
                <w:sz w:val="22"/>
                <w:szCs w:val="18"/>
              </w:rPr>
            </w:pPr>
            <w:r>
              <w:rPr>
                <w:rFonts w:hint="eastAsia" w:cs="宋体"/>
                <w:sz w:val="24"/>
                <w:szCs w:val="24"/>
              </w:rPr>
              <w:t>大写金额：</w:t>
            </w:r>
            <w:r>
              <w:rPr>
                <w:rFonts w:hint="eastAsia" w:cs="宋体"/>
                <w:sz w:val="24"/>
                <w:szCs w:val="24"/>
                <w:u w:val="single"/>
              </w:rPr>
              <w:t xml:space="preserve">           </w:t>
            </w:r>
          </w:p>
        </w:tc>
      </w:tr>
    </w:tbl>
    <w:p>
      <w:pPr>
        <w:autoSpaceDE w:val="0"/>
        <w:autoSpaceDN w:val="0"/>
        <w:adjustRightInd w:val="0"/>
        <w:spacing w:line="480" w:lineRule="auto"/>
        <w:jc w:val="both"/>
        <w:rPr>
          <w:rFonts w:cs="宋体"/>
          <w:sz w:val="24"/>
          <w:szCs w:val="24"/>
        </w:rPr>
      </w:pPr>
    </w:p>
    <w:p>
      <w:pPr>
        <w:autoSpaceDE w:val="0"/>
        <w:autoSpaceDN w:val="0"/>
        <w:adjustRightInd w:val="0"/>
        <w:spacing w:line="480" w:lineRule="auto"/>
        <w:jc w:val="right"/>
        <w:rPr>
          <w:rFonts w:cs="宋体"/>
          <w:sz w:val="24"/>
          <w:szCs w:val="24"/>
        </w:rPr>
      </w:pPr>
      <w:r>
        <w:rPr>
          <w:rFonts w:hint="eastAsia" w:cs="宋体"/>
          <w:sz w:val="24"/>
          <w:szCs w:val="24"/>
        </w:rPr>
        <w:t>投标人：</w:t>
      </w:r>
      <w:r>
        <w:rPr>
          <w:rFonts w:hint="eastAsia" w:cs="宋体"/>
          <w:sz w:val="24"/>
          <w:szCs w:val="24"/>
          <w:u w:val="single"/>
        </w:rPr>
        <w:t xml:space="preserve">                 </w:t>
      </w:r>
      <w:r>
        <w:rPr>
          <w:rFonts w:hint="eastAsia" w:cs="宋体"/>
          <w:sz w:val="24"/>
          <w:szCs w:val="24"/>
        </w:rPr>
        <w:t>（盖单位公章）</w:t>
      </w:r>
    </w:p>
    <w:p>
      <w:pPr>
        <w:autoSpaceDE w:val="0"/>
        <w:autoSpaceDN w:val="0"/>
        <w:adjustRightInd w:val="0"/>
        <w:spacing w:line="480" w:lineRule="auto"/>
        <w:jc w:val="right"/>
        <w:rPr>
          <w:rFonts w:cs="宋体"/>
          <w:sz w:val="24"/>
          <w:szCs w:val="24"/>
        </w:rPr>
      </w:pPr>
      <w:r>
        <w:rPr>
          <w:rFonts w:hint="eastAsia" w:cs="宋体"/>
          <w:sz w:val="24"/>
          <w:szCs w:val="24"/>
        </w:rPr>
        <w:t>法定代表人或其委托代理人：</w:t>
      </w:r>
      <w:r>
        <w:rPr>
          <w:rFonts w:hint="eastAsia" w:cs="宋体"/>
          <w:sz w:val="24"/>
          <w:szCs w:val="24"/>
          <w:u w:val="single"/>
        </w:rPr>
        <w:t xml:space="preserve">                 </w:t>
      </w:r>
      <w:r>
        <w:rPr>
          <w:rFonts w:hint="eastAsia" w:cs="宋体"/>
          <w:sz w:val="24"/>
          <w:szCs w:val="24"/>
        </w:rPr>
        <w:t>（签字或盖章）</w:t>
      </w:r>
    </w:p>
    <w:p>
      <w:pPr>
        <w:autoSpaceDE w:val="0"/>
        <w:autoSpaceDN w:val="0"/>
        <w:adjustRightInd w:val="0"/>
        <w:spacing w:line="480" w:lineRule="auto"/>
        <w:jc w:val="right"/>
        <w:rPr>
          <w:rFonts w:cs="宋体"/>
          <w:sz w:val="24"/>
          <w:szCs w:val="24"/>
        </w:rPr>
      </w:pPr>
      <w:r>
        <w:rPr>
          <w:rFonts w:hint="eastAsia" w:cs="宋体"/>
          <w:sz w:val="24"/>
          <w:szCs w:val="24"/>
          <w:u w:val="single"/>
          <w:lang w:val="zh-CN" w:bidi="zh-CN"/>
        </w:rPr>
        <w:t xml:space="preserve">         </w:t>
      </w:r>
      <w:r>
        <w:rPr>
          <w:rFonts w:hint="eastAsia" w:cs="宋体"/>
          <w:sz w:val="24"/>
          <w:szCs w:val="24"/>
          <w:lang w:val="zh-CN" w:bidi="zh-CN"/>
        </w:rPr>
        <w:t>年</w:t>
      </w:r>
      <w:r>
        <w:rPr>
          <w:rFonts w:hint="eastAsia" w:cs="宋体"/>
          <w:sz w:val="24"/>
          <w:szCs w:val="24"/>
          <w:u w:val="single"/>
          <w:lang w:val="zh-CN" w:bidi="zh-CN"/>
        </w:rPr>
        <w:t xml:space="preserve">      </w:t>
      </w:r>
      <w:r>
        <w:rPr>
          <w:rFonts w:hint="eastAsia" w:cs="宋体"/>
          <w:sz w:val="24"/>
          <w:szCs w:val="24"/>
          <w:lang w:val="zh-CN" w:bidi="zh-CN"/>
        </w:rPr>
        <w:t>月</w:t>
      </w:r>
      <w:r>
        <w:rPr>
          <w:rFonts w:hint="eastAsia" w:cs="宋体"/>
          <w:sz w:val="24"/>
          <w:szCs w:val="24"/>
          <w:u w:val="single"/>
          <w:lang w:val="zh-CN" w:bidi="zh-CN"/>
        </w:rPr>
        <w:t xml:space="preserve">      </w:t>
      </w:r>
      <w:r>
        <w:rPr>
          <w:rFonts w:hint="eastAsia" w:cs="宋体"/>
          <w:sz w:val="24"/>
          <w:szCs w:val="24"/>
          <w:lang w:val="zh-CN" w:bidi="zh-CN"/>
        </w:rPr>
        <w:t>日</w:t>
      </w:r>
    </w:p>
    <w:p>
      <w:pPr>
        <w:autoSpaceDE w:val="0"/>
        <w:autoSpaceDN w:val="0"/>
        <w:adjustRightInd w:val="0"/>
        <w:jc w:val="left"/>
        <w:rPr>
          <w:rFonts w:cs="宋体"/>
          <w:kern w:val="0"/>
          <w:sz w:val="24"/>
          <w:szCs w:val="24"/>
        </w:rPr>
      </w:pPr>
    </w:p>
    <w:p>
      <w:pPr>
        <w:keepNext/>
        <w:keepLines/>
        <w:spacing w:before="120" w:beforeLines="50" w:after="120" w:afterLines="50" w:line="415" w:lineRule="auto"/>
        <w:jc w:val="center"/>
        <w:rPr>
          <w:rFonts w:cs="宋体"/>
          <w:b/>
          <w:bCs/>
          <w:kern w:val="0"/>
          <w:sz w:val="28"/>
          <w:szCs w:val="28"/>
        </w:rPr>
      </w:pPr>
      <w:r>
        <w:rPr>
          <w:rFonts w:hint="eastAsia" w:cs="宋体"/>
          <w:b/>
          <w:bCs/>
          <w:kern w:val="0"/>
          <w:sz w:val="28"/>
          <w:szCs w:val="28"/>
        </w:rPr>
        <w:t xml:space="preserve"> </w:t>
      </w:r>
      <w:bookmarkStart w:id="938" w:name="_Toc148459149"/>
      <w:r>
        <w:rPr>
          <w:rFonts w:hint="eastAsia" w:cs="宋体"/>
          <w:b/>
          <w:bCs/>
          <w:kern w:val="0"/>
          <w:sz w:val="28"/>
          <w:szCs w:val="28"/>
        </w:rPr>
        <w:t>四、投标人资格证明文件</w:t>
      </w:r>
      <w:bookmarkEnd w:id="938"/>
    </w:p>
    <w:p>
      <w:pPr>
        <w:spacing w:line="360" w:lineRule="auto"/>
        <w:rPr>
          <w:rFonts w:cs="宋体"/>
          <w:sz w:val="24"/>
          <w:u w:val="single"/>
        </w:rPr>
      </w:pPr>
      <w:r>
        <w:rPr>
          <w:rFonts w:hint="eastAsia" w:cs="宋体"/>
          <w:sz w:val="24"/>
        </w:rPr>
        <w:t>项目名称：</w:t>
      </w:r>
      <w:r>
        <w:rPr>
          <w:rFonts w:hint="eastAsia" w:cs="宋体"/>
          <w:sz w:val="24"/>
          <w:u w:val="single"/>
        </w:rPr>
        <w:t xml:space="preserve">                  </w:t>
      </w:r>
      <w:r>
        <w:rPr>
          <w:rFonts w:hint="eastAsia" w:cs="宋体"/>
          <w:sz w:val="24"/>
        </w:rPr>
        <w:t xml:space="preserve">        招标编号：</w:t>
      </w:r>
      <w:r>
        <w:rPr>
          <w:rFonts w:hint="eastAsia" w:cs="宋体"/>
          <w:sz w:val="24"/>
          <w:u w:val="single"/>
        </w:rPr>
        <w:t xml:space="preserve">                      </w:t>
      </w:r>
    </w:p>
    <w:tbl>
      <w:tblPr>
        <w:tblStyle w:val="28"/>
        <w:tblW w:w="91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6736"/>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ind w:left="-53" w:leftChars="-25" w:right="-40" w:rightChars="-19"/>
              <w:jc w:val="center"/>
              <w:rPr>
                <w:rFonts w:cs="宋体"/>
                <w:sz w:val="24"/>
              </w:rPr>
            </w:pPr>
            <w:r>
              <w:rPr>
                <w:rFonts w:hint="eastAsia" w:cs="宋体"/>
                <w:sz w:val="24"/>
              </w:rPr>
              <w:t>序号</w:t>
            </w:r>
          </w:p>
        </w:tc>
        <w:tc>
          <w:tcPr>
            <w:tcW w:w="6736" w:type="dxa"/>
            <w:tcBorders>
              <w:top w:val="single" w:color="auto" w:sz="4" w:space="0"/>
              <w:left w:val="nil"/>
              <w:bottom w:val="single" w:color="auto" w:sz="4" w:space="0"/>
              <w:right w:val="single" w:color="auto" w:sz="4" w:space="0"/>
            </w:tcBorders>
            <w:vAlign w:val="center"/>
          </w:tcPr>
          <w:p>
            <w:pPr>
              <w:jc w:val="center"/>
              <w:rPr>
                <w:rFonts w:cs="宋体"/>
                <w:sz w:val="24"/>
              </w:rPr>
            </w:pPr>
            <w:r>
              <w:rPr>
                <w:rFonts w:hint="eastAsia" w:cs="宋体"/>
                <w:sz w:val="24"/>
              </w:rPr>
              <w:t>应提供的证明文件</w:t>
            </w:r>
          </w:p>
        </w:tc>
        <w:tc>
          <w:tcPr>
            <w:tcW w:w="1691" w:type="dxa"/>
            <w:tcBorders>
              <w:top w:val="single" w:color="auto" w:sz="4" w:space="0"/>
              <w:left w:val="nil"/>
              <w:bottom w:val="single" w:color="auto" w:sz="4" w:space="0"/>
              <w:right w:val="single" w:color="auto" w:sz="4" w:space="0"/>
            </w:tcBorders>
            <w:vAlign w:val="center"/>
          </w:tcPr>
          <w:p>
            <w:pPr>
              <w:jc w:val="center"/>
              <w:rPr>
                <w:rFonts w:cs="宋体"/>
                <w:sz w:val="24"/>
              </w:rPr>
            </w:pPr>
            <w:r>
              <w:rPr>
                <w:rFonts w:hint="eastAsia" w:cs="宋体"/>
                <w:sz w:val="24"/>
              </w:rPr>
              <w:t>对应投标文件页码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spacing w:before="60" w:beforeLines="25" w:after="60" w:afterLines="25"/>
              <w:ind w:left="-53" w:leftChars="-25" w:right="-40" w:rightChars="-19"/>
              <w:jc w:val="center"/>
              <w:rPr>
                <w:rFonts w:cs="宋体"/>
                <w:sz w:val="24"/>
              </w:rPr>
            </w:pPr>
            <w:r>
              <w:rPr>
                <w:rFonts w:hint="eastAsia" w:cs="宋体"/>
                <w:sz w:val="24"/>
              </w:rPr>
              <w:t>（1）</w:t>
            </w:r>
          </w:p>
        </w:tc>
        <w:tc>
          <w:tcPr>
            <w:tcW w:w="6736" w:type="dxa"/>
            <w:tcBorders>
              <w:top w:val="single" w:color="auto" w:sz="4" w:space="0"/>
              <w:left w:val="nil"/>
              <w:bottom w:val="single" w:color="auto" w:sz="4" w:space="0"/>
              <w:right w:val="single" w:color="auto" w:sz="4" w:space="0"/>
            </w:tcBorders>
            <w:vAlign w:val="center"/>
          </w:tcPr>
          <w:p>
            <w:pPr>
              <w:snapToGrid w:val="0"/>
              <w:spacing w:line="360" w:lineRule="auto"/>
              <w:ind w:left="69" w:firstLine="420" w:firstLineChars="200"/>
              <w:rPr>
                <w:rFonts w:cs="宋体"/>
                <w:bCs/>
                <w:sz w:val="24"/>
                <w:szCs w:val="24"/>
              </w:rPr>
            </w:pPr>
            <w:r>
              <w:rPr>
                <w:rFonts w:hint="eastAsia"/>
                <w:bCs/>
                <w:szCs w:val="21"/>
              </w:rPr>
              <w:t>1、投标人应具备独立的法人资格，并提供加载有统一社会征信代码的营业执照的复印件。</w:t>
            </w:r>
          </w:p>
        </w:tc>
        <w:tc>
          <w:tcPr>
            <w:tcW w:w="1691" w:type="dxa"/>
            <w:tcBorders>
              <w:top w:val="single" w:color="auto" w:sz="4" w:space="0"/>
              <w:left w:val="nil"/>
              <w:bottom w:val="single" w:color="auto" w:sz="4" w:space="0"/>
              <w:right w:val="single" w:color="auto" w:sz="4" w:space="0"/>
            </w:tcBorders>
            <w:vAlign w:val="center"/>
          </w:tcPr>
          <w:p>
            <w:pPr>
              <w:spacing w:before="60" w:beforeLines="25" w:after="60" w:afterLines="25"/>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spacing w:before="60" w:beforeLines="25" w:after="60" w:afterLines="25"/>
              <w:ind w:left="-53" w:leftChars="-25" w:right="-40" w:rightChars="-19"/>
              <w:jc w:val="center"/>
              <w:rPr>
                <w:rFonts w:cs="宋体"/>
                <w:sz w:val="24"/>
              </w:rPr>
            </w:pPr>
            <w:r>
              <w:rPr>
                <w:rFonts w:hint="eastAsia" w:cs="宋体"/>
                <w:sz w:val="24"/>
              </w:rPr>
              <w:t>（2）</w:t>
            </w:r>
          </w:p>
        </w:tc>
        <w:tc>
          <w:tcPr>
            <w:tcW w:w="6736" w:type="dxa"/>
            <w:tcBorders>
              <w:top w:val="single" w:color="auto" w:sz="4" w:space="0"/>
              <w:left w:val="nil"/>
              <w:bottom w:val="single" w:color="auto" w:sz="4" w:space="0"/>
              <w:right w:val="single" w:color="auto" w:sz="4" w:space="0"/>
            </w:tcBorders>
            <w:vAlign w:val="center"/>
          </w:tcPr>
          <w:p>
            <w:pPr>
              <w:snapToGrid w:val="0"/>
              <w:spacing w:line="360" w:lineRule="auto"/>
              <w:ind w:left="69" w:firstLine="420" w:firstLineChars="200"/>
              <w:rPr>
                <w:rFonts w:cs="宋体"/>
                <w:bCs/>
                <w:sz w:val="24"/>
                <w:szCs w:val="24"/>
              </w:rPr>
            </w:pPr>
            <w:r>
              <w:rPr>
                <w:rFonts w:hint="eastAsia"/>
                <w:bCs/>
                <w:szCs w:val="21"/>
              </w:rPr>
              <w:t>2、投标人代表若不是法定代表人的，应提供法人授权书原件，并加盖投标人公章。</w:t>
            </w:r>
          </w:p>
        </w:tc>
        <w:tc>
          <w:tcPr>
            <w:tcW w:w="1691" w:type="dxa"/>
            <w:tcBorders>
              <w:top w:val="single" w:color="auto" w:sz="4" w:space="0"/>
              <w:left w:val="nil"/>
              <w:bottom w:val="single" w:color="auto" w:sz="4" w:space="0"/>
              <w:right w:val="single" w:color="auto" w:sz="4" w:space="0"/>
            </w:tcBorders>
            <w:vAlign w:val="center"/>
          </w:tcPr>
          <w:p>
            <w:pPr>
              <w:spacing w:before="60" w:beforeLines="25" w:after="60" w:afterLines="25"/>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spacing w:before="60" w:beforeLines="25" w:after="60" w:afterLines="25"/>
              <w:ind w:left="-53" w:leftChars="-25" w:right="-40" w:rightChars="-19"/>
              <w:jc w:val="center"/>
              <w:rPr>
                <w:rFonts w:cs="宋体"/>
                <w:sz w:val="24"/>
              </w:rPr>
            </w:pPr>
            <w:r>
              <w:rPr>
                <w:rFonts w:hint="eastAsia" w:cs="宋体"/>
                <w:sz w:val="24"/>
              </w:rPr>
              <w:t>（3）</w:t>
            </w:r>
          </w:p>
        </w:tc>
        <w:tc>
          <w:tcPr>
            <w:tcW w:w="6736" w:type="dxa"/>
            <w:tcBorders>
              <w:top w:val="single" w:color="auto" w:sz="4" w:space="0"/>
              <w:left w:val="nil"/>
              <w:bottom w:val="single" w:color="auto" w:sz="4" w:space="0"/>
              <w:right w:val="single" w:color="auto" w:sz="4" w:space="0"/>
            </w:tcBorders>
            <w:vAlign w:val="center"/>
          </w:tcPr>
          <w:p>
            <w:pPr>
              <w:snapToGrid w:val="0"/>
              <w:spacing w:line="360" w:lineRule="auto"/>
              <w:ind w:left="69" w:firstLine="420" w:firstLineChars="200"/>
              <w:rPr>
                <w:rFonts w:cs="宋体"/>
                <w:bCs/>
                <w:sz w:val="24"/>
                <w:szCs w:val="24"/>
              </w:rPr>
            </w:pPr>
            <w:r>
              <w:rPr>
                <w:rFonts w:hint="eastAsia"/>
                <w:bCs/>
                <w:szCs w:val="21"/>
              </w:rPr>
              <w:t>3、投标人若非投标设备的制造商，则须提供制造商或国外制造商在国内合法的分支机构出具的授权函，原件备查。</w:t>
            </w:r>
          </w:p>
        </w:tc>
        <w:tc>
          <w:tcPr>
            <w:tcW w:w="1691" w:type="dxa"/>
            <w:tcBorders>
              <w:top w:val="single" w:color="auto" w:sz="4" w:space="0"/>
              <w:left w:val="nil"/>
              <w:bottom w:val="single" w:color="auto" w:sz="4" w:space="0"/>
              <w:right w:val="single" w:color="auto" w:sz="4" w:space="0"/>
            </w:tcBorders>
            <w:vAlign w:val="center"/>
          </w:tcPr>
          <w:p>
            <w:pPr>
              <w:spacing w:before="60" w:beforeLines="25" w:after="60" w:afterLines="25"/>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spacing w:before="60" w:beforeLines="25" w:after="60" w:afterLines="25"/>
              <w:ind w:left="-53" w:leftChars="-25" w:right="-40" w:rightChars="-19"/>
              <w:jc w:val="center"/>
              <w:rPr>
                <w:rFonts w:cs="宋体"/>
                <w:sz w:val="24"/>
              </w:rPr>
            </w:pPr>
            <w:r>
              <w:rPr>
                <w:rFonts w:hint="eastAsia" w:cs="宋体"/>
                <w:sz w:val="24"/>
              </w:rPr>
              <w:t>（</w:t>
            </w:r>
            <w:r>
              <w:rPr>
                <w:rFonts w:hint="eastAsia" w:cs="宋体"/>
                <w:sz w:val="24"/>
                <w:lang w:val="en-US" w:eastAsia="zh-CN"/>
              </w:rPr>
              <w:t>4</w:t>
            </w:r>
            <w:r>
              <w:rPr>
                <w:rFonts w:hint="eastAsia" w:cs="宋体"/>
                <w:sz w:val="24"/>
              </w:rPr>
              <w:t>）</w:t>
            </w:r>
          </w:p>
        </w:tc>
        <w:tc>
          <w:tcPr>
            <w:tcW w:w="6736" w:type="dxa"/>
            <w:tcBorders>
              <w:top w:val="single" w:color="auto" w:sz="4" w:space="0"/>
              <w:left w:val="nil"/>
              <w:bottom w:val="single" w:color="auto" w:sz="4" w:space="0"/>
              <w:right w:val="single" w:color="auto" w:sz="4" w:space="0"/>
            </w:tcBorders>
            <w:vAlign w:val="center"/>
          </w:tcPr>
          <w:p>
            <w:pPr>
              <w:snapToGrid w:val="0"/>
              <w:spacing w:line="360" w:lineRule="auto"/>
              <w:ind w:left="69" w:firstLine="420" w:firstLineChars="200"/>
              <w:rPr>
                <w:rFonts w:cs="宋体"/>
                <w:bCs/>
                <w:sz w:val="24"/>
                <w:szCs w:val="24"/>
              </w:rPr>
            </w:pPr>
            <w:r>
              <w:rPr>
                <w:rFonts w:hint="eastAsia"/>
                <w:bCs/>
                <w:szCs w:val="21"/>
                <w:lang w:val="en-US" w:eastAsia="zh-CN"/>
              </w:rPr>
              <w:t>4</w:t>
            </w:r>
            <w:r>
              <w:rPr>
                <w:rFonts w:hint="eastAsia"/>
                <w:bCs/>
                <w:szCs w:val="21"/>
              </w:rPr>
              <w:t>、本项目</w:t>
            </w:r>
            <w:r>
              <w:rPr>
                <w:rStyle w:val="33"/>
                <w:rFonts w:hint="eastAsia"/>
                <w:bCs/>
                <w:kern w:val="0"/>
              </w:rPr>
              <w:t>不</w:t>
            </w:r>
            <w:r>
              <w:rPr>
                <w:rFonts w:hint="eastAsia"/>
                <w:bCs/>
                <w:szCs w:val="21"/>
              </w:rPr>
              <w:t>接受联合体投标</w:t>
            </w:r>
          </w:p>
        </w:tc>
        <w:tc>
          <w:tcPr>
            <w:tcW w:w="1691" w:type="dxa"/>
            <w:tcBorders>
              <w:top w:val="single" w:color="auto" w:sz="4" w:space="0"/>
              <w:left w:val="nil"/>
              <w:bottom w:val="single" w:color="auto" w:sz="4" w:space="0"/>
              <w:right w:val="single" w:color="auto" w:sz="4" w:space="0"/>
            </w:tcBorders>
            <w:vAlign w:val="center"/>
          </w:tcPr>
          <w:p>
            <w:pPr>
              <w:spacing w:before="60" w:beforeLines="25" w:after="60" w:afterLines="25"/>
              <w:jc w:val="center"/>
              <w:rPr>
                <w:rFonts w:cs="宋体"/>
                <w:sz w:val="24"/>
              </w:rPr>
            </w:pPr>
          </w:p>
        </w:tc>
      </w:tr>
    </w:tbl>
    <w:p>
      <w:pPr>
        <w:widowControl/>
        <w:spacing w:line="360" w:lineRule="auto"/>
        <w:jc w:val="center"/>
        <w:rPr>
          <w:rFonts w:cs="宋体"/>
          <w:kern w:val="0"/>
          <w:sz w:val="24"/>
          <w:szCs w:val="24"/>
        </w:rPr>
      </w:pPr>
      <w:r>
        <w:rPr>
          <w:rFonts w:hint="eastAsia" w:cs="宋体"/>
          <w:kern w:val="0"/>
          <w:sz w:val="24"/>
          <w:szCs w:val="24"/>
        </w:rPr>
        <w:t> </w:t>
      </w:r>
    </w:p>
    <w:p>
      <w:pPr>
        <w:spacing w:line="360" w:lineRule="auto"/>
        <w:rPr>
          <w:rFonts w:cs="宋体"/>
          <w:sz w:val="24"/>
          <w:szCs w:val="24"/>
        </w:rPr>
      </w:pPr>
      <w:r>
        <w:rPr>
          <w:rFonts w:hint="eastAsia" w:cs="宋体"/>
          <w:sz w:val="24"/>
        </w:rPr>
        <w:t>投标人应按招标文件要求提交的资格证明文件加盖投标人的单位公章后应在此项下提交。</w:t>
      </w:r>
    </w:p>
    <w:p>
      <w:pPr>
        <w:spacing w:line="360" w:lineRule="auto"/>
        <w:ind w:firstLine="4200" w:firstLineChars="1750"/>
        <w:rPr>
          <w:rFonts w:cs="宋体"/>
          <w:sz w:val="24"/>
          <w:szCs w:val="24"/>
        </w:rPr>
      </w:pPr>
      <w:r>
        <w:rPr>
          <w:rFonts w:hint="eastAsia" w:cs="宋体"/>
          <w:sz w:val="24"/>
          <w:szCs w:val="24"/>
        </w:rPr>
        <w:t xml:space="preserve"> </w:t>
      </w:r>
    </w:p>
    <w:p>
      <w:pPr>
        <w:autoSpaceDE w:val="0"/>
        <w:autoSpaceDN w:val="0"/>
        <w:adjustRightInd w:val="0"/>
        <w:spacing w:line="480" w:lineRule="auto"/>
        <w:jc w:val="right"/>
        <w:rPr>
          <w:rFonts w:cs="宋体"/>
          <w:sz w:val="24"/>
          <w:szCs w:val="24"/>
        </w:rPr>
      </w:pPr>
      <w:r>
        <w:rPr>
          <w:rFonts w:hint="eastAsia" w:cs="宋体"/>
          <w:sz w:val="24"/>
          <w:szCs w:val="24"/>
        </w:rPr>
        <w:t>投标人：</w:t>
      </w:r>
      <w:r>
        <w:rPr>
          <w:rFonts w:hint="eastAsia" w:cs="宋体"/>
          <w:sz w:val="24"/>
          <w:szCs w:val="24"/>
          <w:u w:val="single"/>
        </w:rPr>
        <w:t xml:space="preserve">                 </w:t>
      </w:r>
      <w:r>
        <w:rPr>
          <w:rFonts w:hint="eastAsia" w:cs="宋体"/>
          <w:sz w:val="24"/>
          <w:szCs w:val="24"/>
        </w:rPr>
        <w:t>（盖单位公章）</w:t>
      </w:r>
    </w:p>
    <w:p>
      <w:pPr>
        <w:autoSpaceDE w:val="0"/>
        <w:autoSpaceDN w:val="0"/>
        <w:adjustRightInd w:val="0"/>
        <w:spacing w:line="480" w:lineRule="auto"/>
        <w:jc w:val="right"/>
        <w:rPr>
          <w:rFonts w:cs="宋体"/>
          <w:sz w:val="24"/>
          <w:szCs w:val="24"/>
        </w:rPr>
      </w:pPr>
      <w:r>
        <w:rPr>
          <w:rFonts w:hint="eastAsia" w:cs="宋体"/>
          <w:sz w:val="24"/>
          <w:szCs w:val="24"/>
        </w:rPr>
        <w:t>法定代表人或其委托代理人：</w:t>
      </w:r>
      <w:r>
        <w:rPr>
          <w:rFonts w:hint="eastAsia" w:cs="宋体"/>
          <w:sz w:val="24"/>
          <w:szCs w:val="24"/>
          <w:u w:val="single"/>
        </w:rPr>
        <w:t xml:space="preserve">         </w:t>
      </w:r>
      <w:r>
        <w:rPr>
          <w:rFonts w:hint="eastAsia" w:cs="宋体"/>
          <w:sz w:val="24"/>
          <w:szCs w:val="24"/>
        </w:rPr>
        <w:t>（签字或盖章）</w:t>
      </w:r>
    </w:p>
    <w:p>
      <w:pPr>
        <w:autoSpaceDE w:val="0"/>
        <w:autoSpaceDN w:val="0"/>
        <w:adjustRightInd w:val="0"/>
        <w:spacing w:line="480" w:lineRule="auto"/>
        <w:jc w:val="right"/>
        <w:rPr>
          <w:rFonts w:cs="宋体"/>
          <w:b/>
          <w:bCs/>
          <w:kern w:val="0"/>
          <w:sz w:val="28"/>
          <w:szCs w:val="28"/>
        </w:rPr>
      </w:pPr>
      <w:r>
        <w:rPr>
          <w:rFonts w:hint="eastAsia" w:cs="宋体"/>
          <w:sz w:val="24"/>
          <w:szCs w:val="24"/>
          <w:u w:val="single"/>
          <w:lang w:val="zh-CN" w:bidi="zh-CN"/>
        </w:rPr>
        <w:t xml:space="preserve">         </w:t>
      </w:r>
      <w:r>
        <w:rPr>
          <w:rFonts w:hint="eastAsia" w:cs="宋体"/>
          <w:sz w:val="24"/>
          <w:szCs w:val="24"/>
          <w:lang w:val="zh-CN" w:bidi="zh-CN"/>
        </w:rPr>
        <w:t>年</w:t>
      </w:r>
      <w:r>
        <w:rPr>
          <w:rFonts w:hint="eastAsia" w:cs="宋体"/>
          <w:sz w:val="24"/>
          <w:szCs w:val="24"/>
          <w:u w:val="single"/>
          <w:lang w:val="zh-CN" w:bidi="zh-CN"/>
        </w:rPr>
        <w:t xml:space="preserve">      </w:t>
      </w:r>
      <w:r>
        <w:rPr>
          <w:rFonts w:hint="eastAsia" w:cs="宋体"/>
          <w:sz w:val="24"/>
          <w:szCs w:val="24"/>
          <w:lang w:val="zh-CN" w:bidi="zh-CN"/>
        </w:rPr>
        <w:t>月</w:t>
      </w:r>
      <w:r>
        <w:rPr>
          <w:rFonts w:hint="eastAsia" w:cs="宋体"/>
          <w:sz w:val="24"/>
          <w:szCs w:val="24"/>
          <w:u w:val="single"/>
          <w:lang w:val="zh-CN" w:bidi="zh-CN"/>
        </w:rPr>
        <w:t xml:space="preserve">      </w:t>
      </w:r>
      <w:r>
        <w:rPr>
          <w:rFonts w:hint="eastAsia" w:cs="宋体"/>
          <w:sz w:val="24"/>
          <w:szCs w:val="24"/>
          <w:lang w:val="zh-CN" w:bidi="zh-CN"/>
        </w:rPr>
        <w:t>日</w:t>
      </w:r>
    </w:p>
    <w:p/>
    <w:p>
      <w:pPr>
        <w:keepNext w:val="0"/>
        <w:keepLines w:val="0"/>
        <w:spacing w:before="0" w:beforeLines="-2147483648" w:after="0" w:afterLines="-2147483648" w:line="240" w:lineRule="auto"/>
        <w:jc w:val="left"/>
        <w:rPr>
          <w:rFonts w:hint="eastAsia" w:cs="宋体"/>
          <w:b/>
          <w:bCs/>
          <w:kern w:val="0"/>
          <w:sz w:val="28"/>
          <w:szCs w:val="28"/>
        </w:rPr>
      </w:pPr>
      <w:bookmarkStart w:id="939" w:name="_Toc148459150"/>
      <w:r>
        <w:rPr>
          <w:rFonts w:hint="eastAsia" w:cs="宋体"/>
          <w:b/>
          <w:bCs/>
          <w:kern w:val="0"/>
          <w:sz w:val="28"/>
          <w:szCs w:val="28"/>
        </w:rPr>
        <w:br w:type="page"/>
      </w:r>
    </w:p>
    <w:p>
      <w:pPr>
        <w:keepNext/>
        <w:keepLines/>
        <w:spacing w:before="120" w:beforeLines="50" w:after="120" w:afterLines="50" w:line="415" w:lineRule="auto"/>
        <w:jc w:val="center"/>
        <w:rPr>
          <w:rFonts w:cs="宋体"/>
          <w:b/>
          <w:bCs/>
          <w:kern w:val="0"/>
          <w:sz w:val="30"/>
          <w:szCs w:val="30"/>
        </w:rPr>
      </w:pPr>
      <w:r>
        <w:rPr>
          <w:rFonts w:hint="eastAsia" w:cs="宋体"/>
          <w:b/>
          <w:bCs/>
          <w:kern w:val="0"/>
          <w:sz w:val="28"/>
          <w:szCs w:val="28"/>
        </w:rPr>
        <w:t>五、带“★”号条款响应表</w:t>
      </w:r>
      <w:bookmarkEnd w:id="939"/>
    </w:p>
    <w:p>
      <w:pPr>
        <w:spacing w:line="360" w:lineRule="auto"/>
        <w:rPr>
          <w:rFonts w:cs="宋体"/>
          <w:sz w:val="24"/>
          <w:u w:val="single"/>
        </w:rPr>
      </w:pPr>
      <w:r>
        <w:rPr>
          <w:rFonts w:hint="eastAsia" w:cs="宋体"/>
          <w:sz w:val="24"/>
        </w:rPr>
        <w:t>项目名称：</w:t>
      </w:r>
      <w:r>
        <w:rPr>
          <w:rFonts w:hint="eastAsia" w:cs="宋体"/>
          <w:sz w:val="24"/>
          <w:u w:val="single"/>
        </w:rPr>
        <w:t xml:space="preserve">                  </w:t>
      </w:r>
      <w:r>
        <w:rPr>
          <w:rFonts w:hint="eastAsia" w:cs="宋体"/>
          <w:sz w:val="24"/>
        </w:rPr>
        <w:t xml:space="preserve">        招标编号：</w:t>
      </w:r>
      <w:r>
        <w:rPr>
          <w:rFonts w:hint="eastAsia" w:cs="宋体"/>
          <w:sz w:val="24"/>
          <w:u w:val="single"/>
        </w:rPr>
        <w:t xml:space="preserve">                      </w:t>
      </w:r>
    </w:p>
    <w:tbl>
      <w:tblPr>
        <w:tblStyle w:val="28"/>
        <w:tblW w:w="9204"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1"/>
        <w:gridCol w:w="6698"/>
        <w:gridCol w:w="16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881"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cs="宋体"/>
                <w:sz w:val="24"/>
              </w:rPr>
            </w:pPr>
            <w:r>
              <w:rPr>
                <w:rFonts w:hint="eastAsia" w:cs="宋体"/>
                <w:sz w:val="24"/>
              </w:rPr>
              <w:t>序号</w:t>
            </w:r>
          </w:p>
        </w:tc>
        <w:tc>
          <w:tcPr>
            <w:tcW w:w="6698" w:type="dxa"/>
            <w:tcBorders>
              <w:top w:val="single" w:color="auto" w:sz="6" w:space="0"/>
              <w:left w:val="nil"/>
              <w:bottom w:val="single" w:color="auto" w:sz="6" w:space="0"/>
              <w:right w:val="single" w:color="auto" w:sz="6" w:space="0"/>
            </w:tcBorders>
            <w:vAlign w:val="center"/>
          </w:tcPr>
          <w:p>
            <w:pPr>
              <w:spacing w:line="320" w:lineRule="exact"/>
              <w:jc w:val="center"/>
              <w:rPr>
                <w:rFonts w:cs="宋体"/>
                <w:sz w:val="24"/>
              </w:rPr>
            </w:pPr>
            <w:r>
              <w:rPr>
                <w:rFonts w:hint="eastAsia" w:cs="宋体"/>
                <w:sz w:val="24"/>
              </w:rPr>
              <w:t>招标文件中带“</w:t>
            </w:r>
            <w:r>
              <w:rPr>
                <w:rFonts w:hint="eastAsia" w:cs="宋体"/>
                <w:b/>
                <w:bCs/>
                <w:sz w:val="24"/>
              </w:rPr>
              <w:t>★</w:t>
            </w:r>
            <w:r>
              <w:rPr>
                <w:rFonts w:hint="eastAsia" w:cs="宋体"/>
                <w:sz w:val="24"/>
              </w:rPr>
              <w:t>”号的条款</w:t>
            </w:r>
          </w:p>
        </w:tc>
        <w:tc>
          <w:tcPr>
            <w:tcW w:w="1625" w:type="dxa"/>
            <w:tcBorders>
              <w:top w:val="single" w:color="auto" w:sz="6" w:space="0"/>
              <w:left w:val="nil"/>
              <w:bottom w:val="single" w:color="auto" w:sz="6" w:space="0"/>
              <w:right w:val="single" w:color="auto" w:sz="6" w:space="0"/>
            </w:tcBorders>
            <w:vAlign w:val="center"/>
          </w:tcPr>
          <w:p>
            <w:pPr>
              <w:jc w:val="center"/>
              <w:rPr>
                <w:rFonts w:cs="宋体"/>
                <w:sz w:val="24"/>
              </w:rPr>
            </w:pPr>
            <w:r>
              <w:rPr>
                <w:rFonts w:hint="eastAsia" w:cs="宋体"/>
                <w:sz w:val="24"/>
              </w:rPr>
              <w:t>对应页码/响应情况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881" w:type="dxa"/>
            <w:tcBorders>
              <w:top w:val="single" w:color="auto" w:sz="6" w:space="0"/>
              <w:left w:val="single" w:color="auto" w:sz="6" w:space="0"/>
              <w:bottom w:val="single" w:color="auto" w:sz="6" w:space="0"/>
              <w:right w:val="single" w:color="auto" w:sz="6" w:space="0"/>
            </w:tcBorders>
            <w:vAlign w:val="center"/>
          </w:tcPr>
          <w:p>
            <w:pPr>
              <w:spacing w:line="360" w:lineRule="auto"/>
              <w:ind w:left="69"/>
              <w:jc w:val="center"/>
              <w:rPr>
                <w:rFonts w:cs="宋体"/>
                <w:b/>
                <w:bCs/>
                <w:sz w:val="24"/>
              </w:rPr>
            </w:pPr>
            <w:r>
              <w:rPr>
                <w:rFonts w:hint="eastAsia" w:cs="宋体"/>
                <w:b/>
                <w:bCs/>
                <w:sz w:val="24"/>
              </w:rPr>
              <w:t>1</w:t>
            </w:r>
          </w:p>
        </w:tc>
        <w:tc>
          <w:tcPr>
            <w:tcW w:w="6698" w:type="dxa"/>
            <w:tcBorders>
              <w:top w:val="single" w:color="auto" w:sz="6" w:space="0"/>
              <w:left w:val="nil"/>
              <w:bottom w:val="single" w:color="auto" w:sz="6" w:space="0"/>
              <w:right w:val="single" w:color="auto" w:sz="6" w:space="0"/>
            </w:tcBorders>
            <w:vAlign w:val="center"/>
          </w:tcPr>
          <w:p>
            <w:pPr>
              <w:snapToGrid w:val="0"/>
              <w:spacing w:line="360" w:lineRule="auto"/>
              <w:rPr>
                <w:b/>
                <w:bCs/>
              </w:rPr>
            </w:pPr>
            <w:r>
              <w:rPr>
                <w:rFonts w:hint="eastAsia"/>
                <w:b/>
                <w:bCs/>
              </w:rPr>
              <w:t>★质保期：以合同设备验收合格之日起整机质保  年</w:t>
            </w:r>
          </w:p>
        </w:tc>
        <w:tc>
          <w:tcPr>
            <w:tcW w:w="1625" w:type="dxa"/>
            <w:tcBorders>
              <w:top w:val="single" w:color="auto" w:sz="6" w:space="0"/>
              <w:left w:val="nil"/>
              <w:bottom w:val="single" w:color="auto" w:sz="6" w:space="0"/>
              <w:right w:val="single" w:color="auto" w:sz="6" w:space="0"/>
            </w:tcBorders>
            <w:vAlign w:val="center"/>
          </w:tcPr>
          <w:p>
            <w:pPr>
              <w:spacing w:line="360" w:lineRule="auto"/>
              <w:jc w:val="center"/>
              <w:rPr>
                <w:rFonts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881" w:type="dxa"/>
            <w:tcBorders>
              <w:top w:val="single" w:color="auto" w:sz="6" w:space="0"/>
              <w:left w:val="single" w:color="auto" w:sz="6" w:space="0"/>
              <w:bottom w:val="single" w:color="auto" w:sz="6" w:space="0"/>
              <w:right w:val="single" w:color="auto" w:sz="6" w:space="0"/>
            </w:tcBorders>
            <w:vAlign w:val="center"/>
          </w:tcPr>
          <w:p>
            <w:pPr>
              <w:spacing w:line="360" w:lineRule="auto"/>
              <w:ind w:left="69"/>
              <w:jc w:val="center"/>
              <w:rPr>
                <w:rFonts w:cs="宋体"/>
                <w:b/>
                <w:bCs/>
                <w:sz w:val="24"/>
              </w:rPr>
            </w:pPr>
            <w:r>
              <w:rPr>
                <w:rFonts w:hint="eastAsia" w:cs="宋体"/>
                <w:b/>
                <w:bCs/>
                <w:sz w:val="24"/>
              </w:rPr>
              <w:t>2</w:t>
            </w:r>
          </w:p>
        </w:tc>
        <w:tc>
          <w:tcPr>
            <w:tcW w:w="6698" w:type="dxa"/>
            <w:tcBorders>
              <w:top w:val="single" w:color="auto" w:sz="6" w:space="0"/>
              <w:left w:val="nil"/>
              <w:bottom w:val="single" w:color="auto" w:sz="6" w:space="0"/>
              <w:right w:val="single" w:color="auto" w:sz="6" w:space="0"/>
            </w:tcBorders>
            <w:vAlign w:val="center"/>
          </w:tcPr>
          <w:p>
            <w:pPr>
              <w:snapToGrid w:val="0"/>
              <w:spacing w:line="360" w:lineRule="auto"/>
              <w:rPr>
                <w:b/>
                <w:bCs/>
              </w:rPr>
            </w:pPr>
            <w:r>
              <w:rPr>
                <w:rFonts w:hint="eastAsia" w:cs="宋体"/>
                <w:b/>
                <w:bCs/>
                <w:szCs w:val="21"/>
              </w:rPr>
              <w:t>★供应范围：本次招标为交钥匙工程，设备所需物料、服务等均须按招标文件技术要求由投标方负责全部提供</w:t>
            </w:r>
          </w:p>
        </w:tc>
        <w:tc>
          <w:tcPr>
            <w:tcW w:w="1625" w:type="dxa"/>
            <w:tcBorders>
              <w:top w:val="single" w:color="auto" w:sz="6" w:space="0"/>
              <w:left w:val="nil"/>
              <w:bottom w:val="single" w:color="auto" w:sz="6" w:space="0"/>
              <w:right w:val="single" w:color="auto" w:sz="6" w:space="0"/>
            </w:tcBorders>
            <w:vAlign w:val="center"/>
          </w:tcPr>
          <w:p>
            <w:pPr>
              <w:spacing w:line="360" w:lineRule="auto"/>
              <w:jc w:val="center"/>
              <w:rPr>
                <w:rFonts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881" w:type="dxa"/>
            <w:tcBorders>
              <w:top w:val="single" w:color="auto" w:sz="6" w:space="0"/>
              <w:left w:val="single" w:color="auto" w:sz="6" w:space="0"/>
              <w:bottom w:val="single" w:color="auto" w:sz="6" w:space="0"/>
              <w:right w:val="single" w:color="auto" w:sz="6" w:space="0"/>
            </w:tcBorders>
            <w:vAlign w:val="center"/>
          </w:tcPr>
          <w:p>
            <w:pPr>
              <w:spacing w:line="360" w:lineRule="auto"/>
              <w:ind w:left="69"/>
              <w:jc w:val="center"/>
              <w:rPr>
                <w:rFonts w:cs="宋体"/>
                <w:b/>
                <w:bCs/>
                <w:sz w:val="24"/>
              </w:rPr>
            </w:pPr>
            <w:r>
              <w:rPr>
                <w:rFonts w:hint="eastAsia" w:cs="宋体"/>
                <w:b/>
                <w:bCs/>
                <w:sz w:val="24"/>
              </w:rPr>
              <w:t>3</w:t>
            </w:r>
          </w:p>
        </w:tc>
        <w:tc>
          <w:tcPr>
            <w:tcW w:w="6698" w:type="dxa"/>
            <w:tcBorders>
              <w:top w:val="single" w:color="auto" w:sz="6" w:space="0"/>
              <w:left w:val="nil"/>
              <w:bottom w:val="single" w:color="auto" w:sz="6" w:space="0"/>
              <w:right w:val="single" w:color="auto" w:sz="6" w:space="0"/>
            </w:tcBorders>
            <w:vAlign w:val="center"/>
          </w:tcPr>
          <w:p>
            <w:pPr>
              <w:snapToGrid w:val="0"/>
              <w:spacing w:line="360" w:lineRule="auto"/>
              <w:rPr>
                <w:b/>
                <w:bCs/>
              </w:rPr>
            </w:pPr>
            <w:r>
              <w:rPr>
                <w:rFonts w:hint="eastAsia" w:cs="宋体"/>
                <w:b/>
                <w:bCs/>
                <w:szCs w:val="21"/>
              </w:rPr>
              <w:t>★</w:t>
            </w:r>
            <w:r>
              <w:rPr>
                <w:rFonts w:hint="eastAsia" w:cs="宋体"/>
                <w:sz w:val="21"/>
                <w:szCs w:val="21"/>
              </w:rPr>
              <w:t>全部维修调试在合同签订后</w:t>
            </w:r>
            <w:r>
              <w:rPr>
                <w:rFonts w:hint="eastAsia" w:cs="宋体"/>
                <w:sz w:val="21"/>
                <w:szCs w:val="21"/>
                <w:lang w:val="en-US" w:eastAsia="zh-CN"/>
              </w:rPr>
              <w:t xml:space="preserve">    </w:t>
            </w:r>
            <w:r>
              <w:rPr>
                <w:rFonts w:hint="eastAsia" w:cs="宋体"/>
                <w:sz w:val="21"/>
                <w:szCs w:val="21"/>
                <w:u w:val="none"/>
              </w:rPr>
              <w:t>天内</w:t>
            </w:r>
            <w:r>
              <w:rPr>
                <w:rFonts w:hint="eastAsia" w:cs="宋体"/>
                <w:sz w:val="21"/>
                <w:szCs w:val="21"/>
              </w:rPr>
              <w:t>完成。</w:t>
            </w:r>
          </w:p>
        </w:tc>
        <w:tc>
          <w:tcPr>
            <w:tcW w:w="1625" w:type="dxa"/>
            <w:tcBorders>
              <w:top w:val="single" w:color="auto" w:sz="6" w:space="0"/>
              <w:left w:val="nil"/>
              <w:bottom w:val="single" w:color="auto" w:sz="6" w:space="0"/>
              <w:right w:val="single" w:color="auto" w:sz="6" w:space="0"/>
            </w:tcBorders>
            <w:vAlign w:val="center"/>
          </w:tcPr>
          <w:p>
            <w:pPr>
              <w:spacing w:line="360" w:lineRule="auto"/>
              <w:jc w:val="center"/>
              <w:rPr>
                <w:rFonts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881" w:type="dxa"/>
            <w:tcBorders>
              <w:top w:val="single" w:color="auto" w:sz="6" w:space="0"/>
              <w:left w:val="single" w:color="auto" w:sz="6" w:space="0"/>
              <w:bottom w:val="single" w:color="auto" w:sz="6" w:space="0"/>
              <w:right w:val="single" w:color="auto" w:sz="6" w:space="0"/>
            </w:tcBorders>
            <w:vAlign w:val="center"/>
          </w:tcPr>
          <w:p>
            <w:pPr>
              <w:spacing w:line="360" w:lineRule="auto"/>
              <w:ind w:left="69"/>
              <w:jc w:val="center"/>
              <w:rPr>
                <w:rFonts w:cs="宋体"/>
                <w:b/>
                <w:bCs/>
                <w:sz w:val="24"/>
              </w:rPr>
            </w:pPr>
            <w:r>
              <w:rPr>
                <w:rFonts w:hint="eastAsia" w:cs="宋体"/>
                <w:b/>
                <w:bCs/>
                <w:sz w:val="24"/>
              </w:rPr>
              <w:t>4</w:t>
            </w:r>
          </w:p>
        </w:tc>
        <w:tc>
          <w:tcPr>
            <w:tcW w:w="6698" w:type="dxa"/>
            <w:tcBorders>
              <w:top w:val="single" w:color="auto" w:sz="6" w:space="0"/>
              <w:left w:val="nil"/>
              <w:bottom w:val="single" w:color="auto" w:sz="6" w:space="0"/>
              <w:right w:val="single" w:color="auto" w:sz="6" w:space="0"/>
            </w:tcBorders>
            <w:vAlign w:val="center"/>
          </w:tcPr>
          <w:p>
            <w:pPr>
              <w:adjustRightInd w:val="0"/>
              <w:snapToGrid w:val="0"/>
              <w:spacing w:line="360" w:lineRule="auto"/>
              <w:rPr>
                <w:b/>
                <w:bCs/>
              </w:rPr>
            </w:pPr>
            <w:r>
              <w:rPr>
                <w:rFonts w:hint="eastAsia" w:cs="宋体"/>
                <w:b/>
                <w:bCs/>
                <w:szCs w:val="21"/>
              </w:rPr>
              <w:t>★付款方式（详见“第四章招标内容及要求”中“五、付款方式”中的要求）</w:t>
            </w:r>
          </w:p>
        </w:tc>
        <w:tc>
          <w:tcPr>
            <w:tcW w:w="1625" w:type="dxa"/>
            <w:tcBorders>
              <w:top w:val="single" w:color="auto" w:sz="6" w:space="0"/>
              <w:left w:val="nil"/>
              <w:bottom w:val="single" w:color="auto" w:sz="6" w:space="0"/>
              <w:right w:val="single" w:color="auto" w:sz="6" w:space="0"/>
            </w:tcBorders>
            <w:vAlign w:val="center"/>
          </w:tcPr>
          <w:p>
            <w:pPr>
              <w:spacing w:line="360" w:lineRule="auto"/>
              <w:jc w:val="center"/>
              <w:rPr>
                <w:rFonts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881" w:type="dxa"/>
            <w:tcBorders>
              <w:top w:val="single" w:color="auto" w:sz="6" w:space="0"/>
              <w:left w:val="single" w:color="auto" w:sz="6" w:space="0"/>
              <w:bottom w:val="single" w:color="auto" w:sz="6" w:space="0"/>
              <w:right w:val="single" w:color="auto" w:sz="6" w:space="0"/>
            </w:tcBorders>
            <w:vAlign w:val="center"/>
          </w:tcPr>
          <w:p>
            <w:pPr>
              <w:spacing w:line="360" w:lineRule="auto"/>
              <w:ind w:left="69"/>
              <w:jc w:val="center"/>
              <w:rPr>
                <w:rFonts w:cs="宋体"/>
                <w:b/>
                <w:bCs/>
                <w:sz w:val="24"/>
              </w:rPr>
            </w:pPr>
            <w:r>
              <w:rPr>
                <w:rFonts w:hint="eastAsia" w:cs="宋体"/>
                <w:b/>
                <w:bCs/>
                <w:sz w:val="24"/>
              </w:rPr>
              <w:t>5</w:t>
            </w:r>
          </w:p>
        </w:tc>
        <w:tc>
          <w:tcPr>
            <w:tcW w:w="6698" w:type="dxa"/>
            <w:tcBorders>
              <w:top w:val="single" w:color="auto" w:sz="6" w:space="0"/>
              <w:left w:val="nil"/>
              <w:bottom w:val="single" w:color="auto" w:sz="6" w:space="0"/>
              <w:right w:val="single" w:color="auto" w:sz="6" w:space="0"/>
            </w:tcBorders>
            <w:vAlign w:val="center"/>
          </w:tcPr>
          <w:p>
            <w:pPr>
              <w:snapToGrid w:val="0"/>
              <w:spacing w:line="320" w:lineRule="exact"/>
              <w:rPr>
                <w:b/>
                <w:bCs/>
              </w:rPr>
            </w:pPr>
            <w:r>
              <w:rPr>
                <w:rFonts w:hint="eastAsia"/>
                <w:b/>
                <w:bCs/>
              </w:rPr>
              <w:t>……</w:t>
            </w:r>
          </w:p>
        </w:tc>
        <w:tc>
          <w:tcPr>
            <w:tcW w:w="1625" w:type="dxa"/>
            <w:tcBorders>
              <w:top w:val="single" w:color="auto" w:sz="6" w:space="0"/>
              <w:left w:val="nil"/>
              <w:bottom w:val="single" w:color="auto" w:sz="6" w:space="0"/>
              <w:right w:val="single" w:color="auto" w:sz="6" w:space="0"/>
            </w:tcBorders>
            <w:vAlign w:val="center"/>
          </w:tcPr>
          <w:p>
            <w:pPr>
              <w:spacing w:line="360" w:lineRule="auto"/>
              <w:jc w:val="center"/>
              <w:rPr>
                <w:rFonts w:cs="宋体"/>
                <w:sz w:val="24"/>
              </w:rPr>
            </w:pPr>
          </w:p>
        </w:tc>
      </w:tr>
    </w:tbl>
    <w:p>
      <w:pPr>
        <w:ind w:firstLine="482" w:firstLineChars="200"/>
        <w:jc w:val="right"/>
        <w:rPr>
          <w:rFonts w:cs="宋体"/>
          <w:b/>
          <w:bCs/>
          <w:sz w:val="24"/>
        </w:rPr>
      </w:pPr>
    </w:p>
    <w:p>
      <w:pPr>
        <w:spacing w:line="360" w:lineRule="auto"/>
        <w:ind w:firstLine="482" w:firstLineChars="200"/>
        <w:jc w:val="right"/>
        <w:rPr>
          <w:rFonts w:cs="宋体"/>
          <w:sz w:val="24"/>
          <w:szCs w:val="24"/>
        </w:rPr>
      </w:pPr>
      <w:r>
        <w:rPr>
          <w:rFonts w:hint="eastAsia" w:cs="宋体"/>
          <w:b/>
          <w:bCs/>
          <w:sz w:val="24"/>
        </w:rPr>
        <w:t xml:space="preserve"> </w:t>
      </w:r>
      <w:r>
        <w:rPr>
          <w:rFonts w:hint="eastAsia" w:cs="宋体"/>
          <w:sz w:val="24"/>
          <w:szCs w:val="24"/>
        </w:rPr>
        <w:t>投标人：</w:t>
      </w:r>
      <w:r>
        <w:rPr>
          <w:rFonts w:hint="eastAsia" w:cs="宋体"/>
          <w:sz w:val="24"/>
          <w:szCs w:val="24"/>
          <w:u w:val="single"/>
        </w:rPr>
        <w:t xml:space="preserve">                 </w:t>
      </w:r>
      <w:r>
        <w:rPr>
          <w:rFonts w:hint="eastAsia" w:cs="宋体"/>
          <w:sz w:val="24"/>
          <w:szCs w:val="24"/>
        </w:rPr>
        <w:t>（盖单位公章）</w:t>
      </w:r>
    </w:p>
    <w:p>
      <w:pPr>
        <w:autoSpaceDE w:val="0"/>
        <w:autoSpaceDN w:val="0"/>
        <w:adjustRightInd w:val="0"/>
        <w:spacing w:line="360" w:lineRule="auto"/>
        <w:jc w:val="right"/>
        <w:rPr>
          <w:rFonts w:cs="宋体"/>
          <w:sz w:val="24"/>
          <w:szCs w:val="24"/>
        </w:rPr>
      </w:pPr>
      <w:r>
        <w:rPr>
          <w:rFonts w:hint="eastAsia" w:cs="宋体"/>
          <w:sz w:val="24"/>
          <w:szCs w:val="24"/>
        </w:rPr>
        <w:t>法定代表人或其委托代理人：</w:t>
      </w:r>
      <w:r>
        <w:rPr>
          <w:rFonts w:hint="eastAsia" w:cs="宋体"/>
          <w:sz w:val="24"/>
          <w:szCs w:val="24"/>
          <w:u w:val="single"/>
        </w:rPr>
        <w:t xml:space="preserve">         </w:t>
      </w:r>
      <w:r>
        <w:rPr>
          <w:rFonts w:hint="eastAsia" w:cs="宋体"/>
          <w:sz w:val="24"/>
          <w:szCs w:val="24"/>
        </w:rPr>
        <w:t>（签字或盖章）</w:t>
      </w:r>
    </w:p>
    <w:p>
      <w:pPr>
        <w:autoSpaceDE w:val="0"/>
        <w:autoSpaceDN w:val="0"/>
        <w:adjustRightInd w:val="0"/>
        <w:spacing w:line="360" w:lineRule="auto"/>
        <w:jc w:val="right"/>
        <w:rPr>
          <w:rFonts w:cs="宋体"/>
          <w:sz w:val="24"/>
          <w:szCs w:val="24"/>
        </w:rPr>
      </w:pPr>
      <w:r>
        <w:rPr>
          <w:rFonts w:hint="eastAsia" w:cs="宋体"/>
          <w:sz w:val="24"/>
          <w:szCs w:val="24"/>
          <w:u w:val="single"/>
          <w:lang w:val="zh-CN" w:bidi="zh-CN"/>
        </w:rPr>
        <w:t xml:space="preserve">         </w:t>
      </w:r>
      <w:r>
        <w:rPr>
          <w:rFonts w:hint="eastAsia" w:cs="宋体"/>
          <w:sz w:val="24"/>
          <w:szCs w:val="24"/>
          <w:lang w:val="zh-CN" w:bidi="zh-CN"/>
        </w:rPr>
        <w:t>年</w:t>
      </w:r>
      <w:r>
        <w:rPr>
          <w:rFonts w:hint="eastAsia" w:cs="宋体"/>
          <w:sz w:val="24"/>
          <w:szCs w:val="24"/>
          <w:u w:val="single"/>
          <w:lang w:val="zh-CN" w:bidi="zh-CN"/>
        </w:rPr>
        <w:t xml:space="preserve">      </w:t>
      </w:r>
      <w:r>
        <w:rPr>
          <w:rFonts w:hint="eastAsia" w:cs="宋体"/>
          <w:sz w:val="24"/>
          <w:szCs w:val="24"/>
          <w:lang w:val="zh-CN" w:bidi="zh-CN"/>
        </w:rPr>
        <w:t>月</w:t>
      </w:r>
      <w:r>
        <w:rPr>
          <w:rFonts w:hint="eastAsia" w:cs="宋体"/>
          <w:sz w:val="24"/>
          <w:szCs w:val="24"/>
          <w:u w:val="single"/>
          <w:lang w:val="zh-CN" w:bidi="zh-CN"/>
        </w:rPr>
        <w:t xml:space="preserve">      </w:t>
      </w:r>
      <w:r>
        <w:rPr>
          <w:rFonts w:hint="eastAsia" w:cs="宋体"/>
          <w:sz w:val="24"/>
          <w:szCs w:val="24"/>
          <w:lang w:val="zh-CN" w:bidi="zh-CN"/>
        </w:rPr>
        <w:t>日</w:t>
      </w:r>
    </w:p>
    <w:p>
      <w:pPr>
        <w:keepNext/>
        <w:keepLines/>
        <w:adjustRightInd w:val="0"/>
        <w:spacing w:before="260" w:after="260" w:line="416" w:lineRule="atLeast"/>
        <w:textAlignment w:val="baseline"/>
        <w:rPr>
          <w:rFonts w:cs="宋体"/>
          <w:b/>
          <w:bCs/>
          <w:kern w:val="0"/>
          <w:sz w:val="28"/>
          <w:szCs w:val="28"/>
        </w:rPr>
        <w:sectPr>
          <w:headerReference r:id="rId5" w:type="default"/>
          <w:footerReference r:id="rId6" w:type="default"/>
          <w:pgSz w:w="12240" w:h="15840"/>
          <w:pgMar w:top="1418" w:right="1418" w:bottom="1418" w:left="1588" w:header="567" w:footer="839" w:gutter="0"/>
          <w:cols w:space="720" w:num="1"/>
          <w:docGrid w:linePitch="299" w:charSpace="0"/>
        </w:sectPr>
      </w:pPr>
    </w:p>
    <w:p>
      <w:pPr>
        <w:keepNext/>
        <w:keepLines/>
        <w:adjustRightInd w:val="0"/>
        <w:spacing w:before="260" w:after="260" w:line="416" w:lineRule="atLeast"/>
        <w:jc w:val="center"/>
        <w:textAlignment w:val="baseline"/>
        <w:rPr>
          <w:kern w:val="0"/>
          <w:sz w:val="28"/>
          <w:szCs w:val="28"/>
          <w:lang w:val="zh-CN"/>
        </w:rPr>
      </w:pPr>
      <w:r>
        <w:rPr>
          <w:rFonts w:hint="eastAsia" w:cs="宋体"/>
          <w:b/>
          <w:bCs/>
          <w:kern w:val="0"/>
          <w:sz w:val="28"/>
          <w:szCs w:val="28"/>
        </w:rPr>
        <w:t>六、法定代表人资格证明书</w:t>
      </w:r>
    </w:p>
    <w:p>
      <w:pPr>
        <w:autoSpaceDE w:val="0"/>
        <w:autoSpaceDN w:val="0"/>
        <w:spacing w:line="300" w:lineRule="auto"/>
        <w:jc w:val="left"/>
        <w:rPr>
          <w:rFonts w:cs="宋体"/>
          <w:kern w:val="0"/>
          <w:sz w:val="24"/>
          <w:szCs w:val="24"/>
          <w:lang w:val="zh-CN" w:bidi="zh-CN"/>
        </w:rPr>
      </w:pPr>
    </w:p>
    <w:p>
      <w:pPr>
        <w:autoSpaceDE w:val="0"/>
        <w:autoSpaceDN w:val="0"/>
        <w:snapToGrid w:val="0"/>
        <w:spacing w:line="480" w:lineRule="auto"/>
        <w:ind w:firstLine="240" w:firstLineChars="100"/>
        <w:jc w:val="left"/>
        <w:rPr>
          <w:rFonts w:cs="宋体"/>
          <w:sz w:val="24"/>
          <w:szCs w:val="24"/>
          <w:lang w:val="zh-CN" w:bidi="zh-CN"/>
        </w:rPr>
      </w:pPr>
      <w:r>
        <w:rPr>
          <w:rFonts w:hint="eastAsia" w:cs="宋体"/>
          <w:sz w:val="24"/>
          <w:szCs w:val="24"/>
          <w:lang w:val="zh-CN" w:bidi="zh-CN"/>
        </w:rPr>
        <w:t>投标人名称：</w:t>
      </w:r>
      <w:r>
        <w:rPr>
          <w:rFonts w:hint="eastAsia" w:cs="宋体"/>
          <w:sz w:val="24"/>
          <w:szCs w:val="24"/>
          <w:u w:val="single"/>
          <w:lang w:val="zh-CN" w:bidi="zh-CN"/>
        </w:rPr>
        <w:t xml:space="preserve">                                                       </w:t>
      </w:r>
    </w:p>
    <w:p>
      <w:pPr>
        <w:autoSpaceDE w:val="0"/>
        <w:autoSpaceDN w:val="0"/>
        <w:snapToGrid w:val="0"/>
        <w:spacing w:line="480" w:lineRule="auto"/>
        <w:ind w:firstLine="240" w:firstLineChars="100"/>
        <w:jc w:val="left"/>
        <w:rPr>
          <w:rFonts w:cs="宋体"/>
          <w:sz w:val="24"/>
          <w:szCs w:val="24"/>
          <w:lang w:val="zh-CN" w:bidi="zh-CN"/>
        </w:rPr>
      </w:pPr>
      <w:r>
        <w:rPr>
          <w:rFonts w:hint="eastAsia" w:cs="宋体"/>
          <w:sz w:val="24"/>
          <w:szCs w:val="24"/>
          <w:lang w:val="zh-CN" w:bidi="zh-CN"/>
        </w:rPr>
        <w:t>地址：</w:t>
      </w:r>
      <w:r>
        <w:rPr>
          <w:rFonts w:hint="eastAsia" w:cs="宋体"/>
          <w:sz w:val="24"/>
          <w:szCs w:val="24"/>
          <w:u w:val="single"/>
          <w:lang w:val="zh-CN" w:bidi="zh-CN"/>
        </w:rPr>
        <w:t xml:space="preserve">                                                             </w:t>
      </w:r>
    </w:p>
    <w:p>
      <w:pPr>
        <w:autoSpaceDE w:val="0"/>
        <w:autoSpaceDN w:val="0"/>
        <w:snapToGrid w:val="0"/>
        <w:spacing w:line="480" w:lineRule="auto"/>
        <w:ind w:firstLine="240" w:firstLineChars="100"/>
        <w:jc w:val="left"/>
        <w:rPr>
          <w:rFonts w:cs="宋体"/>
          <w:sz w:val="24"/>
          <w:szCs w:val="24"/>
          <w:u w:val="single"/>
          <w:lang w:val="zh-CN" w:bidi="zh-CN"/>
        </w:rPr>
      </w:pPr>
      <w:r>
        <w:rPr>
          <w:rFonts w:hint="eastAsia" w:cs="宋体"/>
          <w:sz w:val="24"/>
          <w:szCs w:val="24"/>
          <w:lang w:val="zh-CN" w:bidi="zh-CN"/>
        </w:rPr>
        <w:t>姓名：</w:t>
      </w:r>
      <w:r>
        <w:rPr>
          <w:rFonts w:hint="eastAsia" w:cs="宋体"/>
          <w:sz w:val="24"/>
          <w:szCs w:val="24"/>
          <w:u w:val="single"/>
          <w:lang w:val="zh-CN" w:bidi="zh-CN"/>
        </w:rPr>
        <w:t xml:space="preserve">               </w:t>
      </w:r>
      <w:r>
        <w:rPr>
          <w:rFonts w:hint="eastAsia" w:cs="宋体"/>
          <w:sz w:val="24"/>
          <w:szCs w:val="24"/>
          <w:lang w:val="zh-CN" w:bidi="zh-CN"/>
        </w:rPr>
        <w:t>性别：</w:t>
      </w:r>
      <w:r>
        <w:rPr>
          <w:rFonts w:hint="eastAsia" w:cs="宋体"/>
          <w:sz w:val="24"/>
          <w:szCs w:val="24"/>
          <w:u w:val="single"/>
          <w:lang w:val="zh-CN" w:bidi="zh-CN"/>
        </w:rPr>
        <w:t xml:space="preserve">        </w:t>
      </w:r>
      <w:r>
        <w:rPr>
          <w:rFonts w:hint="eastAsia" w:cs="宋体"/>
          <w:sz w:val="24"/>
          <w:szCs w:val="24"/>
          <w:lang w:val="zh-CN" w:bidi="zh-CN"/>
        </w:rPr>
        <w:t>身份证号码：</w:t>
      </w:r>
      <w:r>
        <w:rPr>
          <w:rFonts w:hint="eastAsia" w:cs="宋体"/>
          <w:sz w:val="24"/>
          <w:szCs w:val="24"/>
          <w:u w:val="single"/>
          <w:lang w:val="zh-CN" w:bidi="zh-CN"/>
        </w:rPr>
        <w:t xml:space="preserve">                    </w:t>
      </w:r>
    </w:p>
    <w:p>
      <w:pPr>
        <w:autoSpaceDE w:val="0"/>
        <w:autoSpaceDN w:val="0"/>
        <w:snapToGrid w:val="0"/>
        <w:spacing w:line="480" w:lineRule="auto"/>
        <w:ind w:firstLine="240" w:firstLineChars="100"/>
        <w:jc w:val="left"/>
        <w:rPr>
          <w:rFonts w:cs="宋体"/>
          <w:sz w:val="24"/>
          <w:szCs w:val="24"/>
          <w:lang w:val="zh-CN" w:bidi="zh-CN"/>
        </w:rPr>
      </w:pPr>
      <w:r>
        <w:rPr>
          <w:rFonts w:hint="eastAsia" w:cs="宋体"/>
          <w:sz w:val="24"/>
          <w:szCs w:val="24"/>
          <w:lang w:val="zh-CN" w:bidi="zh-CN"/>
        </w:rPr>
        <w:t>职务：</w:t>
      </w:r>
      <w:r>
        <w:rPr>
          <w:rFonts w:hint="eastAsia" w:cs="宋体"/>
          <w:sz w:val="24"/>
          <w:szCs w:val="24"/>
          <w:u w:val="single"/>
          <w:lang w:val="zh-CN" w:bidi="zh-CN"/>
        </w:rPr>
        <w:t xml:space="preserve">               </w:t>
      </w:r>
      <w:r>
        <w:rPr>
          <w:rFonts w:hint="eastAsia" w:cs="宋体"/>
          <w:sz w:val="24"/>
          <w:szCs w:val="24"/>
          <w:lang w:val="zh-CN" w:bidi="zh-CN"/>
        </w:rPr>
        <w:t>联系电话：</w:t>
      </w:r>
      <w:r>
        <w:rPr>
          <w:rFonts w:hint="eastAsia" w:cs="宋体"/>
          <w:sz w:val="24"/>
          <w:szCs w:val="24"/>
          <w:u w:val="single"/>
          <w:lang w:val="zh-CN" w:bidi="zh-CN"/>
        </w:rPr>
        <w:t xml:space="preserve">               </w:t>
      </w:r>
    </w:p>
    <w:p>
      <w:pPr>
        <w:autoSpaceDE w:val="0"/>
        <w:autoSpaceDN w:val="0"/>
        <w:snapToGrid w:val="0"/>
        <w:spacing w:line="480" w:lineRule="auto"/>
        <w:ind w:firstLine="240" w:firstLineChars="100"/>
        <w:jc w:val="left"/>
        <w:rPr>
          <w:rFonts w:cs="宋体"/>
          <w:sz w:val="24"/>
          <w:szCs w:val="24"/>
          <w:lang w:val="zh-CN" w:bidi="zh-CN"/>
        </w:rPr>
      </w:pPr>
      <w:r>
        <w:rPr>
          <w:rFonts w:hint="eastAsia" w:cs="宋体"/>
          <w:sz w:val="24"/>
          <w:szCs w:val="24"/>
          <w:lang w:val="zh-CN" w:bidi="zh-CN"/>
        </w:rPr>
        <w:t>系</w:t>
      </w:r>
      <w:r>
        <w:rPr>
          <w:rFonts w:hint="eastAsia" w:cs="宋体"/>
          <w:sz w:val="24"/>
          <w:szCs w:val="24"/>
          <w:u w:val="single"/>
          <w:lang w:val="zh-CN" w:bidi="zh-CN"/>
        </w:rPr>
        <w:t xml:space="preserve">                               （投标人名称）</w:t>
      </w:r>
      <w:r>
        <w:rPr>
          <w:rFonts w:hint="eastAsia" w:cs="宋体"/>
          <w:sz w:val="24"/>
          <w:szCs w:val="24"/>
          <w:lang w:val="zh-CN" w:bidi="zh-CN"/>
        </w:rPr>
        <w:t>的法定代表人。</w:t>
      </w:r>
    </w:p>
    <w:p>
      <w:pPr>
        <w:autoSpaceDE w:val="0"/>
        <w:autoSpaceDN w:val="0"/>
        <w:snapToGrid w:val="0"/>
        <w:spacing w:line="480" w:lineRule="auto"/>
        <w:ind w:firstLine="960" w:firstLineChars="400"/>
        <w:jc w:val="left"/>
        <w:rPr>
          <w:rFonts w:cs="宋体"/>
          <w:sz w:val="24"/>
          <w:szCs w:val="24"/>
          <w:lang w:val="zh-CN" w:bidi="zh-CN"/>
        </w:rPr>
      </w:pPr>
      <w:r>
        <w:rPr>
          <w:rFonts w:hint="eastAsia" w:cs="宋体"/>
          <w:sz w:val="24"/>
          <w:szCs w:val="24"/>
          <w:lang w:val="zh-CN" w:bidi="zh-CN"/>
        </w:rPr>
        <w:t>特此证明。</w:t>
      </w:r>
    </w:p>
    <w:p>
      <w:pPr>
        <w:adjustRightInd w:val="0"/>
        <w:snapToGrid w:val="0"/>
        <w:spacing w:line="480" w:lineRule="auto"/>
        <w:ind w:firstLine="480" w:firstLineChars="200"/>
        <w:textAlignment w:val="baseline"/>
        <w:rPr>
          <w:rFonts w:cs="宋体"/>
          <w:sz w:val="24"/>
          <w:szCs w:val="24"/>
          <w:lang w:val="zh-CN"/>
        </w:rPr>
      </w:pPr>
      <w:r>
        <w:rPr>
          <w:rFonts w:hint="eastAsia" w:cs="宋体"/>
          <w:sz w:val="24"/>
          <w:szCs w:val="24"/>
          <w:lang w:val="zh-CN"/>
        </w:rPr>
        <w:t>附：法定代表人身份证复印件</w:t>
      </w:r>
    </w:p>
    <w:p>
      <w:pPr>
        <w:tabs>
          <w:tab w:val="left" w:pos="0"/>
          <w:tab w:val="left" w:pos="993"/>
          <w:tab w:val="left" w:pos="1134"/>
        </w:tabs>
        <w:autoSpaceDE w:val="0"/>
        <w:autoSpaceDN w:val="0"/>
        <w:spacing w:after="120"/>
        <w:ind w:left="420" w:leftChars="200" w:firstLine="480" w:firstLineChars="200"/>
        <w:jc w:val="left"/>
        <w:rPr>
          <w:rFonts w:cs="宋体"/>
          <w:sz w:val="24"/>
          <w:szCs w:val="24"/>
          <w:lang w:val="zh-CN" w:bidi="zh-CN"/>
        </w:rPr>
      </w:pPr>
    </w:p>
    <w:p>
      <w:pPr>
        <w:tabs>
          <w:tab w:val="left" w:pos="6661"/>
        </w:tabs>
        <w:autoSpaceDE w:val="0"/>
        <w:autoSpaceDN w:val="0"/>
        <w:spacing w:line="720" w:lineRule="auto"/>
        <w:ind w:firstLine="3600" w:firstLineChars="1500"/>
        <w:rPr>
          <w:rFonts w:cs="宋体"/>
          <w:sz w:val="24"/>
          <w:szCs w:val="24"/>
          <w:lang w:val="zh-CN" w:bidi="zh-CN"/>
        </w:rPr>
      </w:pPr>
    </w:p>
    <w:p>
      <w:pPr>
        <w:tabs>
          <w:tab w:val="left" w:pos="6661"/>
        </w:tabs>
        <w:autoSpaceDE w:val="0"/>
        <w:autoSpaceDN w:val="0"/>
        <w:spacing w:line="480" w:lineRule="auto"/>
        <w:ind w:firstLine="3600" w:firstLineChars="1500"/>
        <w:rPr>
          <w:rFonts w:cs="宋体"/>
          <w:sz w:val="24"/>
          <w:szCs w:val="24"/>
          <w:lang w:val="zh-CN" w:bidi="zh-CN"/>
        </w:rPr>
      </w:pPr>
      <w:r>
        <w:rPr>
          <w:rFonts w:hint="eastAsia" w:cs="宋体"/>
          <w:sz w:val="24"/>
          <w:szCs w:val="24"/>
          <w:lang w:val="zh-CN" w:bidi="zh-CN"/>
        </w:rPr>
        <w:t>投标人：</w:t>
      </w:r>
      <w:r>
        <w:rPr>
          <w:rFonts w:hint="eastAsia" w:cs="宋体"/>
          <w:sz w:val="24"/>
          <w:szCs w:val="24"/>
          <w:u w:val="single"/>
          <w:lang w:val="zh-CN" w:bidi="zh-CN"/>
        </w:rPr>
        <w:t xml:space="preserve">                        </w:t>
      </w:r>
      <w:r>
        <w:rPr>
          <w:rFonts w:hint="eastAsia" w:cs="宋体"/>
          <w:sz w:val="24"/>
          <w:szCs w:val="24"/>
          <w:lang w:val="zh-CN" w:bidi="zh-CN"/>
        </w:rPr>
        <w:t>(盖单位公章)</w:t>
      </w:r>
    </w:p>
    <w:p>
      <w:pPr>
        <w:tabs>
          <w:tab w:val="left" w:pos="5730"/>
          <w:tab w:val="left" w:pos="6332"/>
          <w:tab w:val="left" w:pos="7530"/>
        </w:tabs>
        <w:autoSpaceDE w:val="0"/>
        <w:autoSpaceDN w:val="0"/>
        <w:spacing w:line="480" w:lineRule="auto"/>
        <w:ind w:left="4861"/>
        <w:sectPr>
          <w:pgSz w:w="12240" w:h="15840"/>
          <w:pgMar w:top="1418" w:right="1418" w:bottom="1418" w:left="1588" w:header="567" w:footer="839" w:gutter="0"/>
          <w:cols w:space="720" w:num="1"/>
          <w:docGrid w:linePitch="299" w:charSpace="0"/>
        </w:sectPr>
      </w:pPr>
      <w:r>
        <w:rPr>
          <w:rFonts w:hint="eastAsia" w:cs="宋体"/>
          <w:sz w:val="24"/>
          <w:szCs w:val="24"/>
          <w:u w:val="single"/>
          <w:lang w:val="zh-CN" w:bidi="zh-CN"/>
        </w:rPr>
        <w:t xml:space="preserve"> </w:t>
      </w:r>
      <w:r>
        <w:rPr>
          <w:rFonts w:hint="eastAsia" w:cs="宋体"/>
          <w:sz w:val="24"/>
          <w:szCs w:val="24"/>
          <w:u w:val="single"/>
          <w:lang w:bidi="zh-CN"/>
        </w:rPr>
        <w:t xml:space="preserve"> </w:t>
      </w:r>
      <w:r>
        <w:rPr>
          <w:rFonts w:hint="eastAsia" w:cs="宋体"/>
          <w:sz w:val="24"/>
          <w:szCs w:val="24"/>
          <w:u w:val="single"/>
          <w:lang w:val="zh-CN" w:bidi="zh-CN"/>
        </w:rPr>
        <w:tab/>
      </w:r>
      <w:r>
        <w:rPr>
          <w:rFonts w:hint="eastAsia" w:cs="宋体"/>
          <w:sz w:val="24"/>
          <w:szCs w:val="24"/>
          <w:u w:val="single"/>
          <w:lang w:bidi="zh-CN"/>
        </w:rPr>
        <w:t xml:space="preserve">  </w:t>
      </w:r>
      <w:r>
        <w:rPr>
          <w:rFonts w:hint="eastAsia" w:cs="宋体"/>
          <w:sz w:val="24"/>
          <w:szCs w:val="24"/>
          <w:lang w:val="zh-CN" w:bidi="zh-CN"/>
        </w:rPr>
        <w:t>年</w:t>
      </w:r>
      <w:r>
        <w:rPr>
          <w:rFonts w:hint="eastAsia" w:cs="宋体"/>
          <w:sz w:val="24"/>
          <w:szCs w:val="24"/>
          <w:u w:val="single"/>
          <w:lang w:val="zh-CN" w:bidi="zh-CN"/>
        </w:rPr>
        <w:t xml:space="preserve">  </w:t>
      </w:r>
      <w:r>
        <w:rPr>
          <w:rFonts w:hint="eastAsia" w:cs="宋体"/>
          <w:sz w:val="24"/>
          <w:szCs w:val="24"/>
          <w:u w:val="single"/>
          <w:lang w:bidi="zh-CN"/>
        </w:rPr>
        <w:t xml:space="preserve">    </w:t>
      </w:r>
      <w:r>
        <w:rPr>
          <w:rFonts w:hint="eastAsia" w:cs="宋体"/>
          <w:sz w:val="24"/>
          <w:szCs w:val="24"/>
          <w:u w:val="single"/>
          <w:lang w:val="zh-CN" w:bidi="zh-CN"/>
        </w:rPr>
        <w:t xml:space="preserve"> </w:t>
      </w:r>
      <w:r>
        <w:rPr>
          <w:rFonts w:hint="eastAsia" w:cs="宋体"/>
          <w:sz w:val="24"/>
          <w:szCs w:val="24"/>
          <w:u w:val="single"/>
          <w:lang w:bidi="zh-CN"/>
        </w:rPr>
        <w:t xml:space="preserve"> </w:t>
      </w:r>
      <w:r>
        <w:rPr>
          <w:rFonts w:hint="eastAsia" w:cs="宋体"/>
          <w:sz w:val="24"/>
          <w:szCs w:val="24"/>
          <w:u w:val="single"/>
          <w:lang w:val="zh-CN" w:bidi="zh-CN"/>
        </w:rPr>
        <w:t xml:space="preserve">  </w:t>
      </w:r>
      <w:r>
        <w:rPr>
          <w:rFonts w:hint="eastAsia" w:cs="宋体"/>
          <w:sz w:val="24"/>
          <w:szCs w:val="24"/>
          <w:lang w:val="zh-CN" w:bidi="zh-CN"/>
        </w:rPr>
        <w:t>月</w:t>
      </w:r>
      <w:r>
        <w:rPr>
          <w:rFonts w:hint="eastAsia" w:cs="宋体"/>
          <w:sz w:val="24"/>
          <w:szCs w:val="24"/>
          <w:u w:val="single"/>
          <w:lang w:val="zh-CN" w:bidi="zh-CN"/>
        </w:rPr>
        <w:t xml:space="preserve"> </w:t>
      </w:r>
      <w:r>
        <w:rPr>
          <w:rFonts w:hint="eastAsia" w:cs="宋体"/>
          <w:sz w:val="24"/>
          <w:szCs w:val="24"/>
          <w:u w:val="single"/>
          <w:lang w:val="zh-CN" w:bidi="zh-CN"/>
        </w:rPr>
        <w:tab/>
      </w:r>
      <w:r>
        <w:rPr>
          <w:rFonts w:hint="eastAsia" w:cs="宋体"/>
          <w:sz w:val="24"/>
          <w:szCs w:val="24"/>
          <w:u w:val="single"/>
          <w:lang w:bidi="zh-CN"/>
        </w:rPr>
        <w:t xml:space="preserve">     </w:t>
      </w:r>
      <w:r>
        <w:rPr>
          <w:rFonts w:hint="eastAsia" w:cs="宋体"/>
          <w:sz w:val="24"/>
          <w:szCs w:val="24"/>
          <w:lang w:val="zh-CN" w:bidi="zh-CN"/>
        </w:rPr>
        <w:t>日</w:t>
      </w:r>
    </w:p>
    <w:p>
      <w:pPr>
        <w:keepNext/>
        <w:keepLines/>
        <w:adjustRightInd w:val="0"/>
        <w:spacing w:before="260" w:after="260" w:line="416" w:lineRule="atLeast"/>
        <w:jc w:val="center"/>
        <w:textAlignment w:val="baseline"/>
        <w:rPr>
          <w:rFonts w:cs="宋体"/>
          <w:b/>
          <w:bCs/>
          <w:kern w:val="0"/>
          <w:sz w:val="28"/>
          <w:szCs w:val="28"/>
        </w:rPr>
      </w:pPr>
      <w:r>
        <w:rPr>
          <w:rFonts w:hint="eastAsia" w:cs="宋体"/>
          <w:b/>
          <w:bCs/>
          <w:kern w:val="0"/>
          <w:sz w:val="28"/>
          <w:szCs w:val="28"/>
        </w:rPr>
        <w:t>七、授权委托书</w:t>
      </w:r>
    </w:p>
    <w:p>
      <w:pPr>
        <w:snapToGrid w:val="0"/>
        <w:spacing w:line="360" w:lineRule="auto"/>
        <w:ind w:firstLine="480" w:firstLineChars="200"/>
        <w:rPr>
          <w:rFonts w:cs="宋体"/>
          <w:sz w:val="24"/>
        </w:rPr>
      </w:pPr>
      <w:r>
        <w:rPr>
          <w:rFonts w:hint="eastAsia" w:cs="宋体"/>
          <w:sz w:val="24"/>
        </w:rPr>
        <w:t>本人</w:t>
      </w:r>
      <w:r>
        <w:rPr>
          <w:rFonts w:hint="eastAsia" w:cs="宋体"/>
          <w:sz w:val="24"/>
          <w:u w:val="single"/>
        </w:rPr>
        <w:t xml:space="preserve">      （姓名）</w:t>
      </w:r>
      <w:r>
        <w:rPr>
          <w:rFonts w:hint="eastAsia" w:cs="宋体"/>
          <w:sz w:val="24"/>
        </w:rPr>
        <w:t>系</w:t>
      </w:r>
      <w:r>
        <w:rPr>
          <w:rFonts w:hint="eastAsia" w:cs="宋体"/>
          <w:sz w:val="24"/>
          <w:u w:val="single"/>
        </w:rPr>
        <w:t xml:space="preserve">      （投标人全称）</w:t>
      </w:r>
      <w:r>
        <w:rPr>
          <w:rFonts w:hint="eastAsia" w:cs="宋体"/>
          <w:sz w:val="24"/>
        </w:rPr>
        <w:t>的法定代表人，现授权委托</w:t>
      </w:r>
      <w:r>
        <w:rPr>
          <w:rFonts w:hint="eastAsia" w:cs="宋体"/>
          <w:sz w:val="24"/>
          <w:u w:val="single"/>
        </w:rPr>
        <w:t xml:space="preserve">      （投标人代表姓名）</w:t>
      </w:r>
      <w:r>
        <w:rPr>
          <w:rFonts w:hint="eastAsia" w:cs="宋体"/>
          <w:sz w:val="24"/>
        </w:rPr>
        <w:t>为投标人代表，代表我方参加</w:t>
      </w:r>
      <w:r>
        <w:rPr>
          <w:rFonts w:hint="eastAsia" w:cs="宋体"/>
          <w:sz w:val="24"/>
          <w:u w:val="single"/>
        </w:rPr>
        <w:t xml:space="preserve">     （项目名称）</w:t>
      </w:r>
      <w:r>
        <w:rPr>
          <w:rFonts w:hint="eastAsia" w:cs="宋体"/>
          <w:sz w:val="24"/>
        </w:rPr>
        <w:t>项目</w:t>
      </w:r>
      <w:r>
        <w:rPr>
          <w:rFonts w:hint="eastAsia" w:cs="宋体"/>
          <w:sz w:val="24"/>
          <w:u w:val="single"/>
        </w:rPr>
        <w:t>（招标编号：      ）</w:t>
      </w:r>
      <w:r>
        <w:rPr>
          <w:rFonts w:hint="eastAsia" w:cs="宋体"/>
          <w:sz w:val="24"/>
        </w:rPr>
        <w:t>招标活动，全权代表我方处理投标过程的一切事宜，包括但不限于：投标、参与开标、谈判、签约等。投标人代表在投标过程中所签署的一切文件和处理与之有关的一切事务，我方均予以认可并对此承担责任。投标人代表无转委权。</w:t>
      </w:r>
    </w:p>
    <w:p>
      <w:pPr>
        <w:snapToGrid w:val="0"/>
        <w:spacing w:line="360" w:lineRule="auto"/>
        <w:ind w:firstLine="480" w:firstLineChars="200"/>
        <w:rPr>
          <w:rFonts w:cs="宋体"/>
          <w:sz w:val="24"/>
        </w:rPr>
      </w:pPr>
      <w:r>
        <w:rPr>
          <w:rFonts w:hint="eastAsia" w:cs="宋体"/>
          <w:sz w:val="24"/>
        </w:rPr>
        <w:t>特此授权。</w:t>
      </w:r>
    </w:p>
    <w:p>
      <w:pPr>
        <w:snapToGrid w:val="0"/>
        <w:spacing w:line="360" w:lineRule="auto"/>
        <w:ind w:firstLine="480" w:firstLineChars="200"/>
        <w:rPr>
          <w:rFonts w:cs="宋体"/>
          <w:sz w:val="24"/>
        </w:rPr>
      </w:pPr>
      <w:r>
        <w:rPr>
          <w:rFonts w:hint="eastAsia" w:cs="宋体"/>
          <w:sz w:val="24"/>
        </w:rPr>
        <w:t>本授权书自出具之日起生效。</w:t>
      </w:r>
    </w:p>
    <w:p>
      <w:pPr>
        <w:snapToGrid w:val="0"/>
        <w:spacing w:line="360" w:lineRule="auto"/>
        <w:ind w:firstLine="480" w:firstLineChars="200"/>
        <w:rPr>
          <w:rFonts w:cs="宋体"/>
          <w:sz w:val="24"/>
        </w:rPr>
      </w:pPr>
      <w:r>
        <w:rPr>
          <w:rFonts w:hint="eastAsia" w:cs="宋体"/>
          <w:sz w:val="24"/>
        </w:rPr>
        <w:t xml:space="preserve">投标人代表: </w:t>
      </w:r>
      <w:r>
        <w:rPr>
          <w:rFonts w:hint="eastAsia" w:cs="宋体"/>
          <w:sz w:val="24"/>
          <w:u w:val="single"/>
        </w:rPr>
        <w:t xml:space="preserve">                            </w:t>
      </w:r>
      <w:r>
        <w:rPr>
          <w:rFonts w:hint="eastAsia" w:cs="宋体"/>
          <w:sz w:val="24"/>
        </w:rPr>
        <w:t>性别：</w:t>
      </w:r>
      <w:r>
        <w:rPr>
          <w:rFonts w:hint="eastAsia" w:cs="宋体"/>
          <w:sz w:val="24"/>
          <w:u w:val="single"/>
        </w:rPr>
        <w:t xml:space="preserve">                   </w:t>
      </w:r>
    </w:p>
    <w:p>
      <w:pPr>
        <w:snapToGrid w:val="0"/>
        <w:spacing w:line="360" w:lineRule="auto"/>
        <w:ind w:firstLine="480" w:firstLineChars="200"/>
        <w:rPr>
          <w:rFonts w:cs="宋体"/>
          <w:sz w:val="24"/>
          <w:u w:val="single"/>
        </w:rPr>
      </w:pPr>
      <w:r>
        <w:rPr>
          <w:rFonts w:hint="eastAsia" w:cs="宋体"/>
          <w:sz w:val="24"/>
        </w:rPr>
        <w:t>身份证号：</w:t>
      </w:r>
      <w:r>
        <w:rPr>
          <w:rFonts w:hint="eastAsia" w:cs="宋体"/>
          <w:sz w:val="24"/>
          <w:u w:val="single"/>
        </w:rPr>
        <w:t xml:space="preserve">                              </w:t>
      </w:r>
      <w:r>
        <w:rPr>
          <w:rFonts w:hint="eastAsia" w:cs="宋体"/>
          <w:sz w:val="24"/>
        </w:rPr>
        <w:t>单位:</w:t>
      </w:r>
      <w:r>
        <w:rPr>
          <w:rFonts w:hint="eastAsia" w:cs="宋体"/>
          <w:sz w:val="24"/>
          <w:u w:val="single"/>
        </w:rPr>
        <w:t xml:space="preserve">                    </w:t>
      </w:r>
    </w:p>
    <w:p>
      <w:pPr>
        <w:snapToGrid w:val="0"/>
        <w:spacing w:line="360" w:lineRule="auto"/>
        <w:ind w:firstLine="480" w:firstLineChars="200"/>
        <w:rPr>
          <w:rFonts w:cs="宋体"/>
          <w:sz w:val="24"/>
          <w:u w:val="single"/>
        </w:rPr>
      </w:pPr>
      <w:r>
        <w:rPr>
          <w:rFonts w:hint="eastAsia" w:cs="宋体"/>
          <w:sz w:val="24"/>
        </w:rPr>
        <w:t>详细通讯地址：</w:t>
      </w:r>
      <w:r>
        <w:rPr>
          <w:rFonts w:hint="eastAsia" w:cs="宋体"/>
          <w:sz w:val="24"/>
          <w:u w:val="single"/>
        </w:rPr>
        <w:t xml:space="preserve">                          </w:t>
      </w:r>
      <w:r>
        <w:rPr>
          <w:rFonts w:hint="eastAsia" w:cs="宋体"/>
          <w:sz w:val="24"/>
        </w:rPr>
        <w:t>电话：</w:t>
      </w:r>
      <w:r>
        <w:rPr>
          <w:rFonts w:hint="eastAsia" w:cs="宋体"/>
          <w:sz w:val="24"/>
          <w:u w:val="single"/>
        </w:rPr>
        <w:t xml:space="preserve">                   </w:t>
      </w:r>
    </w:p>
    <w:p>
      <w:pPr>
        <w:snapToGrid w:val="0"/>
        <w:spacing w:line="360" w:lineRule="auto"/>
        <w:ind w:firstLine="480" w:firstLineChars="200"/>
        <w:rPr>
          <w:rFonts w:cs="宋体"/>
          <w:sz w:val="24"/>
          <w:u w:val="single"/>
        </w:rPr>
      </w:pPr>
      <w:r>
        <w:rPr>
          <w:rFonts w:hint="eastAsia" w:cs="宋体"/>
          <w:sz w:val="24"/>
        </w:rPr>
        <w:t>邮箱：</w:t>
      </w:r>
      <w:r>
        <w:rPr>
          <w:rFonts w:hint="eastAsia" w:cs="宋体"/>
          <w:sz w:val="24"/>
          <w:u w:val="single"/>
        </w:rPr>
        <w:t xml:space="preserve">                                  </w:t>
      </w:r>
    </w:p>
    <w:p>
      <w:pPr>
        <w:snapToGrid w:val="0"/>
        <w:spacing w:line="360" w:lineRule="auto"/>
        <w:ind w:firstLine="480" w:firstLineChars="200"/>
        <w:rPr>
          <w:rFonts w:cs="宋体"/>
          <w:sz w:val="24"/>
        </w:rPr>
      </w:pPr>
    </w:p>
    <w:p>
      <w:pPr>
        <w:snapToGrid w:val="0"/>
        <w:spacing w:line="360" w:lineRule="auto"/>
        <w:ind w:firstLine="480" w:firstLineChars="200"/>
        <w:rPr>
          <w:rFonts w:cs="宋体"/>
          <w:sz w:val="24"/>
        </w:rPr>
      </w:pPr>
      <w:r>
        <w:rPr>
          <w:rFonts w:hint="eastAsia" w:cs="宋体"/>
          <w:sz w:val="24"/>
        </w:rPr>
        <w:t>授权方</w:t>
      </w:r>
    </w:p>
    <w:p>
      <w:pPr>
        <w:snapToGrid w:val="0"/>
        <w:spacing w:line="360" w:lineRule="auto"/>
        <w:ind w:firstLine="480" w:firstLineChars="200"/>
        <w:rPr>
          <w:rFonts w:cs="宋体"/>
          <w:sz w:val="24"/>
        </w:rPr>
      </w:pPr>
      <w:r>
        <w:rPr>
          <w:rFonts w:hint="eastAsia" w:cs="宋体"/>
          <w:sz w:val="24"/>
        </w:rPr>
        <w:t>投标人全称（加盖公章）：</w:t>
      </w:r>
      <w:r>
        <w:rPr>
          <w:rFonts w:hint="eastAsia" w:cs="宋体"/>
          <w:sz w:val="24"/>
          <w:u w:val="single"/>
        </w:rPr>
        <w:t xml:space="preserve">                              </w:t>
      </w:r>
    </w:p>
    <w:p>
      <w:pPr>
        <w:snapToGrid w:val="0"/>
        <w:spacing w:line="360" w:lineRule="auto"/>
        <w:ind w:firstLine="480" w:firstLineChars="200"/>
        <w:rPr>
          <w:rFonts w:cs="宋体"/>
          <w:sz w:val="24"/>
        </w:rPr>
      </w:pPr>
      <w:r>
        <w:rPr>
          <w:rFonts w:hint="eastAsia" w:cs="宋体"/>
          <w:sz w:val="24"/>
        </w:rPr>
        <w:t>法定代表人（单位负责人）签字（或签章）：______________</w:t>
      </w:r>
    </w:p>
    <w:p>
      <w:pPr>
        <w:snapToGrid w:val="0"/>
        <w:spacing w:line="360" w:lineRule="auto"/>
        <w:ind w:firstLine="480" w:firstLineChars="200"/>
        <w:rPr>
          <w:rFonts w:cs="宋体"/>
          <w:sz w:val="24"/>
        </w:rPr>
      </w:pPr>
    </w:p>
    <w:p>
      <w:pPr>
        <w:snapToGrid w:val="0"/>
        <w:spacing w:line="360" w:lineRule="auto"/>
        <w:ind w:firstLine="480" w:firstLineChars="200"/>
        <w:rPr>
          <w:rFonts w:cs="宋体"/>
          <w:sz w:val="24"/>
        </w:rPr>
      </w:pPr>
      <w:r>
        <w:rPr>
          <w:rFonts w:hint="eastAsia" w:cs="宋体"/>
          <w:sz w:val="24"/>
        </w:rPr>
        <w:t>接受授权方</w:t>
      </w:r>
    </w:p>
    <w:p>
      <w:pPr>
        <w:snapToGrid w:val="0"/>
        <w:spacing w:line="360" w:lineRule="auto"/>
        <w:ind w:firstLine="480" w:firstLineChars="200"/>
        <w:rPr>
          <w:rFonts w:cs="宋体"/>
          <w:sz w:val="24"/>
        </w:rPr>
      </w:pPr>
      <w:r>
        <w:rPr>
          <w:rFonts w:hint="eastAsia" w:cs="宋体"/>
          <w:sz w:val="24"/>
        </w:rPr>
        <w:t>投标人代表签字（或签章）：_____________________________</w:t>
      </w:r>
    </w:p>
    <w:p>
      <w:pPr>
        <w:snapToGrid w:val="0"/>
        <w:spacing w:line="360" w:lineRule="auto"/>
        <w:ind w:firstLine="480" w:firstLineChars="200"/>
        <w:rPr>
          <w:rFonts w:cs="宋体"/>
          <w:sz w:val="24"/>
        </w:rPr>
      </w:pPr>
      <w:r>
        <w:rPr>
          <w:rFonts w:hint="eastAsia" w:cs="宋体"/>
          <w:sz w:val="24"/>
        </w:rPr>
        <w:t>日 期：</w:t>
      </w:r>
      <w:r>
        <w:rPr>
          <w:rFonts w:hint="eastAsia" w:cs="宋体"/>
          <w:sz w:val="24"/>
          <w:u w:val="single"/>
        </w:rPr>
        <w:t xml:space="preserve">                                               </w:t>
      </w:r>
    </w:p>
    <w:p>
      <w:pPr>
        <w:snapToGrid w:val="0"/>
        <w:spacing w:line="360" w:lineRule="auto"/>
        <w:ind w:firstLine="480" w:firstLineChars="200"/>
        <w:rPr>
          <w:rFonts w:cs="宋体"/>
          <w:sz w:val="24"/>
          <w:szCs w:val="24"/>
        </w:rPr>
      </w:pPr>
    </w:p>
    <w:p>
      <w:pPr>
        <w:snapToGrid w:val="0"/>
        <w:spacing w:line="360" w:lineRule="auto"/>
        <w:ind w:firstLine="480" w:firstLineChars="200"/>
        <w:rPr>
          <w:rFonts w:cs="宋体"/>
          <w:b/>
          <w:bCs/>
          <w:sz w:val="36"/>
          <w:szCs w:val="36"/>
        </w:rPr>
      </w:pPr>
      <w:r>
        <w:rPr>
          <w:rFonts w:hint="eastAsia" w:cs="宋体"/>
          <w:sz w:val="24"/>
          <w:szCs w:val="24"/>
        </w:rPr>
        <w:t>后附：授权人和被授权人身份证复印件并加盖单位公章。</w:t>
      </w:r>
      <w:r>
        <w:rPr>
          <w:rFonts w:hint="eastAsia" w:cs="宋体"/>
          <w:sz w:val="23"/>
        </w:rPr>
        <w:br w:type="page"/>
      </w:r>
    </w:p>
    <w:p>
      <w:pPr>
        <w:spacing w:line="360" w:lineRule="auto"/>
        <w:jc w:val="center"/>
        <w:rPr>
          <w:rFonts w:cs="宋体"/>
          <w:b/>
          <w:bCs/>
          <w:sz w:val="72"/>
          <w:szCs w:val="72"/>
        </w:rPr>
      </w:pPr>
      <w:r>
        <w:rPr>
          <w:sz w:val="72"/>
        </w:rPr>
        <mc:AlternateContent>
          <mc:Choice Requires="wps">
            <w:drawing>
              <wp:anchor distT="0" distB="0" distL="114300" distR="114300" simplePos="0" relativeHeight="251659264" behindDoc="0" locked="0" layoutInCell="1" allowOverlap="1">
                <wp:simplePos x="0" y="0"/>
                <wp:positionH relativeFrom="column">
                  <wp:posOffset>-60325</wp:posOffset>
                </wp:positionH>
                <wp:positionV relativeFrom="paragraph">
                  <wp:posOffset>250825</wp:posOffset>
                </wp:positionV>
                <wp:extent cx="5379720" cy="2864485"/>
                <wp:effectExtent l="4445" t="4445" r="6985" b="7620"/>
                <wp:wrapNone/>
                <wp:docPr id="1" name="矩形 1"/>
                <wp:cNvGraphicFramePr/>
                <a:graphic xmlns:a="http://schemas.openxmlformats.org/drawingml/2006/main">
                  <a:graphicData uri="http://schemas.microsoft.com/office/word/2010/wordprocessingShape">
                    <wps:wsp>
                      <wps:cNvSpPr/>
                      <wps:spPr>
                        <a:xfrm>
                          <a:off x="0" y="0"/>
                          <a:ext cx="5379720" cy="28644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cs="宋体"/>
                                <w:b/>
                                <w:bCs/>
                                <w:sz w:val="23"/>
                              </w:rPr>
                              <w:t>授权人身份证复印件并加盖单位公章</w:t>
                            </w:r>
                          </w:p>
                        </w:txbxContent>
                      </wps:txbx>
                      <wps:bodyPr upright="1"/>
                    </wps:wsp>
                  </a:graphicData>
                </a:graphic>
              </wp:anchor>
            </w:drawing>
          </mc:Choice>
          <mc:Fallback>
            <w:pict>
              <v:rect id="_x0000_s1026" o:spid="_x0000_s1026" o:spt="1" style="position:absolute;left:0pt;margin-left:-4.75pt;margin-top:19.75pt;height:225.55pt;width:423.6pt;z-index:251659264;mso-width-relative:page;mso-height-relative:page;" fillcolor="#FFFFFF" filled="t" stroked="t" coordsize="21600,21600" o:gfxdata="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PtGm2QAAAAkBAAAPAAAAAAAAAAEAIAAAACIAAABkcnMvZG93bnJldi54bWxQSwECFAAUAAAA&#10;CACHTuJA9sBK4O0BAADqAwAADgAAAAAAAAABACAAAAAoAQAAZHJzL2Uyb0RvYy54bWxQSwUGAAAA&#10;AAYABgBZAQAAhwUAAAAA&#10;">
                <v:fill on="t" focussize="0,0"/>
                <v:stroke color="#000000" joinstyle="miter"/>
                <v:imagedata o:title=""/>
                <o:lock v:ext="edit" aspectratio="f"/>
                <v:textbox>
                  <w:txbxContent>
                    <w:p>
                      <w:pPr>
                        <w:jc w:val="left"/>
                      </w:pPr>
                      <w:r>
                        <w:rPr>
                          <w:rFonts w:hint="eastAsia" w:cs="宋体"/>
                          <w:b/>
                          <w:bCs/>
                          <w:sz w:val="23"/>
                        </w:rPr>
                        <w:t>授权人身份证复印件并加盖单位公章</w:t>
                      </w:r>
                    </w:p>
                  </w:txbxContent>
                </v:textbox>
              </v:rect>
            </w:pict>
          </mc:Fallback>
        </mc:AlternateContent>
      </w:r>
      <w:r>
        <w:rPr>
          <w:rFonts w:hint="eastAsia" w:cs="宋体"/>
          <w:b/>
          <w:bCs/>
          <w:sz w:val="72"/>
          <w:szCs w:val="72"/>
        </w:rPr>
        <w:t xml:space="preserve"> </w:t>
      </w:r>
    </w:p>
    <w:p>
      <w:pPr>
        <w:autoSpaceDE w:val="0"/>
        <w:autoSpaceDN w:val="0"/>
        <w:adjustRightInd w:val="0"/>
        <w:jc w:val="left"/>
        <w:rPr>
          <w:rFonts w:cs="宋体"/>
          <w:b/>
          <w:bCs/>
          <w:kern w:val="0"/>
          <w:sz w:val="72"/>
          <w:szCs w:val="72"/>
        </w:rPr>
      </w:pPr>
    </w:p>
    <w:p>
      <w:pPr>
        <w:autoSpaceDE w:val="0"/>
        <w:autoSpaceDN w:val="0"/>
        <w:adjustRightInd w:val="0"/>
        <w:jc w:val="left"/>
        <w:rPr>
          <w:rFonts w:cs="宋体"/>
          <w:b/>
          <w:bCs/>
          <w:kern w:val="0"/>
          <w:sz w:val="72"/>
          <w:szCs w:val="72"/>
        </w:rPr>
      </w:pPr>
    </w:p>
    <w:p>
      <w:pPr>
        <w:autoSpaceDE w:val="0"/>
        <w:autoSpaceDN w:val="0"/>
        <w:adjustRightInd w:val="0"/>
        <w:jc w:val="left"/>
        <w:rPr>
          <w:rFonts w:cs="宋体"/>
          <w:b/>
          <w:bCs/>
          <w:kern w:val="0"/>
          <w:sz w:val="72"/>
          <w:szCs w:val="72"/>
        </w:rPr>
      </w:pPr>
    </w:p>
    <w:p>
      <w:pPr>
        <w:autoSpaceDE w:val="0"/>
        <w:autoSpaceDN w:val="0"/>
        <w:adjustRightInd w:val="0"/>
        <w:jc w:val="left"/>
        <w:rPr>
          <w:rFonts w:cs="宋体"/>
          <w:b/>
          <w:bCs/>
          <w:kern w:val="0"/>
          <w:sz w:val="72"/>
          <w:szCs w:val="72"/>
        </w:rPr>
      </w:pPr>
    </w:p>
    <w:p>
      <w:pPr>
        <w:autoSpaceDE w:val="0"/>
        <w:autoSpaceDN w:val="0"/>
        <w:adjustRightInd w:val="0"/>
        <w:jc w:val="left"/>
        <w:rPr>
          <w:rFonts w:cs="宋体"/>
          <w:b/>
          <w:bCs/>
          <w:kern w:val="0"/>
          <w:sz w:val="72"/>
          <w:szCs w:val="72"/>
        </w:rPr>
      </w:pPr>
      <w:r>
        <w:rPr>
          <w:rFonts w:cs="宋体"/>
          <w:kern w:val="0"/>
          <w:sz w:val="72"/>
          <w:szCs w:val="24"/>
        </w:rPr>
        <mc:AlternateContent>
          <mc:Choice Requires="wps">
            <w:drawing>
              <wp:anchor distT="0" distB="0" distL="114300" distR="114300" simplePos="0" relativeHeight="251660288" behindDoc="0" locked="0" layoutInCell="1" allowOverlap="1">
                <wp:simplePos x="0" y="0"/>
                <wp:positionH relativeFrom="column">
                  <wp:posOffset>-62230</wp:posOffset>
                </wp:positionH>
                <wp:positionV relativeFrom="paragraph">
                  <wp:posOffset>592455</wp:posOffset>
                </wp:positionV>
                <wp:extent cx="5381625" cy="3037840"/>
                <wp:effectExtent l="4445" t="4445" r="5080" b="5715"/>
                <wp:wrapNone/>
                <wp:docPr id="2" name="矩形 2"/>
                <wp:cNvGraphicFramePr/>
                <a:graphic xmlns:a="http://schemas.openxmlformats.org/drawingml/2006/main">
                  <a:graphicData uri="http://schemas.microsoft.com/office/word/2010/wordprocessingShape">
                    <wps:wsp>
                      <wps:cNvSpPr/>
                      <wps:spPr>
                        <a:xfrm>
                          <a:off x="0" y="0"/>
                          <a:ext cx="5381625" cy="30378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cs="宋体"/>
                                <w:b/>
                                <w:bCs/>
                                <w:sz w:val="23"/>
                              </w:rPr>
                              <w:t>被授权人身份证复印件并加盖单位公章</w:t>
                            </w:r>
                          </w:p>
                          <w:p/>
                        </w:txbxContent>
                      </wps:txbx>
                      <wps:bodyPr upright="1"/>
                    </wps:wsp>
                  </a:graphicData>
                </a:graphic>
              </wp:anchor>
            </w:drawing>
          </mc:Choice>
          <mc:Fallback>
            <w:pict>
              <v:rect id="_x0000_s1026" o:spid="_x0000_s1026" o:spt="1" style="position:absolute;left:0pt;margin-left:-4.9pt;margin-top:46.65pt;height:239.2pt;width:423.75pt;z-index:251660288;mso-width-relative:page;mso-height-relative:page;" fillcolor="#FFFFFF" filled="t" stroked="t" coordsize="21600,21600" o:gfxdata="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iBgLL2AAAAAkBAAAPAAAAAAAAAAEAIAAAACIAAABkcnMvZG93bnJldi54bWxQSwECFAAUAAAA&#10;CACHTuJAMY+pQ+4BAADqAwAADgAAAAAAAAABACAAAAAnAQAAZHJzL2Uyb0RvYy54bWxQSwUGAAAA&#10;AAYABgBZAQAAhwUAAAAA&#10;">
                <v:fill on="t" focussize="0,0"/>
                <v:stroke color="#000000" joinstyle="miter"/>
                <v:imagedata o:title=""/>
                <o:lock v:ext="edit" aspectratio="f"/>
                <v:textbox>
                  <w:txbxContent>
                    <w:p>
                      <w:r>
                        <w:rPr>
                          <w:rFonts w:hint="eastAsia" w:cs="宋体"/>
                          <w:b/>
                          <w:bCs/>
                          <w:sz w:val="23"/>
                        </w:rPr>
                        <w:t>被授权人身份证复印件并加盖单位公章</w:t>
                      </w:r>
                    </w:p>
                    <w:p/>
                  </w:txbxContent>
                </v:textbox>
              </v:rect>
            </w:pict>
          </mc:Fallback>
        </mc:AlternateContent>
      </w:r>
    </w:p>
    <w:p>
      <w:pPr>
        <w:autoSpaceDE w:val="0"/>
        <w:autoSpaceDN w:val="0"/>
        <w:adjustRightInd w:val="0"/>
        <w:jc w:val="left"/>
        <w:rPr>
          <w:rFonts w:cs="宋体"/>
          <w:b/>
          <w:bCs/>
          <w:kern w:val="0"/>
          <w:sz w:val="72"/>
          <w:szCs w:val="72"/>
        </w:rPr>
      </w:pPr>
    </w:p>
    <w:p>
      <w:pPr>
        <w:autoSpaceDE w:val="0"/>
        <w:autoSpaceDN w:val="0"/>
        <w:adjustRightInd w:val="0"/>
        <w:jc w:val="left"/>
        <w:rPr>
          <w:rFonts w:cs="宋体"/>
          <w:b/>
          <w:bCs/>
          <w:kern w:val="0"/>
          <w:sz w:val="72"/>
          <w:szCs w:val="72"/>
        </w:rPr>
      </w:pPr>
    </w:p>
    <w:p>
      <w:pPr>
        <w:autoSpaceDE w:val="0"/>
        <w:autoSpaceDN w:val="0"/>
        <w:adjustRightInd w:val="0"/>
        <w:jc w:val="left"/>
        <w:rPr>
          <w:rFonts w:cs="宋体"/>
          <w:b/>
          <w:bCs/>
          <w:kern w:val="0"/>
          <w:sz w:val="72"/>
          <w:szCs w:val="72"/>
        </w:rPr>
      </w:pPr>
    </w:p>
    <w:p>
      <w:pPr>
        <w:autoSpaceDE w:val="0"/>
        <w:autoSpaceDN w:val="0"/>
        <w:adjustRightInd w:val="0"/>
        <w:jc w:val="left"/>
        <w:rPr>
          <w:rFonts w:cs="宋体"/>
          <w:b/>
          <w:bCs/>
          <w:kern w:val="0"/>
          <w:sz w:val="72"/>
          <w:szCs w:val="72"/>
        </w:rPr>
      </w:pPr>
    </w:p>
    <w:p>
      <w:pPr>
        <w:autoSpaceDE w:val="0"/>
        <w:autoSpaceDN w:val="0"/>
        <w:adjustRightInd w:val="0"/>
        <w:jc w:val="left"/>
        <w:rPr>
          <w:rFonts w:cs="宋体"/>
          <w:b/>
          <w:bCs/>
          <w:kern w:val="0"/>
          <w:sz w:val="72"/>
          <w:szCs w:val="72"/>
        </w:rPr>
      </w:pPr>
    </w:p>
    <w:p>
      <w:pPr>
        <w:autoSpaceDE w:val="0"/>
        <w:autoSpaceDN w:val="0"/>
        <w:adjustRightInd w:val="0"/>
        <w:jc w:val="left"/>
        <w:rPr>
          <w:rFonts w:cs="宋体"/>
          <w:b/>
          <w:bCs/>
          <w:kern w:val="0"/>
          <w:sz w:val="72"/>
          <w:szCs w:val="72"/>
        </w:rPr>
      </w:pPr>
    </w:p>
    <w:p>
      <w:pPr>
        <w:widowControl/>
        <w:spacing w:line="360" w:lineRule="auto"/>
        <w:jc w:val="center"/>
        <w:rPr>
          <w:sz w:val="28"/>
          <w:szCs w:val="28"/>
        </w:rPr>
      </w:pPr>
      <w:r>
        <w:rPr>
          <w:rFonts w:hint="eastAsia"/>
          <w:sz w:val="28"/>
          <w:szCs w:val="28"/>
        </w:rPr>
        <w:br w:type="page"/>
      </w:r>
      <w:r>
        <w:rPr>
          <w:rFonts w:hint="eastAsia" w:cs="宋体"/>
          <w:b/>
          <w:bCs/>
          <w:kern w:val="0"/>
          <w:sz w:val="28"/>
          <w:szCs w:val="28"/>
        </w:rPr>
        <w:t>八、投标保证金缴交凭证</w:t>
      </w:r>
    </w:p>
    <w:p>
      <w:pPr>
        <w:widowControl/>
        <w:spacing w:line="360" w:lineRule="auto"/>
        <w:jc w:val="center"/>
        <w:rPr>
          <w:sz w:val="28"/>
          <w:szCs w:val="28"/>
        </w:rPr>
      </w:pPr>
      <w:r>
        <w:rPr>
          <w:rFonts w:hint="eastAsia"/>
          <w:sz w:val="28"/>
          <w:szCs w:val="28"/>
        </w:rPr>
        <w:t xml:space="preserve"> </w:t>
      </w:r>
    </w:p>
    <w:p>
      <w:pPr>
        <w:widowControl/>
        <w:spacing w:line="360" w:lineRule="auto"/>
        <w:rPr>
          <w:sz w:val="24"/>
          <w:szCs w:val="24"/>
        </w:rPr>
      </w:pPr>
      <w:r>
        <w:rPr>
          <w:rFonts w:hint="eastAsia"/>
          <w:sz w:val="24"/>
          <w:szCs w:val="24"/>
        </w:rPr>
        <w:t>1、在此项下提交的“投标保证金”材料可使用转账凭证复印件。</w:t>
      </w:r>
    </w:p>
    <w:p>
      <w:pPr>
        <w:widowControl/>
        <w:spacing w:line="360" w:lineRule="auto"/>
        <w:rPr>
          <w:sz w:val="24"/>
          <w:szCs w:val="24"/>
        </w:rPr>
      </w:pPr>
      <w:r>
        <w:rPr>
          <w:rFonts w:hint="eastAsia"/>
          <w:sz w:val="24"/>
          <w:szCs w:val="24"/>
        </w:rPr>
        <w:t>2、投标保证金是否已提交的认定按照招标文件第二章规定执行。</w:t>
      </w:r>
    </w:p>
    <w:p>
      <w:pPr>
        <w:widowControl/>
        <w:spacing w:line="360" w:lineRule="auto"/>
        <w:jc w:val="center"/>
        <w:rPr>
          <w:rFonts w:cs="宋体"/>
          <w:b/>
          <w:bCs/>
          <w:kern w:val="0"/>
          <w:sz w:val="28"/>
          <w:szCs w:val="28"/>
        </w:rPr>
      </w:pPr>
    </w:p>
    <w:p>
      <w:pPr>
        <w:widowControl/>
        <w:spacing w:line="360" w:lineRule="auto"/>
        <w:jc w:val="center"/>
        <w:rPr>
          <w:rFonts w:cs="宋体"/>
          <w:b/>
          <w:bCs/>
          <w:kern w:val="0"/>
          <w:sz w:val="28"/>
          <w:szCs w:val="28"/>
        </w:rPr>
      </w:pPr>
    </w:p>
    <w:p>
      <w:pPr>
        <w:widowControl/>
        <w:spacing w:line="360" w:lineRule="auto"/>
        <w:jc w:val="center"/>
        <w:rPr>
          <w:rFonts w:cs="宋体"/>
          <w:b/>
          <w:bCs/>
          <w:kern w:val="0"/>
          <w:sz w:val="28"/>
          <w:szCs w:val="28"/>
        </w:rPr>
      </w:pPr>
    </w:p>
    <w:p>
      <w:pPr>
        <w:widowControl/>
        <w:spacing w:line="360" w:lineRule="auto"/>
        <w:jc w:val="center"/>
        <w:rPr>
          <w:rFonts w:cs="宋体"/>
          <w:b/>
          <w:bCs/>
          <w:kern w:val="0"/>
          <w:sz w:val="28"/>
          <w:szCs w:val="28"/>
        </w:rPr>
      </w:pPr>
    </w:p>
    <w:p>
      <w:pPr>
        <w:widowControl/>
        <w:spacing w:line="360" w:lineRule="auto"/>
        <w:jc w:val="center"/>
        <w:rPr>
          <w:rFonts w:cs="宋体"/>
          <w:b/>
          <w:bCs/>
          <w:kern w:val="0"/>
          <w:sz w:val="28"/>
          <w:szCs w:val="28"/>
        </w:rPr>
      </w:pPr>
    </w:p>
    <w:p>
      <w:pPr>
        <w:widowControl/>
        <w:spacing w:line="360" w:lineRule="auto"/>
        <w:jc w:val="center"/>
        <w:rPr>
          <w:rFonts w:cs="宋体"/>
          <w:b/>
          <w:bCs/>
          <w:kern w:val="0"/>
          <w:sz w:val="28"/>
          <w:szCs w:val="28"/>
        </w:rPr>
      </w:pPr>
    </w:p>
    <w:p>
      <w:pPr>
        <w:widowControl/>
        <w:spacing w:line="360" w:lineRule="auto"/>
        <w:jc w:val="center"/>
        <w:rPr>
          <w:rFonts w:cs="宋体"/>
          <w:b/>
          <w:bCs/>
          <w:kern w:val="0"/>
          <w:sz w:val="28"/>
          <w:szCs w:val="28"/>
        </w:rPr>
      </w:pPr>
    </w:p>
    <w:p>
      <w:pPr>
        <w:widowControl/>
        <w:spacing w:line="360" w:lineRule="auto"/>
        <w:jc w:val="center"/>
        <w:rPr>
          <w:rFonts w:cs="宋体"/>
          <w:b/>
          <w:bCs/>
          <w:kern w:val="0"/>
          <w:sz w:val="28"/>
          <w:szCs w:val="28"/>
        </w:rPr>
      </w:pPr>
    </w:p>
    <w:p>
      <w:pPr>
        <w:widowControl/>
        <w:spacing w:line="360" w:lineRule="auto"/>
        <w:jc w:val="center"/>
        <w:rPr>
          <w:rFonts w:cs="宋体"/>
          <w:b/>
          <w:bCs/>
          <w:kern w:val="0"/>
          <w:sz w:val="28"/>
          <w:szCs w:val="28"/>
        </w:rPr>
      </w:pPr>
    </w:p>
    <w:p>
      <w:pPr>
        <w:widowControl/>
        <w:spacing w:line="360" w:lineRule="auto"/>
        <w:jc w:val="center"/>
        <w:rPr>
          <w:rFonts w:cs="宋体"/>
          <w:b/>
          <w:bCs/>
          <w:kern w:val="0"/>
          <w:sz w:val="28"/>
          <w:szCs w:val="28"/>
        </w:rPr>
      </w:pPr>
    </w:p>
    <w:p>
      <w:pPr>
        <w:widowControl/>
        <w:spacing w:line="360" w:lineRule="auto"/>
        <w:jc w:val="center"/>
        <w:rPr>
          <w:rFonts w:cs="宋体"/>
          <w:b/>
          <w:bCs/>
          <w:kern w:val="0"/>
          <w:sz w:val="28"/>
          <w:szCs w:val="28"/>
        </w:rPr>
      </w:pPr>
    </w:p>
    <w:p>
      <w:pPr>
        <w:widowControl/>
        <w:spacing w:line="360" w:lineRule="auto"/>
        <w:jc w:val="center"/>
        <w:rPr>
          <w:rFonts w:cs="宋体"/>
          <w:b/>
          <w:bCs/>
          <w:kern w:val="0"/>
          <w:sz w:val="28"/>
          <w:szCs w:val="28"/>
        </w:rPr>
      </w:pPr>
    </w:p>
    <w:p>
      <w:pPr>
        <w:widowControl/>
        <w:spacing w:line="360" w:lineRule="auto"/>
        <w:jc w:val="both"/>
        <w:rPr>
          <w:rFonts w:cs="宋体"/>
          <w:b/>
          <w:bCs/>
          <w:kern w:val="0"/>
          <w:sz w:val="28"/>
          <w:szCs w:val="28"/>
        </w:rPr>
      </w:pPr>
    </w:p>
    <w:p>
      <w:pPr>
        <w:widowControl/>
        <w:spacing w:line="360" w:lineRule="auto"/>
        <w:jc w:val="center"/>
        <w:rPr>
          <w:rFonts w:cs="宋体"/>
          <w:b/>
          <w:bCs/>
          <w:kern w:val="0"/>
          <w:sz w:val="28"/>
          <w:szCs w:val="28"/>
        </w:rPr>
      </w:pPr>
    </w:p>
    <w:p>
      <w:pPr>
        <w:widowControl/>
        <w:spacing w:line="360" w:lineRule="auto"/>
        <w:jc w:val="center"/>
        <w:rPr>
          <w:rFonts w:cs="宋体"/>
          <w:b/>
          <w:bCs/>
          <w:kern w:val="0"/>
          <w:sz w:val="28"/>
          <w:szCs w:val="28"/>
        </w:rPr>
      </w:pPr>
      <w:r>
        <w:rPr>
          <w:rFonts w:hint="eastAsia" w:cs="宋体"/>
          <w:b/>
          <w:bCs/>
          <w:kern w:val="0"/>
          <w:sz w:val="28"/>
          <w:szCs w:val="28"/>
        </w:rPr>
        <w:t>九、投标人基本账户信息</w:t>
      </w:r>
    </w:p>
    <w:tbl>
      <w:tblPr>
        <w:tblStyle w:val="28"/>
        <w:tblW w:w="8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3749"/>
        <w:gridCol w:w="3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2" w:hRule="atLeast"/>
        </w:trPr>
        <w:tc>
          <w:tcPr>
            <w:tcW w:w="1826" w:type="dxa"/>
            <w:vMerge w:val="restart"/>
            <w:vAlign w:val="center"/>
          </w:tcPr>
          <w:p>
            <w:pPr>
              <w:autoSpaceDE w:val="0"/>
              <w:autoSpaceDN w:val="0"/>
              <w:spacing w:line="300" w:lineRule="auto"/>
              <w:jc w:val="center"/>
              <w:rPr>
                <w:rFonts w:cs="宋体"/>
                <w:kern w:val="0"/>
                <w:sz w:val="24"/>
                <w:szCs w:val="24"/>
                <w:lang w:val="zh-CN" w:bidi="zh-CN"/>
              </w:rPr>
            </w:pPr>
            <w:r>
              <w:rPr>
                <w:rFonts w:hint="eastAsia" w:cs="宋体"/>
                <w:kern w:val="0"/>
                <w:sz w:val="24"/>
                <w:szCs w:val="24"/>
                <w:lang w:val="zh-CN" w:bidi="zh-CN"/>
              </w:rPr>
              <w:t>基本账户</w:t>
            </w:r>
          </w:p>
          <w:p>
            <w:pPr>
              <w:autoSpaceDE w:val="0"/>
              <w:autoSpaceDN w:val="0"/>
              <w:spacing w:line="300" w:lineRule="auto"/>
              <w:jc w:val="center"/>
              <w:rPr>
                <w:rFonts w:cs="宋体"/>
                <w:kern w:val="0"/>
                <w:sz w:val="24"/>
                <w:szCs w:val="24"/>
                <w:lang w:val="zh-CN" w:bidi="zh-CN"/>
              </w:rPr>
            </w:pPr>
            <w:r>
              <w:rPr>
                <w:rFonts w:hint="eastAsia" w:cs="宋体"/>
                <w:kern w:val="0"/>
                <w:sz w:val="24"/>
                <w:szCs w:val="24"/>
                <w:lang w:val="zh-CN" w:bidi="zh-CN"/>
              </w:rPr>
              <w:t>开户银行</w:t>
            </w:r>
          </w:p>
        </w:tc>
        <w:tc>
          <w:tcPr>
            <w:tcW w:w="6912" w:type="dxa"/>
            <w:gridSpan w:val="2"/>
            <w:vAlign w:val="center"/>
          </w:tcPr>
          <w:p>
            <w:pPr>
              <w:autoSpaceDE w:val="0"/>
              <w:autoSpaceDN w:val="0"/>
              <w:spacing w:line="300" w:lineRule="auto"/>
              <w:jc w:val="left"/>
              <w:rPr>
                <w:rFonts w:cs="宋体"/>
                <w:kern w:val="0"/>
                <w:sz w:val="24"/>
                <w:szCs w:val="24"/>
                <w:lang w:val="zh-CN" w:bidi="zh-CN"/>
              </w:rPr>
            </w:pPr>
            <w:r>
              <w:rPr>
                <w:rFonts w:hint="eastAsia" w:cs="宋体"/>
                <w:kern w:val="0"/>
                <w:sz w:val="24"/>
                <w:szCs w:val="24"/>
                <w:lang w:val="zh-CN" w:bidi="zh-CN"/>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2" w:hRule="atLeast"/>
        </w:trPr>
        <w:tc>
          <w:tcPr>
            <w:tcW w:w="1826" w:type="dxa"/>
            <w:vMerge w:val="continue"/>
            <w:vAlign w:val="center"/>
          </w:tcPr>
          <w:p>
            <w:pPr>
              <w:autoSpaceDE w:val="0"/>
              <w:autoSpaceDN w:val="0"/>
              <w:jc w:val="left"/>
              <w:rPr>
                <w:rFonts w:cs="宋体"/>
                <w:kern w:val="0"/>
                <w:sz w:val="22"/>
                <w:lang w:val="zh-CN" w:bidi="zh-CN"/>
              </w:rPr>
            </w:pPr>
          </w:p>
        </w:tc>
        <w:tc>
          <w:tcPr>
            <w:tcW w:w="6912" w:type="dxa"/>
            <w:gridSpan w:val="2"/>
            <w:vAlign w:val="center"/>
          </w:tcPr>
          <w:p>
            <w:pPr>
              <w:autoSpaceDE w:val="0"/>
              <w:autoSpaceDN w:val="0"/>
              <w:spacing w:line="300" w:lineRule="auto"/>
              <w:jc w:val="left"/>
              <w:rPr>
                <w:rFonts w:cs="宋体"/>
                <w:kern w:val="0"/>
                <w:sz w:val="24"/>
                <w:szCs w:val="24"/>
                <w:lang w:val="zh-CN" w:bidi="zh-CN"/>
              </w:rPr>
            </w:pPr>
            <w:r>
              <w:rPr>
                <w:rFonts w:hint="eastAsia" w:cs="宋体"/>
                <w:kern w:val="0"/>
                <w:sz w:val="24"/>
                <w:szCs w:val="24"/>
                <w:lang w:val="zh-CN" w:bidi="zh-CN"/>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2" w:hRule="atLeast"/>
        </w:trPr>
        <w:tc>
          <w:tcPr>
            <w:tcW w:w="1826" w:type="dxa"/>
            <w:vMerge w:val="continue"/>
            <w:vAlign w:val="center"/>
          </w:tcPr>
          <w:p>
            <w:pPr>
              <w:autoSpaceDE w:val="0"/>
              <w:autoSpaceDN w:val="0"/>
              <w:jc w:val="left"/>
              <w:rPr>
                <w:rFonts w:cs="宋体"/>
                <w:kern w:val="0"/>
                <w:sz w:val="22"/>
                <w:lang w:val="zh-CN" w:bidi="zh-CN"/>
              </w:rPr>
            </w:pPr>
          </w:p>
        </w:tc>
        <w:tc>
          <w:tcPr>
            <w:tcW w:w="3749" w:type="dxa"/>
            <w:vAlign w:val="center"/>
          </w:tcPr>
          <w:p>
            <w:pPr>
              <w:autoSpaceDE w:val="0"/>
              <w:autoSpaceDN w:val="0"/>
              <w:spacing w:line="300" w:lineRule="auto"/>
              <w:jc w:val="left"/>
              <w:rPr>
                <w:rFonts w:cs="宋体"/>
                <w:kern w:val="0"/>
                <w:sz w:val="24"/>
                <w:szCs w:val="24"/>
                <w:lang w:val="zh-CN" w:bidi="zh-CN"/>
              </w:rPr>
            </w:pPr>
            <w:r>
              <w:rPr>
                <w:rFonts w:hint="eastAsia" w:cs="宋体"/>
                <w:kern w:val="0"/>
                <w:sz w:val="24"/>
                <w:szCs w:val="24"/>
                <w:lang w:val="zh-CN" w:bidi="zh-CN"/>
              </w:rPr>
              <w:t>电话：</w:t>
            </w:r>
          </w:p>
        </w:tc>
        <w:tc>
          <w:tcPr>
            <w:tcW w:w="3163" w:type="dxa"/>
            <w:vAlign w:val="center"/>
          </w:tcPr>
          <w:p>
            <w:pPr>
              <w:autoSpaceDE w:val="0"/>
              <w:autoSpaceDN w:val="0"/>
              <w:spacing w:line="300" w:lineRule="auto"/>
              <w:jc w:val="left"/>
              <w:rPr>
                <w:rFonts w:cs="宋体"/>
                <w:kern w:val="0"/>
                <w:sz w:val="24"/>
                <w:szCs w:val="24"/>
                <w:lang w:val="zh-CN" w:bidi="zh-CN"/>
              </w:rPr>
            </w:pPr>
            <w:r>
              <w:rPr>
                <w:rFonts w:hint="eastAsia" w:cs="宋体"/>
                <w:kern w:val="0"/>
                <w:sz w:val="24"/>
                <w:szCs w:val="24"/>
                <w:lang w:val="zh-CN" w:bidi="zh-CN"/>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2" w:hRule="atLeast"/>
        </w:trPr>
        <w:tc>
          <w:tcPr>
            <w:tcW w:w="1826" w:type="dxa"/>
            <w:vMerge w:val="continue"/>
            <w:vAlign w:val="center"/>
          </w:tcPr>
          <w:p>
            <w:pPr>
              <w:autoSpaceDE w:val="0"/>
              <w:autoSpaceDN w:val="0"/>
              <w:jc w:val="left"/>
              <w:rPr>
                <w:rFonts w:cs="宋体"/>
                <w:kern w:val="0"/>
                <w:sz w:val="22"/>
                <w:lang w:val="zh-CN" w:bidi="zh-CN"/>
              </w:rPr>
            </w:pPr>
          </w:p>
        </w:tc>
        <w:tc>
          <w:tcPr>
            <w:tcW w:w="6912" w:type="dxa"/>
            <w:gridSpan w:val="2"/>
            <w:vAlign w:val="center"/>
          </w:tcPr>
          <w:p>
            <w:pPr>
              <w:autoSpaceDE w:val="0"/>
              <w:autoSpaceDN w:val="0"/>
              <w:spacing w:line="300" w:lineRule="auto"/>
              <w:jc w:val="left"/>
              <w:rPr>
                <w:rFonts w:cs="宋体"/>
                <w:kern w:val="0"/>
                <w:sz w:val="24"/>
                <w:szCs w:val="24"/>
                <w:lang w:val="zh-CN" w:bidi="zh-CN"/>
              </w:rPr>
            </w:pPr>
            <w:r>
              <w:rPr>
                <w:rFonts w:hint="eastAsia" w:cs="宋体"/>
                <w:kern w:val="0"/>
                <w:sz w:val="24"/>
                <w:szCs w:val="24"/>
                <w:lang w:val="zh-CN" w:bidi="zh-CN"/>
              </w:rPr>
              <w:t>联系人及职务：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2" w:hRule="atLeast"/>
        </w:trPr>
        <w:tc>
          <w:tcPr>
            <w:tcW w:w="1826" w:type="dxa"/>
            <w:vMerge w:val="restart"/>
            <w:vAlign w:val="center"/>
          </w:tcPr>
          <w:p>
            <w:pPr>
              <w:autoSpaceDE w:val="0"/>
              <w:autoSpaceDN w:val="0"/>
              <w:spacing w:line="300" w:lineRule="auto"/>
              <w:jc w:val="center"/>
              <w:rPr>
                <w:rFonts w:cs="宋体"/>
                <w:kern w:val="0"/>
                <w:sz w:val="24"/>
                <w:szCs w:val="24"/>
                <w:lang w:val="zh-CN" w:bidi="zh-CN"/>
              </w:rPr>
            </w:pPr>
            <w:r>
              <w:rPr>
                <w:rFonts w:hint="eastAsia" w:cs="宋体"/>
                <w:kern w:val="0"/>
                <w:sz w:val="24"/>
                <w:szCs w:val="24"/>
                <w:lang w:val="zh-CN" w:bidi="zh-CN"/>
              </w:rPr>
              <w:t>基本账户</w:t>
            </w:r>
          </w:p>
        </w:tc>
        <w:tc>
          <w:tcPr>
            <w:tcW w:w="6912" w:type="dxa"/>
            <w:gridSpan w:val="2"/>
            <w:vAlign w:val="center"/>
          </w:tcPr>
          <w:p>
            <w:pPr>
              <w:autoSpaceDE w:val="0"/>
              <w:autoSpaceDN w:val="0"/>
              <w:spacing w:line="300" w:lineRule="auto"/>
              <w:jc w:val="left"/>
              <w:rPr>
                <w:rFonts w:cs="宋体"/>
                <w:kern w:val="0"/>
                <w:sz w:val="24"/>
                <w:szCs w:val="24"/>
                <w:lang w:val="zh-CN" w:bidi="zh-CN"/>
              </w:rPr>
            </w:pPr>
            <w:r>
              <w:rPr>
                <w:rFonts w:hint="eastAsia" w:cs="宋体"/>
                <w:kern w:val="0"/>
                <w:sz w:val="24"/>
                <w:szCs w:val="24"/>
                <w:lang w:val="zh-CN" w:bidi="zh-CN"/>
              </w:rPr>
              <w:t>开户名称：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2" w:hRule="atLeast"/>
        </w:trPr>
        <w:tc>
          <w:tcPr>
            <w:tcW w:w="1826" w:type="dxa"/>
            <w:vMerge w:val="continue"/>
            <w:vAlign w:val="center"/>
          </w:tcPr>
          <w:p>
            <w:pPr>
              <w:autoSpaceDE w:val="0"/>
              <w:autoSpaceDN w:val="0"/>
              <w:jc w:val="left"/>
              <w:rPr>
                <w:rFonts w:cs="宋体"/>
                <w:kern w:val="0"/>
                <w:sz w:val="22"/>
                <w:lang w:val="zh-CN" w:bidi="zh-CN"/>
              </w:rPr>
            </w:pPr>
          </w:p>
        </w:tc>
        <w:tc>
          <w:tcPr>
            <w:tcW w:w="6912" w:type="dxa"/>
            <w:gridSpan w:val="2"/>
            <w:vAlign w:val="center"/>
          </w:tcPr>
          <w:p>
            <w:pPr>
              <w:autoSpaceDE w:val="0"/>
              <w:autoSpaceDN w:val="0"/>
              <w:spacing w:line="300" w:lineRule="auto"/>
              <w:jc w:val="left"/>
              <w:rPr>
                <w:rFonts w:cs="宋体"/>
                <w:kern w:val="0"/>
                <w:sz w:val="24"/>
                <w:szCs w:val="24"/>
                <w:lang w:val="zh-CN" w:bidi="zh-CN"/>
              </w:rPr>
            </w:pPr>
            <w:r>
              <w:rPr>
                <w:rFonts w:hint="eastAsia" w:cs="宋体"/>
                <w:kern w:val="0"/>
                <w:sz w:val="24"/>
                <w:szCs w:val="24"/>
                <w:lang w:val="zh-CN" w:bidi="zh-CN"/>
              </w:rPr>
              <w:t>账号：</w:t>
            </w:r>
          </w:p>
        </w:tc>
      </w:tr>
    </w:tbl>
    <w:p>
      <w:pPr>
        <w:autoSpaceDE w:val="0"/>
        <w:autoSpaceDN w:val="0"/>
        <w:spacing w:line="300" w:lineRule="auto"/>
        <w:ind w:firstLine="6090"/>
        <w:jc w:val="left"/>
        <w:rPr>
          <w:rFonts w:cs="宋体"/>
          <w:kern w:val="0"/>
          <w:sz w:val="24"/>
          <w:szCs w:val="24"/>
          <w:lang w:val="zh-CN" w:bidi="zh-CN"/>
        </w:rPr>
      </w:pPr>
    </w:p>
    <w:p>
      <w:pPr>
        <w:adjustRightInd w:val="0"/>
        <w:spacing w:line="300" w:lineRule="auto"/>
        <w:textAlignment w:val="baseline"/>
        <w:rPr>
          <w:sz w:val="24"/>
          <w:szCs w:val="24"/>
          <w:lang w:val="zh-CN"/>
        </w:rPr>
      </w:pPr>
      <w:r>
        <w:rPr>
          <w:rFonts w:hint="eastAsia"/>
          <w:sz w:val="24"/>
          <w:szCs w:val="24"/>
          <w:lang w:val="zh-CN"/>
        </w:rPr>
        <w:t xml:space="preserve">                               投标人：</w:t>
      </w:r>
      <w:r>
        <w:rPr>
          <w:rFonts w:hint="eastAsia"/>
          <w:sz w:val="24"/>
          <w:szCs w:val="24"/>
          <w:u w:val="single"/>
          <w:lang w:val="zh-CN"/>
        </w:rPr>
        <w:t xml:space="preserve">                   </w:t>
      </w:r>
      <w:r>
        <w:rPr>
          <w:rFonts w:hint="eastAsia"/>
          <w:sz w:val="24"/>
          <w:szCs w:val="24"/>
          <w:lang w:val="zh-CN"/>
        </w:rPr>
        <w:t>(盖单位公章)</w:t>
      </w:r>
    </w:p>
    <w:p>
      <w:pPr>
        <w:autoSpaceDE w:val="0"/>
        <w:autoSpaceDN w:val="0"/>
        <w:spacing w:line="300" w:lineRule="auto"/>
        <w:ind w:firstLine="6090"/>
        <w:jc w:val="left"/>
        <w:rPr>
          <w:rFonts w:cs="宋体"/>
          <w:kern w:val="0"/>
          <w:sz w:val="24"/>
          <w:szCs w:val="24"/>
          <w:lang w:val="zh-CN" w:bidi="zh-CN"/>
        </w:rPr>
      </w:pPr>
    </w:p>
    <w:p>
      <w:pPr>
        <w:autoSpaceDE w:val="0"/>
        <w:autoSpaceDN w:val="0"/>
        <w:adjustRightInd w:val="0"/>
        <w:snapToGrid w:val="0"/>
        <w:spacing w:line="300" w:lineRule="auto"/>
        <w:ind w:firstLine="480" w:firstLineChars="200"/>
        <w:jc w:val="left"/>
        <w:rPr>
          <w:rFonts w:cs="宋体"/>
          <w:bCs/>
          <w:kern w:val="0"/>
          <w:sz w:val="24"/>
          <w:szCs w:val="24"/>
          <w:lang w:val="zh-CN" w:bidi="zh-CN"/>
        </w:rPr>
      </w:pPr>
      <w:r>
        <w:rPr>
          <w:rFonts w:hint="eastAsia" w:cs="宋体"/>
          <w:bCs/>
          <w:kern w:val="0"/>
          <w:sz w:val="24"/>
          <w:szCs w:val="24"/>
          <w:lang w:bidi="zh-CN"/>
        </w:rPr>
        <w:t>后附</w:t>
      </w:r>
      <w:r>
        <w:rPr>
          <w:rFonts w:hint="eastAsia" w:cs="宋体"/>
          <w:bCs/>
          <w:kern w:val="0"/>
          <w:sz w:val="24"/>
          <w:szCs w:val="24"/>
          <w:lang w:val="zh-CN" w:bidi="zh-CN"/>
        </w:rPr>
        <w:t>：投标人应附上中国人民银行发出的投标人企业基本账户许可证复印件或基本存款账户开户银行开具的《基本存款账户信息》复印件</w:t>
      </w:r>
      <w:r>
        <w:rPr>
          <w:rFonts w:hint="eastAsia" w:cs="宋体"/>
          <w:bCs/>
          <w:kern w:val="0"/>
          <w:sz w:val="24"/>
          <w:szCs w:val="24"/>
          <w:lang w:bidi="zh-CN"/>
        </w:rPr>
        <w:t>或开户许可证复印件并</w:t>
      </w:r>
      <w:r>
        <w:rPr>
          <w:rFonts w:hint="eastAsia" w:cs="宋体"/>
          <w:bCs/>
          <w:kern w:val="0"/>
          <w:sz w:val="24"/>
          <w:szCs w:val="24"/>
          <w:lang w:val="zh-CN" w:bidi="zh-CN"/>
        </w:rPr>
        <w:t>加盖投标人单位公章。</w:t>
      </w:r>
    </w:p>
    <w:p>
      <w:pPr>
        <w:widowControl/>
        <w:spacing w:line="360" w:lineRule="auto"/>
        <w:jc w:val="center"/>
        <w:rPr>
          <w:rFonts w:cs="宋体"/>
          <w:b/>
          <w:bCs/>
          <w:kern w:val="0"/>
          <w:sz w:val="28"/>
          <w:szCs w:val="28"/>
        </w:rPr>
      </w:pPr>
    </w:p>
    <w:p>
      <w:pPr>
        <w:widowControl/>
        <w:spacing w:line="360" w:lineRule="auto"/>
        <w:jc w:val="both"/>
        <w:rPr>
          <w:rFonts w:cs="宋体"/>
          <w:b/>
          <w:bCs/>
          <w:kern w:val="0"/>
          <w:sz w:val="28"/>
          <w:szCs w:val="28"/>
        </w:rPr>
      </w:pPr>
    </w:p>
    <w:p>
      <w:pPr>
        <w:widowControl/>
        <w:spacing w:line="360" w:lineRule="auto"/>
        <w:jc w:val="center"/>
        <w:rPr>
          <w:rFonts w:cs="宋体"/>
          <w:b/>
          <w:bCs/>
          <w:kern w:val="0"/>
          <w:sz w:val="28"/>
          <w:szCs w:val="28"/>
        </w:rPr>
      </w:pPr>
    </w:p>
    <w:p>
      <w:pPr>
        <w:widowControl/>
        <w:spacing w:line="360" w:lineRule="auto"/>
        <w:jc w:val="center"/>
        <w:rPr>
          <w:rFonts w:cs="宋体"/>
          <w:b/>
          <w:bCs/>
          <w:kern w:val="0"/>
          <w:sz w:val="28"/>
          <w:szCs w:val="28"/>
        </w:rPr>
      </w:pPr>
    </w:p>
    <w:p>
      <w:pPr>
        <w:widowControl/>
        <w:spacing w:line="360" w:lineRule="auto"/>
        <w:jc w:val="center"/>
        <w:rPr>
          <w:rFonts w:cs="宋体"/>
          <w:b/>
          <w:bCs/>
          <w:kern w:val="0"/>
          <w:sz w:val="28"/>
          <w:szCs w:val="28"/>
        </w:rPr>
      </w:pPr>
      <w:r>
        <w:rPr>
          <w:rFonts w:hint="eastAsia" w:cs="宋体"/>
          <w:b/>
          <w:bCs/>
          <w:kern w:val="0"/>
          <w:sz w:val="28"/>
          <w:szCs w:val="28"/>
        </w:rPr>
        <w:t>十、</w:t>
      </w:r>
      <w:bookmarkStart w:id="940" w:name="_Toc148459151"/>
      <w:r>
        <w:rPr>
          <w:rFonts w:hint="eastAsia" w:cs="宋体"/>
          <w:b/>
          <w:bCs/>
          <w:kern w:val="0"/>
          <w:sz w:val="28"/>
          <w:szCs w:val="28"/>
        </w:rPr>
        <w:t>投标人提交的其它资料</w:t>
      </w:r>
      <w:bookmarkEnd w:id="940"/>
    </w:p>
    <w:p>
      <w:pPr>
        <w:rPr>
          <w:rFonts w:cs="宋体"/>
          <w:sz w:val="24"/>
        </w:rPr>
      </w:pPr>
      <w:r>
        <w:rPr>
          <w:rFonts w:hint="eastAsia" w:cs="宋体"/>
          <w:sz w:val="24"/>
        </w:rPr>
        <w:t xml:space="preserve"> </w:t>
      </w:r>
    </w:p>
    <w:p>
      <w:pPr>
        <w:spacing w:line="360" w:lineRule="auto"/>
        <w:ind w:firstLine="480" w:firstLineChars="200"/>
        <w:rPr>
          <w:rFonts w:cs="宋体"/>
          <w:b/>
          <w:bCs/>
          <w:sz w:val="36"/>
          <w:szCs w:val="36"/>
        </w:rPr>
      </w:pPr>
      <w:r>
        <w:rPr>
          <w:rFonts w:hint="eastAsia" w:cs="宋体"/>
          <w:sz w:val="24"/>
        </w:rPr>
        <w:t>投标人认为应提交的其他材料，可在此附件中提交。</w:t>
      </w:r>
    </w:p>
    <w:p>
      <w:pPr>
        <w:rPr>
          <w:rFonts w:cs="宋体"/>
          <w:sz w:val="28"/>
          <w:szCs w:val="28"/>
        </w:rPr>
      </w:pPr>
      <w:r>
        <w:rPr>
          <w:rFonts w:hint="eastAsia" w:cs="宋体"/>
          <w:sz w:val="28"/>
          <w:szCs w:val="28"/>
        </w:rPr>
        <w:t xml:space="preserve"> </w:t>
      </w:r>
    </w:p>
    <w:p>
      <w:pPr>
        <w:autoSpaceDE w:val="0"/>
        <w:autoSpaceDN w:val="0"/>
        <w:adjustRightInd w:val="0"/>
        <w:jc w:val="left"/>
        <w:rPr>
          <w:rFonts w:cs="宋体"/>
          <w:kern w:val="0"/>
          <w:sz w:val="28"/>
          <w:szCs w:val="28"/>
        </w:rPr>
      </w:pPr>
    </w:p>
    <w:p>
      <w:pPr>
        <w:autoSpaceDE w:val="0"/>
        <w:autoSpaceDN w:val="0"/>
        <w:adjustRightInd w:val="0"/>
        <w:jc w:val="left"/>
        <w:rPr>
          <w:rFonts w:cs="宋体"/>
          <w:kern w:val="0"/>
          <w:sz w:val="28"/>
          <w:szCs w:val="28"/>
        </w:rPr>
      </w:pPr>
    </w:p>
    <w:p>
      <w:pPr>
        <w:spacing w:line="480" w:lineRule="auto"/>
        <w:ind w:firstLine="420" w:firstLineChars="200"/>
        <w:jc w:val="right"/>
        <w:rPr>
          <w:rFonts w:cs="宋体"/>
          <w:sz w:val="24"/>
          <w:szCs w:val="24"/>
        </w:rPr>
      </w:pPr>
      <w:r>
        <w:rPr>
          <w:rFonts w:hint="eastAsia" w:cs="宋体"/>
        </w:rPr>
        <w:t xml:space="preserve">        </w:t>
      </w:r>
      <w:r>
        <w:rPr>
          <w:rFonts w:hint="eastAsia" w:cs="宋体"/>
          <w:sz w:val="24"/>
        </w:rPr>
        <w:t xml:space="preserve"> </w:t>
      </w:r>
      <w:r>
        <w:rPr>
          <w:rFonts w:hint="eastAsia" w:cs="宋体"/>
          <w:b/>
          <w:bCs/>
          <w:sz w:val="24"/>
        </w:rPr>
        <w:t xml:space="preserve"> </w:t>
      </w:r>
      <w:r>
        <w:rPr>
          <w:rFonts w:hint="eastAsia" w:cs="宋体"/>
          <w:sz w:val="24"/>
          <w:szCs w:val="24"/>
        </w:rPr>
        <w:t>投标人：</w:t>
      </w:r>
      <w:r>
        <w:rPr>
          <w:rFonts w:hint="eastAsia" w:cs="宋体"/>
          <w:sz w:val="24"/>
          <w:szCs w:val="24"/>
          <w:u w:val="single"/>
        </w:rPr>
        <w:t xml:space="preserve">                </w:t>
      </w:r>
      <w:r>
        <w:rPr>
          <w:rFonts w:hint="eastAsia" w:cs="宋体"/>
          <w:sz w:val="24"/>
          <w:szCs w:val="24"/>
        </w:rPr>
        <w:t>（盖单位公章）</w:t>
      </w:r>
    </w:p>
    <w:p>
      <w:pPr>
        <w:autoSpaceDE w:val="0"/>
        <w:autoSpaceDN w:val="0"/>
        <w:adjustRightInd w:val="0"/>
        <w:spacing w:line="480" w:lineRule="auto"/>
        <w:jc w:val="right"/>
        <w:rPr>
          <w:rFonts w:cs="宋体"/>
          <w:sz w:val="24"/>
          <w:szCs w:val="24"/>
        </w:rPr>
      </w:pPr>
      <w:r>
        <w:rPr>
          <w:rFonts w:hint="eastAsia" w:cs="宋体"/>
          <w:sz w:val="24"/>
          <w:szCs w:val="24"/>
        </w:rPr>
        <w:t>法定代表人或其委托代理人：</w:t>
      </w:r>
      <w:r>
        <w:rPr>
          <w:rFonts w:hint="eastAsia" w:cs="宋体"/>
          <w:sz w:val="24"/>
          <w:szCs w:val="24"/>
          <w:u w:val="single"/>
        </w:rPr>
        <w:t xml:space="preserve">         </w:t>
      </w:r>
      <w:r>
        <w:rPr>
          <w:rFonts w:hint="eastAsia" w:cs="宋体"/>
          <w:sz w:val="24"/>
          <w:szCs w:val="24"/>
        </w:rPr>
        <w:t>（签字或盖章）</w:t>
      </w:r>
    </w:p>
    <w:p>
      <w:pPr>
        <w:autoSpaceDE w:val="0"/>
        <w:autoSpaceDN w:val="0"/>
        <w:adjustRightInd w:val="0"/>
        <w:spacing w:line="480" w:lineRule="auto"/>
        <w:jc w:val="right"/>
        <w:rPr>
          <w:rFonts w:cs="宋体"/>
          <w:sz w:val="24"/>
          <w:szCs w:val="24"/>
        </w:rPr>
      </w:pPr>
      <w:r>
        <w:rPr>
          <w:rFonts w:hint="eastAsia" w:cs="宋体"/>
          <w:sz w:val="24"/>
          <w:szCs w:val="24"/>
          <w:u w:val="single"/>
          <w:lang w:val="zh-CN" w:bidi="zh-CN"/>
        </w:rPr>
        <w:t xml:space="preserve">         </w:t>
      </w:r>
      <w:r>
        <w:rPr>
          <w:rFonts w:hint="eastAsia" w:cs="宋体"/>
          <w:sz w:val="24"/>
          <w:szCs w:val="24"/>
          <w:lang w:val="zh-CN" w:bidi="zh-CN"/>
        </w:rPr>
        <w:t>年</w:t>
      </w:r>
      <w:r>
        <w:rPr>
          <w:rFonts w:hint="eastAsia" w:cs="宋体"/>
          <w:sz w:val="24"/>
          <w:szCs w:val="24"/>
          <w:u w:val="single"/>
          <w:lang w:val="zh-CN" w:bidi="zh-CN"/>
        </w:rPr>
        <w:t xml:space="preserve">      </w:t>
      </w:r>
      <w:r>
        <w:rPr>
          <w:rFonts w:hint="eastAsia" w:cs="宋体"/>
          <w:sz w:val="24"/>
          <w:szCs w:val="24"/>
          <w:lang w:val="zh-CN" w:bidi="zh-CN"/>
        </w:rPr>
        <w:t>月</w:t>
      </w:r>
      <w:r>
        <w:rPr>
          <w:rFonts w:hint="eastAsia" w:cs="宋体"/>
          <w:sz w:val="24"/>
          <w:szCs w:val="24"/>
          <w:u w:val="single"/>
          <w:lang w:val="zh-CN" w:bidi="zh-CN"/>
        </w:rPr>
        <w:t xml:space="preserve">      </w:t>
      </w:r>
      <w:r>
        <w:rPr>
          <w:rFonts w:hint="eastAsia" w:cs="宋体"/>
          <w:sz w:val="24"/>
          <w:szCs w:val="24"/>
          <w:lang w:val="zh-CN" w:bidi="zh-CN"/>
        </w:rPr>
        <w:t>日</w:t>
      </w:r>
    </w:p>
    <w:p>
      <w:pPr>
        <w:spacing w:line="380" w:lineRule="exact"/>
        <w:rPr>
          <w:rFonts w:cs="宋体"/>
          <w:b/>
          <w:bCs/>
          <w:szCs w:val="21"/>
          <w:u w:val="single"/>
        </w:rPr>
      </w:pPr>
    </w:p>
    <w:p>
      <w:pPr>
        <w:rPr>
          <w:rFonts w:cs="宋体"/>
        </w:rPr>
      </w:pPr>
      <w:r>
        <w:rPr>
          <w:rFonts w:hint="eastAsia" w:cs="宋体"/>
        </w:rPr>
        <w:t xml:space="preserve"> </w:t>
      </w:r>
    </w:p>
    <w:p>
      <w:pPr>
        <w:ind w:firstLine="643" w:firstLineChars="201"/>
        <w:rPr>
          <w:rFonts w:cs="宋体"/>
          <w:sz w:val="32"/>
          <w:szCs w:val="32"/>
        </w:rPr>
      </w:pPr>
    </w:p>
    <w:p>
      <w:pPr>
        <w:rPr>
          <w:rFonts w:cs="宋体"/>
        </w:rPr>
      </w:pPr>
    </w:p>
    <w:p>
      <w:pPr>
        <w:rPr>
          <w:rFonts w:cs="宋体"/>
        </w:rPr>
      </w:pPr>
    </w:p>
    <w:p/>
    <w:p/>
    <w:p/>
    <w:p/>
    <w:p/>
    <w:p/>
    <w:p>
      <w:pPr>
        <w:autoSpaceDE w:val="0"/>
        <w:autoSpaceDN w:val="0"/>
        <w:adjustRightInd w:val="0"/>
        <w:jc w:val="left"/>
        <w:rPr>
          <w:rFonts w:cs="宋体"/>
          <w:kern w:val="0"/>
          <w:sz w:val="24"/>
          <w:szCs w:val="24"/>
        </w:rPr>
      </w:pPr>
    </w:p>
    <w:p>
      <w:pPr>
        <w:autoSpaceDE w:val="0"/>
        <w:autoSpaceDN w:val="0"/>
        <w:adjustRightInd w:val="0"/>
        <w:jc w:val="left"/>
        <w:rPr>
          <w:rFonts w:cs="宋体"/>
          <w:kern w:val="0"/>
          <w:sz w:val="24"/>
          <w:szCs w:val="24"/>
        </w:rPr>
      </w:pPr>
    </w:p>
    <w:p>
      <w:pPr>
        <w:spacing w:line="360" w:lineRule="auto"/>
        <w:ind w:firstLine="420"/>
        <w:jc w:val="right"/>
        <w:rPr>
          <w:rFonts w:cs="宋体"/>
          <w:b/>
          <w:bCs/>
          <w:kern w:val="0"/>
          <w:sz w:val="72"/>
          <w:szCs w:val="72"/>
        </w:rPr>
      </w:pPr>
      <w:r>
        <w:rPr>
          <w:rFonts w:hint="eastAsia" w:cs="宋体"/>
          <w:b/>
          <w:bCs/>
          <w:kern w:val="0"/>
          <w:sz w:val="36"/>
          <w:szCs w:val="36"/>
        </w:rPr>
        <w:t xml:space="preserve"> （正/副本）</w:t>
      </w:r>
    </w:p>
    <w:p>
      <w:pPr>
        <w:spacing w:line="360" w:lineRule="auto"/>
        <w:jc w:val="center"/>
        <w:rPr>
          <w:rFonts w:cs="宋体"/>
          <w:b/>
          <w:bCs/>
          <w:sz w:val="72"/>
          <w:szCs w:val="72"/>
        </w:rPr>
      </w:pPr>
      <w:r>
        <w:rPr>
          <w:rFonts w:hint="eastAsia" w:cs="宋体"/>
          <w:b/>
          <w:bCs/>
          <w:sz w:val="72"/>
          <w:szCs w:val="72"/>
        </w:rPr>
        <w:t xml:space="preserve"> </w:t>
      </w:r>
    </w:p>
    <w:p>
      <w:pPr>
        <w:spacing w:line="360" w:lineRule="auto"/>
        <w:jc w:val="center"/>
        <w:outlineLvl w:val="1"/>
        <w:rPr>
          <w:rFonts w:cs="宋体"/>
          <w:b/>
          <w:bCs/>
          <w:sz w:val="72"/>
          <w:szCs w:val="72"/>
        </w:rPr>
      </w:pPr>
      <w:bookmarkStart w:id="941" w:name="_Toc8240"/>
      <w:bookmarkStart w:id="942" w:name="_Toc12103"/>
      <w:bookmarkStart w:id="943" w:name="_Toc21542"/>
      <w:bookmarkStart w:id="944" w:name="_Toc7950"/>
      <w:bookmarkStart w:id="945" w:name="_Toc25190"/>
      <w:bookmarkStart w:id="946" w:name="_Toc6317"/>
      <w:bookmarkStart w:id="947" w:name="_Toc23932"/>
      <w:r>
        <w:rPr>
          <w:rFonts w:hint="eastAsia" w:cs="宋体"/>
          <w:b/>
          <w:bCs/>
          <w:sz w:val="72"/>
          <w:szCs w:val="72"/>
        </w:rPr>
        <w:t>投  标  文  件</w:t>
      </w:r>
      <w:bookmarkEnd w:id="941"/>
      <w:bookmarkEnd w:id="942"/>
      <w:bookmarkEnd w:id="943"/>
      <w:bookmarkEnd w:id="944"/>
      <w:bookmarkEnd w:id="945"/>
      <w:bookmarkEnd w:id="946"/>
      <w:bookmarkEnd w:id="947"/>
    </w:p>
    <w:p>
      <w:pPr>
        <w:spacing w:line="360" w:lineRule="auto"/>
        <w:jc w:val="center"/>
        <w:outlineLvl w:val="1"/>
        <w:rPr>
          <w:rFonts w:cs="宋体"/>
          <w:b/>
          <w:bCs/>
          <w:sz w:val="36"/>
          <w:szCs w:val="36"/>
        </w:rPr>
      </w:pPr>
      <w:bookmarkStart w:id="948" w:name="_Toc30331"/>
      <w:bookmarkStart w:id="949" w:name="_Toc13896"/>
      <w:bookmarkStart w:id="950" w:name="_Toc3874"/>
      <w:bookmarkStart w:id="951" w:name="_Toc8144"/>
      <w:bookmarkStart w:id="952" w:name="_Toc14725"/>
      <w:bookmarkStart w:id="953" w:name="_Toc19200"/>
      <w:bookmarkStart w:id="954" w:name="_Toc28681"/>
      <w:r>
        <w:rPr>
          <w:rFonts w:hint="eastAsia" w:cs="宋体"/>
          <w:b/>
          <w:bCs/>
          <w:sz w:val="36"/>
          <w:szCs w:val="36"/>
        </w:rPr>
        <w:t>（技术文件）</w:t>
      </w:r>
      <w:bookmarkEnd w:id="948"/>
      <w:bookmarkEnd w:id="949"/>
      <w:bookmarkEnd w:id="950"/>
      <w:bookmarkEnd w:id="951"/>
      <w:bookmarkEnd w:id="952"/>
      <w:bookmarkEnd w:id="953"/>
      <w:bookmarkEnd w:id="954"/>
    </w:p>
    <w:p>
      <w:pPr>
        <w:spacing w:line="360" w:lineRule="auto"/>
        <w:jc w:val="center"/>
        <w:rPr>
          <w:rFonts w:cs="宋体"/>
          <w:b/>
          <w:bCs/>
          <w:sz w:val="36"/>
          <w:szCs w:val="36"/>
        </w:rPr>
      </w:pPr>
    </w:p>
    <w:p>
      <w:pPr>
        <w:spacing w:line="360" w:lineRule="auto"/>
        <w:jc w:val="center"/>
        <w:rPr>
          <w:rFonts w:cs="宋体"/>
          <w:b/>
          <w:bCs/>
          <w:sz w:val="36"/>
          <w:szCs w:val="36"/>
        </w:rPr>
      </w:pPr>
      <w:r>
        <w:rPr>
          <w:rFonts w:hint="eastAsia" w:cs="宋体"/>
          <w:b/>
          <w:bCs/>
          <w:sz w:val="36"/>
          <w:szCs w:val="36"/>
        </w:rPr>
        <w:t xml:space="preserve"> </w:t>
      </w:r>
    </w:p>
    <w:p>
      <w:pPr>
        <w:spacing w:line="360" w:lineRule="auto"/>
        <w:ind w:firstLine="1084" w:firstLineChars="300"/>
        <w:rPr>
          <w:rFonts w:cs="宋体"/>
          <w:b/>
          <w:bCs/>
          <w:sz w:val="36"/>
          <w:szCs w:val="36"/>
        </w:rPr>
      </w:pPr>
      <w:r>
        <w:rPr>
          <w:rFonts w:hint="eastAsia" w:cs="宋体"/>
          <w:b/>
          <w:bCs/>
          <w:sz w:val="36"/>
          <w:szCs w:val="36"/>
        </w:rPr>
        <w:t>项 目 名 称：</w:t>
      </w:r>
      <w:r>
        <w:rPr>
          <w:rFonts w:hint="eastAsia" w:cs="宋体"/>
          <w:b/>
          <w:bCs/>
          <w:sz w:val="36"/>
          <w:szCs w:val="36"/>
          <w:u w:val="single"/>
        </w:rPr>
        <w:t xml:space="preserve">               </w:t>
      </w:r>
    </w:p>
    <w:p>
      <w:pPr>
        <w:spacing w:line="360" w:lineRule="auto"/>
        <w:ind w:firstLine="1084" w:firstLineChars="300"/>
        <w:rPr>
          <w:rFonts w:cs="宋体"/>
          <w:b/>
          <w:bCs/>
          <w:sz w:val="36"/>
          <w:szCs w:val="36"/>
          <w:u w:val="single"/>
        </w:rPr>
      </w:pPr>
      <w:r>
        <w:rPr>
          <w:rFonts w:hint="eastAsia" w:cs="宋体"/>
          <w:b/>
          <w:bCs/>
          <w:sz w:val="36"/>
          <w:szCs w:val="36"/>
        </w:rPr>
        <w:t>招 标 编 号：</w:t>
      </w:r>
      <w:r>
        <w:rPr>
          <w:rFonts w:hint="eastAsia" w:cs="宋体"/>
          <w:b/>
          <w:bCs/>
          <w:sz w:val="36"/>
          <w:szCs w:val="36"/>
          <w:u w:val="single"/>
        </w:rPr>
        <w:t xml:space="preserve">               </w:t>
      </w:r>
    </w:p>
    <w:p>
      <w:pPr>
        <w:spacing w:line="360" w:lineRule="auto"/>
        <w:rPr>
          <w:rFonts w:cs="宋体"/>
          <w:b/>
          <w:bCs/>
          <w:sz w:val="36"/>
          <w:szCs w:val="36"/>
        </w:rPr>
      </w:pPr>
      <w:r>
        <w:rPr>
          <w:rFonts w:hint="eastAsia" w:cs="宋体"/>
          <w:b/>
          <w:bCs/>
          <w:sz w:val="36"/>
          <w:szCs w:val="36"/>
        </w:rPr>
        <w:t xml:space="preserve"> </w:t>
      </w:r>
    </w:p>
    <w:p>
      <w:pPr>
        <w:spacing w:line="360" w:lineRule="auto"/>
        <w:rPr>
          <w:rFonts w:cs="宋体"/>
          <w:b/>
          <w:bCs/>
          <w:sz w:val="36"/>
          <w:szCs w:val="36"/>
        </w:rPr>
      </w:pPr>
      <w:r>
        <w:rPr>
          <w:rFonts w:hint="eastAsia" w:cs="宋体"/>
          <w:b/>
          <w:bCs/>
          <w:sz w:val="36"/>
          <w:szCs w:val="36"/>
        </w:rPr>
        <w:t xml:space="preserve"> </w:t>
      </w:r>
    </w:p>
    <w:p>
      <w:pPr>
        <w:spacing w:line="360" w:lineRule="auto"/>
        <w:rPr>
          <w:rFonts w:cs="宋体"/>
          <w:b/>
          <w:bCs/>
          <w:sz w:val="36"/>
          <w:szCs w:val="36"/>
        </w:rPr>
      </w:pPr>
      <w:r>
        <w:rPr>
          <w:rFonts w:hint="eastAsia" w:cs="宋体"/>
          <w:b/>
          <w:bCs/>
          <w:sz w:val="36"/>
          <w:szCs w:val="36"/>
        </w:rPr>
        <w:t xml:space="preserve"> </w:t>
      </w:r>
    </w:p>
    <w:p>
      <w:pPr>
        <w:autoSpaceDE/>
        <w:autoSpaceDN/>
        <w:adjustRightInd/>
        <w:spacing w:line="360" w:lineRule="auto"/>
        <w:jc w:val="left"/>
        <w:rPr>
          <w:rFonts w:cs="宋体"/>
          <w:b/>
          <w:bCs/>
          <w:kern w:val="0"/>
          <w:sz w:val="36"/>
          <w:szCs w:val="36"/>
        </w:rPr>
      </w:pPr>
      <w:r>
        <w:rPr>
          <w:rFonts w:hint="eastAsia" w:cs="宋体"/>
          <w:b/>
          <w:bCs/>
          <w:sz w:val="36"/>
          <w:szCs w:val="36"/>
        </w:rPr>
        <w:t xml:space="preserve"> </w:t>
      </w:r>
    </w:p>
    <w:p>
      <w:pPr>
        <w:autoSpaceDE w:val="0"/>
        <w:autoSpaceDN w:val="0"/>
        <w:adjustRightInd w:val="0"/>
        <w:jc w:val="left"/>
        <w:rPr>
          <w:rFonts w:cs="宋体"/>
          <w:b/>
          <w:bCs/>
          <w:kern w:val="0"/>
          <w:sz w:val="36"/>
          <w:szCs w:val="36"/>
        </w:rPr>
      </w:pPr>
    </w:p>
    <w:p>
      <w:pPr>
        <w:spacing w:line="360" w:lineRule="auto"/>
        <w:rPr>
          <w:rFonts w:cs="宋体"/>
          <w:b/>
          <w:bCs/>
          <w:sz w:val="36"/>
          <w:szCs w:val="36"/>
        </w:rPr>
      </w:pPr>
      <w:r>
        <w:rPr>
          <w:rFonts w:hint="eastAsia" w:cs="宋体"/>
          <w:b/>
          <w:bCs/>
          <w:sz w:val="36"/>
          <w:szCs w:val="36"/>
        </w:rPr>
        <w:t xml:space="preserve"> </w:t>
      </w:r>
    </w:p>
    <w:p>
      <w:pPr>
        <w:spacing w:line="360" w:lineRule="auto"/>
        <w:rPr>
          <w:rFonts w:cs="宋体"/>
          <w:b/>
          <w:bCs/>
          <w:sz w:val="36"/>
          <w:szCs w:val="36"/>
          <w:u w:val="single"/>
        </w:rPr>
      </w:pPr>
      <w:r>
        <w:rPr>
          <w:rFonts w:hint="eastAsia" w:cs="宋体"/>
          <w:b/>
          <w:bCs/>
          <w:sz w:val="36"/>
          <w:szCs w:val="36"/>
        </w:rPr>
        <w:t xml:space="preserve">       投标人名称 ：</w:t>
      </w:r>
      <w:r>
        <w:rPr>
          <w:rFonts w:hint="eastAsia" w:cs="宋体"/>
          <w:b/>
          <w:bCs/>
          <w:sz w:val="36"/>
          <w:szCs w:val="36"/>
          <w:u w:val="single"/>
        </w:rPr>
        <w:t xml:space="preserve">               </w:t>
      </w:r>
    </w:p>
    <w:p>
      <w:pPr>
        <w:spacing w:line="360" w:lineRule="auto"/>
        <w:rPr>
          <w:rFonts w:cs="宋体"/>
          <w:b/>
          <w:bCs/>
          <w:sz w:val="36"/>
          <w:szCs w:val="36"/>
        </w:rPr>
      </w:pPr>
      <w:r>
        <w:rPr>
          <w:rFonts w:hint="eastAsia" w:cs="宋体"/>
          <w:b/>
          <w:bCs/>
          <w:sz w:val="36"/>
          <w:szCs w:val="36"/>
        </w:rPr>
        <w:t xml:space="preserve">       日      期 ：</w:t>
      </w:r>
      <w:r>
        <w:rPr>
          <w:rFonts w:hint="eastAsia" w:cs="宋体"/>
          <w:b/>
          <w:bCs/>
          <w:sz w:val="36"/>
          <w:szCs w:val="36"/>
          <w:u w:val="single"/>
        </w:rPr>
        <w:t xml:space="preserve">               </w:t>
      </w:r>
    </w:p>
    <w:p>
      <w:pPr>
        <w:keepNext w:val="0"/>
        <w:keepLines w:val="0"/>
        <w:spacing w:before="0" w:beforeLines="-2147483648" w:after="0" w:afterLines="-2147483648" w:line="360" w:lineRule="auto"/>
        <w:jc w:val="left"/>
        <w:rPr>
          <w:rFonts w:cs="宋体"/>
          <w:kern w:val="0"/>
          <w:sz w:val="36"/>
          <w:szCs w:val="36"/>
        </w:rPr>
      </w:pPr>
      <w:r>
        <w:rPr>
          <w:rFonts w:hint="eastAsia" w:cs="宋体"/>
          <w:sz w:val="24"/>
        </w:rPr>
        <w:t xml:space="preserve"> </w:t>
      </w:r>
      <w:r>
        <w:rPr>
          <w:rFonts w:hint="eastAsia" w:cs="宋体"/>
          <w:b/>
          <w:bCs/>
          <w:kern w:val="0"/>
          <w:sz w:val="32"/>
          <w:szCs w:val="32"/>
        </w:rPr>
        <w:br w:type="page"/>
      </w:r>
      <w:bookmarkStart w:id="955" w:name="_Toc148459152"/>
      <w:r>
        <w:rPr>
          <w:rFonts w:hint="eastAsia" w:cs="宋体"/>
          <w:kern w:val="0"/>
          <w:sz w:val="36"/>
          <w:szCs w:val="36"/>
        </w:rPr>
        <w:t>目 录</w:t>
      </w:r>
      <w:bookmarkEnd w:id="955"/>
    </w:p>
    <w:p>
      <w:pPr>
        <w:autoSpaceDE w:val="0"/>
        <w:autoSpaceDN w:val="0"/>
        <w:adjustRightInd w:val="0"/>
        <w:snapToGrid w:val="0"/>
        <w:spacing w:line="480" w:lineRule="auto"/>
        <w:jc w:val="left"/>
        <w:rPr>
          <w:rFonts w:cs="宋体"/>
          <w:kern w:val="0"/>
          <w:sz w:val="28"/>
          <w:szCs w:val="28"/>
        </w:rPr>
      </w:pPr>
      <w:r>
        <w:rPr>
          <w:rFonts w:hint="eastAsia" w:cs="宋体"/>
          <w:kern w:val="0"/>
          <w:sz w:val="28"/>
          <w:szCs w:val="28"/>
        </w:rPr>
        <w:t>一、技术评分索引表</w:t>
      </w:r>
    </w:p>
    <w:p>
      <w:pPr>
        <w:autoSpaceDE w:val="0"/>
        <w:autoSpaceDN w:val="0"/>
        <w:adjustRightInd w:val="0"/>
        <w:snapToGrid w:val="0"/>
        <w:spacing w:line="480" w:lineRule="auto"/>
        <w:jc w:val="left"/>
        <w:rPr>
          <w:rFonts w:cs="宋体"/>
          <w:kern w:val="0"/>
          <w:sz w:val="28"/>
          <w:szCs w:val="28"/>
        </w:rPr>
      </w:pPr>
      <w:r>
        <w:rPr>
          <w:rFonts w:hint="eastAsia" w:cs="宋体"/>
          <w:kern w:val="0"/>
          <w:sz w:val="28"/>
          <w:szCs w:val="28"/>
        </w:rPr>
        <w:t>二、技术和商务偏离表</w:t>
      </w:r>
    </w:p>
    <w:p>
      <w:pPr>
        <w:autoSpaceDE w:val="0"/>
        <w:autoSpaceDN w:val="0"/>
        <w:adjustRightInd w:val="0"/>
        <w:snapToGrid w:val="0"/>
        <w:spacing w:line="480" w:lineRule="auto"/>
        <w:jc w:val="left"/>
        <w:rPr>
          <w:rFonts w:cs="宋体"/>
          <w:kern w:val="0"/>
          <w:sz w:val="28"/>
          <w:szCs w:val="28"/>
        </w:rPr>
      </w:pPr>
      <w:r>
        <w:rPr>
          <w:rFonts w:hint="eastAsia" w:cs="宋体"/>
          <w:kern w:val="0"/>
          <w:sz w:val="28"/>
          <w:szCs w:val="28"/>
        </w:rPr>
        <w:t>三、设备技术方案</w:t>
      </w:r>
    </w:p>
    <w:p>
      <w:pPr>
        <w:autoSpaceDE w:val="0"/>
        <w:autoSpaceDN w:val="0"/>
        <w:adjustRightInd w:val="0"/>
        <w:snapToGrid w:val="0"/>
        <w:spacing w:line="480" w:lineRule="auto"/>
        <w:jc w:val="left"/>
        <w:rPr>
          <w:rFonts w:cs="宋体"/>
          <w:kern w:val="0"/>
          <w:sz w:val="28"/>
          <w:szCs w:val="28"/>
        </w:rPr>
      </w:pPr>
      <w:r>
        <w:rPr>
          <w:rFonts w:hint="eastAsia" w:cs="宋体"/>
          <w:kern w:val="0"/>
          <w:sz w:val="28"/>
          <w:szCs w:val="28"/>
        </w:rPr>
        <w:t>四、设备供货组织方案</w:t>
      </w:r>
    </w:p>
    <w:p>
      <w:pPr>
        <w:autoSpaceDE w:val="0"/>
        <w:autoSpaceDN w:val="0"/>
        <w:adjustRightInd w:val="0"/>
        <w:snapToGrid w:val="0"/>
        <w:spacing w:line="480" w:lineRule="auto"/>
        <w:jc w:val="left"/>
        <w:rPr>
          <w:rFonts w:cs="宋体"/>
          <w:kern w:val="0"/>
          <w:sz w:val="28"/>
          <w:szCs w:val="28"/>
        </w:rPr>
      </w:pPr>
      <w:r>
        <w:rPr>
          <w:rFonts w:hint="eastAsia" w:cs="宋体"/>
          <w:kern w:val="0"/>
          <w:sz w:val="28"/>
          <w:szCs w:val="28"/>
        </w:rPr>
        <w:t>五、设备售后服务方案</w:t>
      </w:r>
    </w:p>
    <w:p>
      <w:pPr>
        <w:autoSpaceDE w:val="0"/>
        <w:autoSpaceDN w:val="0"/>
        <w:adjustRightInd w:val="0"/>
        <w:snapToGrid w:val="0"/>
        <w:spacing w:line="480" w:lineRule="auto"/>
        <w:jc w:val="left"/>
        <w:rPr>
          <w:rFonts w:cs="宋体"/>
          <w:kern w:val="0"/>
          <w:sz w:val="28"/>
          <w:szCs w:val="28"/>
        </w:rPr>
      </w:pPr>
      <w:r>
        <w:rPr>
          <w:rFonts w:hint="eastAsia" w:cs="宋体"/>
          <w:kern w:val="0"/>
          <w:sz w:val="28"/>
          <w:szCs w:val="28"/>
        </w:rPr>
        <w:t>六、其他</w:t>
      </w:r>
    </w:p>
    <w:p>
      <w:pPr>
        <w:autoSpaceDE w:val="0"/>
        <w:autoSpaceDN w:val="0"/>
        <w:adjustRightInd w:val="0"/>
        <w:snapToGrid w:val="0"/>
        <w:spacing w:line="480" w:lineRule="auto"/>
        <w:jc w:val="left"/>
        <w:rPr>
          <w:rFonts w:cs="宋体"/>
          <w:kern w:val="0"/>
          <w:sz w:val="28"/>
          <w:szCs w:val="28"/>
        </w:rPr>
      </w:pPr>
    </w:p>
    <w:p>
      <w:pPr>
        <w:autoSpaceDE w:val="0"/>
        <w:autoSpaceDN w:val="0"/>
        <w:adjustRightInd w:val="0"/>
        <w:snapToGrid w:val="0"/>
        <w:spacing w:line="480" w:lineRule="auto"/>
        <w:jc w:val="left"/>
        <w:rPr>
          <w:rFonts w:cs="宋体"/>
          <w:kern w:val="0"/>
          <w:sz w:val="28"/>
          <w:szCs w:val="28"/>
        </w:rPr>
      </w:pPr>
    </w:p>
    <w:p>
      <w:pPr>
        <w:autoSpaceDE w:val="0"/>
        <w:autoSpaceDN w:val="0"/>
        <w:adjustRightInd w:val="0"/>
        <w:snapToGrid w:val="0"/>
        <w:spacing w:line="480" w:lineRule="auto"/>
        <w:jc w:val="left"/>
        <w:rPr>
          <w:rFonts w:cs="宋体"/>
          <w:kern w:val="0"/>
          <w:sz w:val="28"/>
          <w:szCs w:val="28"/>
        </w:rPr>
      </w:pPr>
    </w:p>
    <w:p>
      <w:pPr>
        <w:autoSpaceDE w:val="0"/>
        <w:autoSpaceDN w:val="0"/>
        <w:adjustRightInd w:val="0"/>
        <w:snapToGrid w:val="0"/>
        <w:spacing w:line="480" w:lineRule="auto"/>
        <w:jc w:val="left"/>
        <w:rPr>
          <w:rFonts w:cs="宋体"/>
          <w:kern w:val="0"/>
          <w:sz w:val="28"/>
          <w:szCs w:val="28"/>
        </w:rPr>
      </w:pPr>
    </w:p>
    <w:p>
      <w:pPr>
        <w:autoSpaceDE w:val="0"/>
        <w:autoSpaceDN w:val="0"/>
        <w:adjustRightInd w:val="0"/>
        <w:snapToGrid w:val="0"/>
        <w:spacing w:line="480" w:lineRule="auto"/>
        <w:jc w:val="left"/>
        <w:rPr>
          <w:rFonts w:cs="宋体"/>
          <w:kern w:val="0"/>
          <w:sz w:val="28"/>
          <w:szCs w:val="28"/>
        </w:rPr>
      </w:pPr>
    </w:p>
    <w:p>
      <w:pPr>
        <w:autoSpaceDE w:val="0"/>
        <w:autoSpaceDN w:val="0"/>
        <w:adjustRightInd w:val="0"/>
        <w:snapToGrid w:val="0"/>
        <w:spacing w:line="480" w:lineRule="auto"/>
        <w:jc w:val="left"/>
        <w:rPr>
          <w:rFonts w:cs="宋体"/>
          <w:kern w:val="0"/>
          <w:sz w:val="28"/>
          <w:szCs w:val="28"/>
        </w:rPr>
      </w:pPr>
    </w:p>
    <w:p>
      <w:pPr>
        <w:autoSpaceDE w:val="0"/>
        <w:autoSpaceDN w:val="0"/>
        <w:adjustRightInd w:val="0"/>
        <w:snapToGrid w:val="0"/>
        <w:spacing w:line="480" w:lineRule="auto"/>
        <w:jc w:val="left"/>
        <w:rPr>
          <w:rFonts w:cs="宋体"/>
          <w:kern w:val="0"/>
          <w:sz w:val="28"/>
          <w:szCs w:val="28"/>
        </w:rPr>
      </w:pPr>
    </w:p>
    <w:p>
      <w:pPr>
        <w:autoSpaceDE w:val="0"/>
        <w:autoSpaceDN w:val="0"/>
        <w:adjustRightInd w:val="0"/>
        <w:snapToGrid w:val="0"/>
        <w:spacing w:line="480" w:lineRule="auto"/>
        <w:jc w:val="left"/>
        <w:rPr>
          <w:rFonts w:cs="宋体"/>
          <w:kern w:val="0"/>
          <w:sz w:val="28"/>
          <w:szCs w:val="28"/>
        </w:rPr>
      </w:pPr>
    </w:p>
    <w:p>
      <w:pPr>
        <w:autoSpaceDE w:val="0"/>
        <w:autoSpaceDN w:val="0"/>
        <w:adjustRightInd w:val="0"/>
        <w:snapToGrid w:val="0"/>
        <w:spacing w:line="480" w:lineRule="auto"/>
        <w:jc w:val="left"/>
        <w:rPr>
          <w:rFonts w:cs="宋体"/>
          <w:kern w:val="0"/>
          <w:sz w:val="28"/>
          <w:szCs w:val="28"/>
        </w:rPr>
      </w:pPr>
    </w:p>
    <w:p>
      <w:pPr>
        <w:autoSpaceDE w:val="0"/>
        <w:autoSpaceDN w:val="0"/>
        <w:adjustRightInd w:val="0"/>
        <w:snapToGrid w:val="0"/>
        <w:spacing w:line="480" w:lineRule="auto"/>
        <w:jc w:val="center"/>
        <w:rPr>
          <w:rFonts w:cs="宋体"/>
          <w:b/>
          <w:bCs/>
          <w:kern w:val="0"/>
          <w:sz w:val="28"/>
          <w:szCs w:val="28"/>
        </w:rPr>
      </w:pPr>
    </w:p>
    <w:p>
      <w:pPr>
        <w:autoSpaceDE w:val="0"/>
        <w:autoSpaceDN w:val="0"/>
        <w:adjustRightInd w:val="0"/>
        <w:snapToGrid w:val="0"/>
        <w:spacing w:line="480" w:lineRule="auto"/>
        <w:jc w:val="center"/>
        <w:rPr>
          <w:rFonts w:cs="宋体"/>
          <w:b/>
          <w:bCs/>
          <w:kern w:val="0"/>
          <w:sz w:val="28"/>
          <w:szCs w:val="28"/>
        </w:rPr>
      </w:pPr>
      <w:r>
        <w:rPr>
          <w:rFonts w:hint="eastAsia" w:cs="宋体"/>
          <w:b/>
          <w:bCs/>
          <w:kern w:val="0"/>
          <w:sz w:val="28"/>
          <w:szCs w:val="28"/>
        </w:rPr>
        <w:t>一、技术评分索引表</w:t>
      </w:r>
    </w:p>
    <w:p>
      <w:pPr>
        <w:autoSpaceDE w:val="0"/>
        <w:autoSpaceDN w:val="0"/>
        <w:adjustRightInd w:val="0"/>
        <w:snapToGrid w:val="0"/>
        <w:spacing w:line="480" w:lineRule="auto"/>
        <w:rPr>
          <w:rFonts w:cs="宋体"/>
          <w:b/>
          <w:bCs/>
          <w:kern w:val="0"/>
          <w:sz w:val="28"/>
          <w:szCs w:val="28"/>
        </w:rPr>
      </w:pPr>
      <w:r>
        <w:rPr>
          <w:rFonts w:hint="eastAsia" w:cs="宋体"/>
          <w:kern w:val="0"/>
          <w:sz w:val="24"/>
          <w:szCs w:val="24"/>
        </w:rPr>
        <w:t>项目名称：</w:t>
      </w:r>
      <w:r>
        <w:rPr>
          <w:rFonts w:hint="eastAsia" w:cs="宋体"/>
          <w:kern w:val="0"/>
          <w:sz w:val="24"/>
          <w:szCs w:val="24"/>
          <w:u w:val="single"/>
        </w:rPr>
        <w:t xml:space="preserve">                  </w:t>
      </w:r>
      <w:r>
        <w:rPr>
          <w:rFonts w:hint="eastAsia" w:cs="宋体"/>
          <w:kern w:val="0"/>
          <w:sz w:val="24"/>
          <w:szCs w:val="24"/>
        </w:rPr>
        <w:t xml:space="preserve">        招标编号：</w:t>
      </w:r>
      <w:r>
        <w:rPr>
          <w:rFonts w:hint="eastAsia" w:cs="宋体"/>
          <w:kern w:val="0"/>
          <w:sz w:val="24"/>
          <w:szCs w:val="24"/>
          <w:u w:val="single"/>
        </w:rPr>
        <w:t xml:space="preserve">                      </w:t>
      </w:r>
    </w:p>
    <w:tbl>
      <w:tblPr>
        <w:tblStyle w:val="28"/>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7032"/>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sz w:val="24"/>
              </w:rPr>
            </w:pPr>
            <w:r>
              <w:rPr>
                <w:rFonts w:hint="eastAsia" w:cs="宋体"/>
                <w:sz w:val="24"/>
              </w:rPr>
              <w:t>序号</w:t>
            </w:r>
          </w:p>
        </w:tc>
        <w:tc>
          <w:tcPr>
            <w:tcW w:w="7032" w:type="dxa"/>
            <w:tcBorders>
              <w:top w:val="single" w:color="auto" w:sz="4" w:space="0"/>
              <w:left w:val="nil"/>
              <w:bottom w:val="single" w:color="auto" w:sz="4" w:space="0"/>
              <w:right w:val="single" w:color="auto" w:sz="4" w:space="0"/>
            </w:tcBorders>
            <w:vAlign w:val="center"/>
          </w:tcPr>
          <w:p>
            <w:pPr>
              <w:spacing w:line="360" w:lineRule="auto"/>
              <w:jc w:val="center"/>
              <w:rPr>
                <w:rFonts w:cs="宋体"/>
                <w:sz w:val="24"/>
              </w:rPr>
            </w:pPr>
            <w:r>
              <w:rPr>
                <w:rFonts w:hint="eastAsia" w:cs="宋体"/>
                <w:sz w:val="24"/>
              </w:rPr>
              <w:t>评审项目</w:t>
            </w:r>
          </w:p>
        </w:tc>
        <w:tc>
          <w:tcPr>
            <w:tcW w:w="885" w:type="dxa"/>
            <w:tcBorders>
              <w:top w:val="single" w:color="auto" w:sz="4" w:space="0"/>
              <w:left w:val="nil"/>
              <w:bottom w:val="single" w:color="auto" w:sz="4" w:space="0"/>
              <w:right w:val="single" w:color="auto" w:sz="4" w:space="0"/>
            </w:tcBorders>
            <w:vAlign w:val="center"/>
          </w:tcPr>
          <w:p>
            <w:pPr>
              <w:jc w:val="center"/>
              <w:rPr>
                <w:rFonts w:cs="宋体"/>
                <w:sz w:val="24"/>
              </w:rPr>
            </w:pPr>
            <w:r>
              <w:rPr>
                <w:rFonts w:hint="eastAsia" w:cs="宋体"/>
                <w:sz w:val="24"/>
              </w:rPr>
              <w:t>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sz w:val="24"/>
              </w:rPr>
            </w:pPr>
            <w:r>
              <w:rPr>
                <w:rFonts w:hint="eastAsia" w:cs="Arial"/>
                <w:kern w:val="10"/>
                <w:sz w:val="24"/>
                <w:szCs w:val="24"/>
              </w:rPr>
              <w:t>1-1</w:t>
            </w:r>
          </w:p>
        </w:tc>
        <w:tc>
          <w:tcPr>
            <w:tcW w:w="7032" w:type="dxa"/>
            <w:tcBorders>
              <w:top w:val="single" w:color="auto" w:sz="4" w:space="0"/>
              <w:left w:val="nil"/>
              <w:bottom w:val="single" w:color="auto" w:sz="4" w:space="0"/>
              <w:right w:val="single" w:color="auto" w:sz="4" w:space="0"/>
            </w:tcBorders>
            <w:vAlign w:val="center"/>
          </w:tcPr>
          <w:p>
            <w:pPr>
              <w:spacing w:line="400" w:lineRule="exact"/>
              <w:rPr>
                <w:rFonts w:cs="宋体"/>
                <w:sz w:val="24"/>
                <w:szCs w:val="24"/>
              </w:rPr>
            </w:pPr>
            <w:r>
              <w:rPr>
                <w:rFonts w:hint="eastAsia" w:cs="仿宋"/>
                <w:sz w:val="24"/>
                <w:szCs w:val="24"/>
              </w:rPr>
              <w:t>根据投标人提供的设备的规格、参数及性能等，对比</w:t>
            </w:r>
            <w:r>
              <w:rPr>
                <w:sz w:val="24"/>
                <w:szCs w:val="24"/>
              </w:rPr>
              <w:t>招标文件</w:t>
            </w:r>
            <w:r>
              <w:rPr>
                <w:rFonts w:hint="eastAsia"/>
                <w:sz w:val="24"/>
                <w:szCs w:val="24"/>
              </w:rPr>
              <w:t>“</w:t>
            </w:r>
            <w:r>
              <w:rPr>
                <w:rFonts w:hint="eastAsia" w:cs="仿宋"/>
                <w:b/>
                <w:sz w:val="24"/>
                <w:szCs w:val="24"/>
              </w:rPr>
              <w:t>第四章招标内容及要求</w:t>
            </w:r>
            <w:r>
              <w:rPr>
                <w:rFonts w:hint="eastAsia"/>
                <w:sz w:val="24"/>
                <w:szCs w:val="24"/>
              </w:rPr>
              <w:t>”</w:t>
            </w:r>
            <w:r>
              <w:rPr>
                <w:rFonts w:hint="eastAsia" w:cs="宋体"/>
                <w:sz w:val="24"/>
                <w:szCs w:val="24"/>
              </w:rPr>
              <w:t>的响应情况进行评分。</w:t>
            </w:r>
          </w:p>
        </w:tc>
        <w:tc>
          <w:tcPr>
            <w:tcW w:w="885" w:type="dxa"/>
            <w:tcBorders>
              <w:top w:val="single" w:color="auto" w:sz="4" w:space="0"/>
              <w:left w:val="nil"/>
              <w:bottom w:val="single" w:color="auto" w:sz="4" w:space="0"/>
              <w:right w:val="single" w:color="auto" w:sz="4" w:space="0"/>
            </w:tcBorders>
            <w:vAlign w:val="center"/>
          </w:tcPr>
          <w:p>
            <w:pPr>
              <w:spacing w:line="360" w:lineRule="auto"/>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sz w:val="24"/>
              </w:rPr>
            </w:pPr>
            <w:r>
              <w:rPr>
                <w:rFonts w:hint="eastAsia" w:cs="Arial"/>
                <w:kern w:val="10"/>
                <w:sz w:val="24"/>
                <w:szCs w:val="24"/>
              </w:rPr>
              <w:t>1-2</w:t>
            </w:r>
          </w:p>
        </w:tc>
        <w:tc>
          <w:tcPr>
            <w:tcW w:w="7032" w:type="dxa"/>
            <w:tcBorders>
              <w:top w:val="single" w:color="auto" w:sz="4" w:space="0"/>
              <w:left w:val="nil"/>
              <w:bottom w:val="single" w:color="auto" w:sz="4" w:space="0"/>
              <w:right w:val="single" w:color="auto" w:sz="4" w:space="0"/>
            </w:tcBorders>
            <w:vAlign w:val="center"/>
          </w:tcPr>
          <w:p>
            <w:pPr>
              <w:widowControl/>
              <w:spacing w:line="360" w:lineRule="auto"/>
              <w:textAlignment w:val="center"/>
              <w:rPr>
                <w:rFonts w:cs="宋体"/>
                <w:kern w:val="0"/>
                <w:sz w:val="24"/>
                <w:szCs w:val="24"/>
                <w:lang w:bidi="ar"/>
              </w:rPr>
            </w:pPr>
            <w:r>
              <w:rPr>
                <w:rFonts w:hint="eastAsia" w:cs="宋体"/>
                <w:kern w:val="0"/>
                <w:sz w:val="24"/>
                <w:szCs w:val="24"/>
                <w:lang w:bidi="ar"/>
              </w:rPr>
              <w:t>根据方案的优劣程度进行评价：</w:t>
            </w:r>
          </w:p>
          <w:p>
            <w:pPr>
              <w:spacing w:line="400" w:lineRule="exact"/>
              <w:rPr>
                <w:rFonts w:cs="宋体"/>
                <w:sz w:val="24"/>
              </w:rPr>
            </w:pPr>
          </w:p>
        </w:tc>
        <w:tc>
          <w:tcPr>
            <w:tcW w:w="885" w:type="dxa"/>
            <w:tcBorders>
              <w:top w:val="single" w:color="auto" w:sz="4" w:space="0"/>
              <w:left w:val="nil"/>
              <w:bottom w:val="single" w:color="auto" w:sz="4" w:space="0"/>
              <w:right w:val="single" w:color="auto" w:sz="4" w:space="0"/>
            </w:tcBorders>
            <w:vAlign w:val="center"/>
          </w:tcPr>
          <w:p>
            <w:pPr>
              <w:spacing w:line="360" w:lineRule="auto"/>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sz w:val="24"/>
              </w:rPr>
            </w:pPr>
            <w:r>
              <w:rPr>
                <w:rFonts w:hint="eastAsia" w:cs="Arial"/>
                <w:kern w:val="10"/>
                <w:sz w:val="24"/>
                <w:szCs w:val="24"/>
              </w:rPr>
              <w:t>1-3</w:t>
            </w:r>
          </w:p>
        </w:tc>
        <w:tc>
          <w:tcPr>
            <w:tcW w:w="7032" w:type="dxa"/>
            <w:tcBorders>
              <w:top w:val="single" w:color="auto" w:sz="4" w:space="0"/>
              <w:left w:val="nil"/>
              <w:bottom w:val="single" w:color="auto" w:sz="4" w:space="0"/>
              <w:right w:val="single" w:color="auto" w:sz="4" w:space="0"/>
            </w:tcBorders>
            <w:vAlign w:val="center"/>
          </w:tcPr>
          <w:p>
            <w:pPr>
              <w:spacing w:line="400" w:lineRule="exact"/>
              <w:rPr>
                <w:rFonts w:cs="宋体"/>
                <w:sz w:val="24"/>
              </w:rPr>
            </w:pPr>
            <w:r>
              <w:rPr>
                <w:rFonts w:hint="eastAsia" w:cs="仿宋"/>
                <w:sz w:val="24"/>
                <w:szCs w:val="24"/>
              </w:rPr>
              <w:t>投标人提供的供货组织方案（人员配备、运输、安装调试、培训计划等）内容完整、合理可行。</w:t>
            </w:r>
            <w:r>
              <w:rPr>
                <w:rFonts w:hint="eastAsia"/>
                <w:sz w:val="24"/>
                <w:szCs w:val="24"/>
              </w:rPr>
              <w:t>以综合评审质量等级评分</w:t>
            </w:r>
          </w:p>
        </w:tc>
        <w:tc>
          <w:tcPr>
            <w:tcW w:w="885" w:type="dxa"/>
            <w:tcBorders>
              <w:top w:val="single" w:color="auto" w:sz="4" w:space="0"/>
              <w:left w:val="nil"/>
              <w:bottom w:val="single" w:color="auto" w:sz="4" w:space="0"/>
              <w:right w:val="single" w:color="auto" w:sz="4" w:space="0"/>
            </w:tcBorders>
            <w:vAlign w:val="center"/>
          </w:tcPr>
          <w:p>
            <w:pPr>
              <w:spacing w:line="360" w:lineRule="auto"/>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sz w:val="24"/>
              </w:rPr>
            </w:pPr>
            <w:r>
              <w:rPr>
                <w:rFonts w:hint="eastAsia" w:cs="Arial"/>
                <w:kern w:val="10"/>
                <w:sz w:val="24"/>
                <w:szCs w:val="24"/>
              </w:rPr>
              <w:t>1-4</w:t>
            </w:r>
          </w:p>
        </w:tc>
        <w:tc>
          <w:tcPr>
            <w:tcW w:w="7032" w:type="dxa"/>
            <w:tcBorders>
              <w:top w:val="single" w:color="auto" w:sz="4" w:space="0"/>
              <w:left w:val="nil"/>
              <w:bottom w:val="single" w:color="auto" w:sz="4" w:space="0"/>
              <w:right w:val="single" w:color="auto" w:sz="4" w:space="0"/>
            </w:tcBorders>
            <w:vAlign w:val="center"/>
          </w:tcPr>
          <w:p>
            <w:pPr>
              <w:pStyle w:val="52"/>
              <w:spacing w:before="78" w:line="400" w:lineRule="exact"/>
              <w:ind w:right="40"/>
              <w:jc w:val="both"/>
              <w:rPr>
                <w:sz w:val="24"/>
              </w:rPr>
            </w:pPr>
            <w:r>
              <w:rPr>
                <w:rFonts w:hint="eastAsia" w:cs="仿宋"/>
                <w:sz w:val="24"/>
                <w:szCs w:val="24"/>
              </w:rPr>
              <w:t>投标人提供的针对本项目的售后服务方案合理完整；应包括响应速度、人员安排、质保期限、质保期限内服务方案、质保期后服务方案等的响应情况。</w:t>
            </w:r>
            <w:r>
              <w:rPr>
                <w:rFonts w:hint="eastAsia"/>
                <w:sz w:val="24"/>
                <w:szCs w:val="24"/>
              </w:rPr>
              <w:t>以综合评审质量等级评分</w:t>
            </w:r>
          </w:p>
        </w:tc>
        <w:tc>
          <w:tcPr>
            <w:tcW w:w="885" w:type="dxa"/>
            <w:tcBorders>
              <w:top w:val="single" w:color="auto" w:sz="4" w:space="0"/>
              <w:left w:val="nil"/>
              <w:bottom w:val="single" w:color="auto" w:sz="4" w:space="0"/>
              <w:right w:val="single" w:color="auto" w:sz="4" w:space="0"/>
            </w:tcBorders>
            <w:vAlign w:val="center"/>
          </w:tcPr>
          <w:p>
            <w:pPr>
              <w:spacing w:line="360" w:lineRule="auto"/>
              <w:jc w:val="center"/>
              <w:rPr>
                <w:rFonts w:cs="宋体"/>
                <w:sz w:val="24"/>
              </w:rPr>
            </w:pPr>
          </w:p>
        </w:tc>
      </w:tr>
    </w:tbl>
    <w:p>
      <w:pPr>
        <w:autoSpaceDE w:val="0"/>
        <w:autoSpaceDN w:val="0"/>
        <w:adjustRightInd w:val="0"/>
        <w:spacing w:line="480" w:lineRule="auto"/>
        <w:jc w:val="right"/>
        <w:rPr>
          <w:rFonts w:cs="宋体"/>
          <w:sz w:val="24"/>
          <w:szCs w:val="24"/>
        </w:rPr>
      </w:pPr>
    </w:p>
    <w:p>
      <w:pPr>
        <w:autoSpaceDE w:val="0"/>
        <w:autoSpaceDN w:val="0"/>
        <w:adjustRightInd w:val="0"/>
        <w:spacing w:line="480" w:lineRule="auto"/>
        <w:jc w:val="right"/>
        <w:rPr>
          <w:rFonts w:cs="宋体"/>
          <w:sz w:val="24"/>
          <w:szCs w:val="24"/>
        </w:rPr>
      </w:pPr>
      <w:r>
        <w:rPr>
          <w:rFonts w:hint="eastAsia" w:cs="宋体"/>
          <w:sz w:val="24"/>
          <w:szCs w:val="24"/>
        </w:rPr>
        <w:t>投标人：</w:t>
      </w:r>
      <w:r>
        <w:rPr>
          <w:rFonts w:hint="eastAsia" w:cs="宋体"/>
          <w:sz w:val="24"/>
          <w:szCs w:val="24"/>
          <w:u w:val="single"/>
        </w:rPr>
        <w:t xml:space="preserve">                 </w:t>
      </w:r>
      <w:r>
        <w:rPr>
          <w:rFonts w:hint="eastAsia" w:cs="宋体"/>
          <w:sz w:val="24"/>
          <w:szCs w:val="24"/>
        </w:rPr>
        <w:t>（盖单位公章）</w:t>
      </w:r>
    </w:p>
    <w:p>
      <w:pPr>
        <w:autoSpaceDE w:val="0"/>
        <w:autoSpaceDN w:val="0"/>
        <w:adjustRightInd w:val="0"/>
        <w:snapToGrid w:val="0"/>
        <w:spacing w:line="480" w:lineRule="auto"/>
        <w:jc w:val="right"/>
        <w:rPr>
          <w:rFonts w:cs="宋体"/>
          <w:kern w:val="0"/>
          <w:sz w:val="24"/>
          <w:szCs w:val="24"/>
          <w:lang w:val="zh-CN" w:bidi="zh-CN"/>
        </w:rPr>
      </w:pPr>
      <w:r>
        <w:rPr>
          <w:rFonts w:hint="eastAsia" w:cs="宋体"/>
          <w:kern w:val="0"/>
          <w:sz w:val="24"/>
          <w:szCs w:val="24"/>
          <w:u w:val="single"/>
          <w:lang w:val="zh-CN" w:bidi="zh-CN"/>
        </w:rPr>
        <w:t xml:space="preserve">         </w:t>
      </w:r>
      <w:r>
        <w:rPr>
          <w:rFonts w:hint="eastAsia" w:cs="宋体"/>
          <w:kern w:val="0"/>
          <w:sz w:val="24"/>
          <w:szCs w:val="24"/>
          <w:lang w:val="zh-CN" w:bidi="zh-CN"/>
        </w:rPr>
        <w:t>年</w:t>
      </w:r>
      <w:r>
        <w:rPr>
          <w:rFonts w:hint="eastAsia" w:cs="宋体"/>
          <w:kern w:val="0"/>
          <w:sz w:val="24"/>
          <w:szCs w:val="24"/>
          <w:u w:val="single"/>
          <w:lang w:val="zh-CN" w:bidi="zh-CN"/>
        </w:rPr>
        <w:t xml:space="preserve">    </w:t>
      </w:r>
      <w:r>
        <w:rPr>
          <w:rFonts w:hint="eastAsia" w:cs="宋体"/>
          <w:kern w:val="0"/>
          <w:sz w:val="24"/>
          <w:szCs w:val="24"/>
          <w:u w:val="single"/>
          <w:lang w:bidi="zh-CN"/>
        </w:rPr>
        <w:t xml:space="preserve"> </w:t>
      </w:r>
      <w:r>
        <w:rPr>
          <w:rFonts w:hint="eastAsia" w:cs="宋体"/>
          <w:kern w:val="0"/>
          <w:sz w:val="24"/>
          <w:szCs w:val="24"/>
          <w:u w:val="single"/>
          <w:lang w:val="zh-CN" w:bidi="zh-CN"/>
        </w:rPr>
        <w:t xml:space="preserve">  </w:t>
      </w:r>
      <w:r>
        <w:rPr>
          <w:rFonts w:hint="eastAsia" w:cs="宋体"/>
          <w:kern w:val="0"/>
          <w:sz w:val="24"/>
          <w:szCs w:val="24"/>
          <w:lang w:val="zh-CN" w:bidi="zh-CN"/>
        </w:rPr>
        <w:t>月</w:t>
      </w:r>
      <w:r>
        <w:rPr>
          <w:rFonts w:hint="eastAsia" w:cs="宋体"/>
          <w:kern w:val="0"/>
          <w:sz w:val="24"/>
          <w:szCs w:val="24"/>
          <w:u w:val="single"/>
          <w:lang w:val="zh-CN" w:bidi="zh-CN"/>
        </w:rPr>
        <w:t xml:space="preserve">      </w:t>
      </w:r>
      <w:r>
        <w:rPr>
          <w:rFonts w:hint="eastAsia" w:cs="宋体"/>
          <w:kern w:val="0"/>
          <w:sz w:val="24"/>
          <w:szCs w:val="24"/>
          <w:lang w:val="zh-CN" w:bidi="zh-CN"/>
        </w:rPr>
        <w:t>日</w:t>
      </w:r>
    </w:p>
    <w:p>
      <w:pPr>
        <w:autoSpaceDE w:val="0"/>
        <w:autoSpaceDN w:val="0"/>
        <w:adjustRightInd w:val="0"/>
        <w:snapToGrid w:val="0"/>
        <w:spacing w:line="480" w:lineRule="auto"/>
        <w:jc w:val="center"/>
        <w:rPr>
          <w:rFonts w:cs="宋体"/>
          <w:b/>
          <w:bCs/>
          <w:kern w:val="0"/>
          <w:sz w:val="28"/>
          <w:szCs w:val="28"/>
          <w:lang w:bidi="zh-CN"/>
        </w:rPr>
        <w:sectPr>
          <w:pgSz w:w="11906" w:h="16838"/>
          <w:pgMar w:top="1440" w:right="1800" w:bottom="1440" w:left="1800" w:header="851" w:footer="992" w:gutter="0"/>
          <w:cols w:space="720" w:num="1"/>
          <w:docGrid w:type="lines" w:linePitch="312" w:charSpace="0"/>
        </w:sectPr>
      </w:pPr>
    </w:p>
    <w:p>
      <w:pPr>
        <w:autoSpaceDE w:val="0"/>
        <w:autoSpaceDN w:val="0"/>
        <w:adjustRightInd w:val="0"/>
        <w:snapToGrid w:val="0"/>
        <w:spacing w:line="480" w:lineRule="auto"/>
        <w:jc w:val="center"/>
        <w:rPr>
          <w:rFonts w:cs="宋体"/>
          <w:b/>
          <w:bCs/>
          <w:kern w:val="0"/>
          <w:sz w:val="28"/>
          <w:szCs w:val="28"/>
          <w:lang w:bidi="zh-CN"/>
        </w:rPr>
      </w:pPr>
      <w:r>
        <w:rPr>
          <w:rFonts w:hint="eastAsia" w:cs="宋体"/>
          <w:b/>
          <w:bCs/>
          <w:kern w:val="0"/>
          <w:sz w:val="28"/>
          <w:szCs w:val="28"/>
          <w:lang w:bidi="zh-CN"/>
        </w:rPr>
        <w:t>二、技术和商务</w:t>
      </w:r>
      <w:r>
        <w:rPr>
          <w:rFonts w:cs="宋体"/>
          <w:b/>
          <w:bCs/>
          <w:kern w:val="0"/>
          <w:sz w:val="28"/>
          <w:szCs w:val="28"/>
          <w:lang w:bidi="zh-CN"/>
        </w:rPr>
        <w:t>偏离表</w:t>
      </w:r>
    </w:p>
    <w:p>
      <w:pPr>
        <w:autoSpaceDE w:val="0"/>
        <w:autoSpaceDN w:val="0"/>
        <w:adjustRightInd w:val="0"/>
        <w:snapToGrid w:val="0"/>
        <w:spacing w:line="480" w:lineRule="auto"/>
        <w:rPr>
          <w:rFonts w:cs="宋体"/>
          <w:b/>
          <w:bCs/>
          <w:kern w:val="0"/>
          <w:sz w:val="28"/>
          <w:szCs w:val="28"/>
        </w:rPr>
      </w:pPr>
      <w:r>
        <w:rPr>
          <w:rFonts w:hint="eastAsia" w:cs="宋体"/>
          <w:kern w:val="0"/>
          <w:sz w:val="24"/>
          <w:szCs w:val="24"/>
        </w:rPr>
        <w:t>项目名称：</w:t>
      </w:r>
      <w:r>
        <w:rPr>
          <w:rFonts w:hint="eastAsia" w:cs="宋体"/>
          <w:kern w:val="0"/>
          <w:sz w:val="24"/>
          <w:szCs w:val="24"/>
          <w:u w:val="single"/>
        </w:rPr>
        <w:t xml:space="preserve">                  </w:t>
      </w:r>
      <w:r>
        <w:rPr>
          <w:rFonts w:hint="eastAsia" w:cs="宋体"/>
          <w:kern w:val="0"/>
          <w:sz w:val="24"/>
          <w:szCs w:val="24"/>
        </w:rPr>
        <w:t xml:space="preserve">        招标编号：</w:t>
      </w:r>
      <w:r>
        <w:rPr>
          <w:rFonts w:hint="eastAsia" w:cs="宋体"/>
          <w:kern w:val="0"/>
          <w:sz w:val="24"/>
          <w:szCs w:val="24"/>
          <w:u w:val="single"/>
        </w:rPr>
        <w:t xml:space="preserve">                      </w:t>
      </w:r>
    </w:p>
    <w:tbl>
      <w:tblPr>
        <w:tblStyle w:val="28"/>
        <w:tblW w:w="86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712"/>
        <w:gridCol w:w="1670"/>
        <w:gridCol w:w="1808"/>
        <w:gridCol w:w="1551"/>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6"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序号</w:t>
            </w:r>
          </w:p>
        </w:tc>
        <w:tc>
          <w:tcPr>
            <w:tcW w:w="1712" w:type="dxa"/>
            <w:tcBorders>
              <w:top w:val="single" w:color="auto" w:sz="4" w:space="0"/>
              <w:left w:val="nil"/>
              <w:bottom w:val="single" w:color="auto" w:sz="4" w:space="0"/>
              <w:right w:val="single" w:color="auto" w:sz="4" w:space="0"/>
            </w:tcBorders>
            <w:vAlign w:val="center"/>
          </w:tcPr>
          <w:p>
            <w:pPr>
              <w:jc w:val="center"/>
              <w:rPr>
                <w:rFonts w:cs="宋体"/>
                <w:sz w:val="24"/>
              </w:rPr>
            </w:pPr>
            <w:r>
              <w:rPr>
                <w:rFonts w:hint="eastAsia" w:cs="宋体"/>
                <w:sz w:val="24"/>
              </w:rPr>
              <w:t>招标规格</w:t>
            </w:r>
          </w:p>
        </w:tc>
        <w:tc>
          <w:tcPr>
            <w:tcW w:w="1670" w:type="dxa"/>
            <w:tcBorders>
              <w:top w:val="single" w:color="auto" w:sz="4" w:space="0"/>
              <w:left w:val="nil"/>
              <w:bottom w:val="single" w:color="auto" w:sz="4" w:space="0"/>
              <w:right w:val="single" w:color="auto" w:sz="4" w:space="0"/>
            </w:tcBorders>
            <w:vAlign w:val="center"/>
          </w:tcPr>
          <w:p>
            <w:pPr>
              <w:jc w:val="center"/>
              <w:rPr>
                <w:rFonts w:cs="宋体"/>
                <w:sz w:val="24"/>
              </w:rPr>
            </w:pPr>
            <w:r>
              <w:rPr>
                <w:rFonts w:hint="eastAsia" w:cs="宋体"/>
                <w:sz w:val="24"/>
              </w:rPr>
              <w:t>投标规格</w:t>
            </w:r>
          </w:p>
        </w:tc>
        <w:tc>
          <w:tcPr>
            <w:tcW w:w="1808" w:type="dxa"/>
            <w:tcBorders>
              <w:top w:val="single" w:color="auto" w:sz="4" w:space="0"/>
              <w:left w:val="nil"/>
              <w:bottom w:val="single" w:color="auto" w:sz="4" w:space="0"/>
              <w:right w:val="single" w:color="auto" w:sz="4" w:space="0"/>
            </w:tcBorders>
            <w:vAlign w:val="center"/>
          </w:tcPr>
          <w:p>
            <w:pPr>
              <w:ind w:left="-63" w:leftChars="-30" w:right="-80" w:rightChars="-38"/>
              <w:jc w:val="center"/>
              <w:rPr>
                <w:rFonts w:cs="宋体"/>
                <w:sz w:val="24"/>
              </w:rPr>
            </w:pPr>
            <w:r>
              <w:rPr>
                <w:rFonts w:hint="eastAsia" w:cs="宋体"/>
                <w:sz w:val="24"/>
              </w:rPr>
              <w:t>偏离情况说明</w:t>
            </w:r>
          </w:p>
        </w:tc>
        <w:tc>
          <w:tcPr>
            <w:tcW w:w="1551" w:type="dxa"/>
            <w:tcBorders>
              <w:top w:val="single" w:color="auto" w:sz="4" w:space="0"/>
              <w:left w:val="nil"/>
              <w:bottom w:val="single" w:color="auto" w:sz="4" w:space="0"/>
              <w:right w:val="single" w:color="auto" w:sz="4" w:space="0"/>
            </w:tcBorders>
            <w:vAlign w:val="center"/>
          </w:tcPr>
          <w:p>
            <w:pPr>
              <w:jc w:val="center"/>
              <w:rPr>
                <w:rFonts w:cs="宋体"/>
                <w:sz w:val="24"/>
              </w:rPr>
            </w:pPr>
            <w:r>
              <w:rPr>
                <w:rFonts w:hint="eastAsia" w:cs="宋体"/>
                <w:sz w:val="24"/>
              </w:rPr>
              <w:t>对应页码</w:t>
            </w:r>
          </w:p>
        </w:tc>
        <w:tc>
          <w:tcPr>
            <w:tcW w:w="1175" w:type="dxa"/>
            <w:tcBorders>
              <w:top w:val="single" w:color="auto" w:sz="4" w:space="0"/>
              <w:left w:val="nil"/>
              <w:bottom w:val="single" w:color="auto" w:sz="4" w:space="0"/>
              <w:right w:val="single" w:color="auto" w:sz="4" w:space="0"/>
            </w:tcBorders>
            <w:vAlign w:val="center"/>
          </w:tcPr>
          <w:p>
            <w:pPr>
              <w:jc w:val="center"/>
              <w:rPr>
                <w:rFonts w:cs="宋体"/>
                <w:sz w:val="24"/>
              </w:rPr>
            </w:pPr>
            <w:r>
              <w:rPr>
                <w:rFonts w:hint="eastAsia"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before="79" w:beforeLines="25" w:after="79" w:afterLines="25"/>
              <w:jc w:val="center"/>
              <w:rPr>
                <w:rFonts w:cs="宋体"/>
                <w:sz w:val="24"/>
              </w:rPr>
            </w:pPr>
          </w:p>
        </w:tc>
        <w:tc>
          <w:tcPr>
            <w:tcW w:w="1712" w:type="dxa"/>
            <w:tcBorders>
              <w:top w:val="single" w:color="auto" w:sz="4" w:space="0"/>
              <w:left w:val="nil"/>
              <w:bottom w:val="single" w:color="auto" w:sz="4" w:space="0"/>
              <w:right w:val="single" w:color="auto" w:sz="4" w:space="0"/>
            </w:tcBorders>
            <w:vAlign w:val="center"/>
          </w:tcPr>
          <w:p>
            <w:pPr>
              <w:spacing w:before="79" w:beforeLines="25" w:after="79" w:afterLines="25"/>
              <w:jc w:val="center"/>
              <w:rPr>
                <w:rFonts w:cs="宋体"/>
                <w:sz w:val="24"/>
              </w:rPr>
            </w:pPr>
          </w:p>
        </w:tc>
        <w:tc>
          <w:tcPr>
            <w:tcW w:w="1670" w:type="dxa"/>
            <w:tcBorders>
              <w:top w:val="single" w:color="auto" w:sz="4" w:space="0"/>
              <w:left w:val="nil"/>
              <w:bottom w:val="single" w:color="auto" w:sz="4" w:space="0"/>
              <w:right w:val="single" w:color="auto" w:sz="4" w:space="0"/>
            </w:tcBorders>
            <w:vAlign w:val="center"/>
          </w:tcPr>
          <w:p>
            <w:pPr>
              <w:spacing w:before="79" w:beforeLines="25" w:after="79" w:afterLines="25"/>
              <w:jc w:val="center"/>
              <w:rPr>
                <w:rFonts w:cs="宋体"/>
                <w:sz w:val="24"/>
              </w:rPr>
            </w:pPr>
          </w:p>
        </w:tc>
        <w:tc>
          <w:tcPr>
            <w:tcW w:w="1808" w:type="dxa"/>
            <w:tcBorders>
              <w:top w:val="single" w:color="auto" w:sz="4" w:space="0"/>
              <w:left w:val="nil"/>
              <w:bottom w:val="single" w:color="auto" w:sz="4" w:space="0"/>
              <w:right w:val="single" w:color="auto" w:sz="4" w:space="0"/>
            </w:tcBorders>
            <w:vAlign w:val="center"/>
          </w:tcPr>
          <w:p>
            <w:pPr>
              <w:spacing w:before="79" w:beforeLines="25" w:after="79" w:afterLines="25"/>
              <w:jc w:val="center"/>
              <w:rPr>
                <w:rFonts w:cs="宋体"/>
                <w:sz w:val="24"/>
              </w:rPr>
            </w:pPr>
          </w:p>
        </w:tc>
        <w:tc>
          <w:tcPr>
            <w:tcW w:w="1551" w:type="dxa"/>
            <w:tcBorders>
              <w:top w:val="single" w:color="auto" w:sz="4" w:space="0"/>
              <w:left w:val="nil"/>
              <w:bottom w:val="single" w:color="auto" w:sz="4" w:space="0"/>
              <w:right w:val="single" w:color="auto" w:sz="4" w:space="0"/>
            </w:tcBorders>
            <w:vAlign w:val="center"/>
          </w:tcPr>
          <w:p>
            <w:pPr>
              <w:spacing w:before="79" w:beforeLines="25" w:after="79" w:afterLines="25"/>
              <w:jc w:val="center"/>
              <w:rPr>
                <w:rFonts w:cs="宋体"/>
                <w:sz w:val="24"/>
              </w:rPr>
            </w:pPr>
          </w:p>
        </w:tc>
        <w:tc>
          <w:tcPr>
            <w:tcW w:w="1175" w:type="dxa"/>
            <w:tcBorders>
              <w:top w:val="single" w:color="auto" w:sz="4" w:space="0"/>
              <w:left w:val="nil"/>
              <w:bottom w:val="single" w:color="auto" w:sz="4" w:space="0"/>
              <w:right w:val="single" w:color="auto" w:sz="4" w:space="0"/>
            </w:tcBorders>
            <w:vAlign w:val="center"/>
          </w:tcPr>
          <w:p>
            <w:pPr>
              <w:spacing w:before="79" w:beforeLines="25" w:after="79" w:afterLines="25"/>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before="79" w:beforeLines="25" w:after="79" w:afterLines="25"/>
              <w:jc w:val="center"/>
              <w:rPr>
                <w:rFonts w:cs="宋体"/>
                <w:sz w:val="24"/>
              </w:rPr>
            </w:pPr>
          </w:p>
        </w:tc>
        <w:tc>
          <w:tcPr>
            <w:tcW w:w="1712" w:type="dxa"/>
            <w:tcBorders>
              <w:top w:val="single" w:color="auto" w:sz="4" w:space="0"/>
              <w:left w:val="nil"/>
              <w:bottom w:val="single" w:color="auto" w:sz="4" w:space="0"/>
              <w:right w:val="single" w:color="auto" w:sz="4" w:space="0"/>
            </w:tcBorders>
            <w:vAlign w:val="center"/>
          </w:tcPr>
          <w:p>
            <w:pPr>
              <w:spacing w:before="79" w:beforeLines="25" w:after="79" w:afterLines="25"/>
              <w:jc w:val="center"/>
              <w:rPr>
                <w:rFonts w:cs="宋体"/>
                <w:sz w:val="24"/>
              </w:rPr>
            </w:pPr>
          </w:p>
        </w:tc>
        <w:tc>
          <w:tcPr>
            <w:tcW w:w="1670" w:type="dxa"/>
            <w:tcBorders>
              <w:top w:val="single" w:color="auto" w:sz="4" w:space="0"/>
              <w:left w:val="nil"/>
              <w:bottom w:val="single" w:color="auto" w:sz="4" w:space="0"/>
              <w:right w:val="single" w:color="auto" w:sz="4" w:space="0"/>
            </w:tcBorders>
            <w:vAlign w:val="center"/>
          </w:tcPr>
          <w:p>
            <w:pPr>
              <w:spacing w:before="79" w:beforeLines="25" w:after="79" w:afterLines="25"/>
              <w:jc w:val="center"/>
              <w:rPr>
                <w:rFonts w:cs="宋体"/>
                <w:sz w:val="24"/>
              </w:rPr>
            </w:pPr>
          </w:p>
        </w:tc>
        <w:tc>
          <w:tcPr>
            <w:tcW w:w="1808" w:type="dxa"/>
            <w:tcBorders>
              <w:top w:val="single" w:color="auto" w:sz="4" w:space="0"/>
              <w:left w:val="nil"/>
              <w:bottom w:val="single" w:color="auto" w:sz="4" w:space="0"/>
              <w:right w:val="single" w:color="auto" w:sz="4" w:space="0"/>
            </w:tcBorders>
            <w:vAlign w:val="center"/>
          </w:tcPr>
          <w:p>
            <w:pPr>
              <w:spacing w:before="79" w:beforeLines="25" w:after="79" w:afterLines="25"/>
              <w:jc w:val="center"/>
              <w:rPr>
                <w:rFonts w:cs="宋体"/>
                <w:sz w:val="24"/>
              </w:rPr>
            </w:pPr>
          </w:p>
        </w:tc>
        <w:tc>
          <w:tcPr>
            <w:tcW w:w="1551" w:type="dxa"/>
            <w:tcBorders>
              <w:top w:val="single" w:color="auto" w:sz="4" w:space="0"/>
              <w:left w:val="nil"/>
              <w:bottom w:val="single" w:color="auto" w:sz="4" w:space="0"/>
              <w:right w:val="single" w:color="auto" w:sz="4" w:space="0"/>
            </w:tcBorders>
            <w:vAlign w:val="center"/>
          </w:tcPr>
          <w:p>
            <w:pPr>
              <w:spacing w:before="79" w:beforeLines="25" w:after="79" w:afterLines="25"/>
              <w:jc w:val="center"/>
              <w:rPr>
                <w:rFonts w:cs="宋体"/>
                <w:sz w:val="24"/>
              </w:rPr>
            </w:pPr>
          </w:p>
        </w:tc>
        <w:tc>
          <w:tcPr>
            <w:tcW w:w="1175" w:type="dxa"/>
            <w:tcBorders>
              <w:top w:val="single" w:color="auto" w:sz="4" w:space="0"/>
              <w:left w:val="nil"/>
              <w:bottom w:val="single" w:color="auto" w:sz="4" w:space="0"/>
              <w:right w:val="single" w:color="auto" w:sz="4" w:space="0"/>
            </w:tcBorders>
            <w:vAlign w:val="center"/>
          </w:tcPr>
          <w:p>
            <w:pPr>
              <w:spacing w:before="79" w:beforeLines="25" w:after="79" w:afterLines="25"/>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before="79" w:beforeLines="25" w:after="79" w:afterLines="25"/>
              <w:jc w:val="center"/>
              <w:rPr>
                <w:rFonts w:cs="宋体"/>
                <w:sz w:val="24"/>
              </w:rPr>
            </w:pPr>
          </w:p>
        </w:tc>
        <w:tc>
          <w:tcPr>
            <w:tcW w:w="1712" w:type="dxa"/>
            <w:tcBorders>
              <w:top w:val="single" w:color="auto" w:sz="4" w:space="0"/>
              <w:left w:val="nil"/>
              <w:bottom w:val="single" w:color="auto" w:sz="4" w:space="0"/>
              <w:right w:val="single" w:color="auto" w:sz="4" w:space="0"/>
            </w:tcBorders>
            <w:vAlign w:val="center"/>
          </w:tcPr>
          <w:p>
            <w:pPr>
              <w:spacing w:before="79" w:beforeLines="25" w:after="79" w:afterLines="25"/>
              <w:jc w:val="center"/>
              <w:rPr>
                <w:rFonts w:cs="宋体"/>
                <w:sz w:val="24"/>
              </w:rPr>
            </w:pPr>
          </w:p>
        </w:tc>
        <w:tc>
          <w:tcPr>
            <w:tcW w:w="1670" w:type="dxa"/>
            <w:tcBorders>
              <w:top w:val="single" w:color="auto" w:sz="4" w:space="0"/>
              <w:left w:val="nil"/>
              <w:bottom w:val="single" w:color="auto" w:sz="4" w:space="0"/>
              <w:right w:val="single" w:color="auto" w:sz="4" w:space="0"/>
            </w:tcBorders>
            <w:vAlign w:val="center"/>
          </w:tcPr>
          <w:p>
            <w:pPr>
              <w:spacing w:before="79" w:beforeLines="25" w:after="79" w:afterLines="25"/>
              <w:jc w:val="center"/>
              <w:rPr>
                <w:rFonts w:cs="宋体"/>
                <w:sz w:val="24"/>
              </w:rPr>
            </w:pPr>
          </w:p>
        </w:tc>
        <w:tc>
          <w:tcPr>
            <w:tcW w:w="1808" w:type="dxa"/>
            <w:tcBorders>
              <w:top w:val="single" w:color="auto" w:sz="4" w:space="0"/>
              <w:left w:val="nil"/>
              <w:bottom w:val="single" w:color="auto" w:sz="4" w:space="0"/>
              <w:right w:val="single" w:color="auto" w:sz="4" w:space="0"/>
            </w:tcBorders>
            <w:vAlign w:val="center"/>
          </w:tcPr>
          <w:p>
            <w:pPr>
              <w:spacing w:before="79" w:beforeLines="25" w:after="79" w:afterLines="25"/>
              <w:jc w:val="center"/>
              <w:rPr>
                <w:rFonts w:cs="宋体"/>
                <w:sz w:val="24"/>
              </w:rPr>
            </w:pPr>
          </w:p>
        </w:tc>
        <w:tc>
          <w:tcPr>
            <w:tcW w:w="1551" w:type="dxa"/>
            <w:tcBorders>
              <w:top w:val="single" w:color="auto" w:sz="4" w:space="0"/>
              <w:left w:val="nil"/>
              <w:bottom w:val="single" w:color="auto" w:sz="4" w:space="0"/>
              <w:right w:val="single" w:color="auto" w:sz="4" w:space="0"/>
            </w:tcBorders>
            <w:vAlign w:val="center"/>
          </w:tcPr>
          <w:p>
            <w:pPr>
              <w:spacing w:before="79" w:beforeLines="25" w:after="79" w:afterLines="25"/>
              <w:jc w:val="center"/>
              <w:rPr>
                <w:rFonts w:cs="宋体"/>
                <w:sz w:val="24"/>
              </w:rPr>
            </w:pPr>
          </w:p>
        </w:tc>
        <w:tc>
          <w:tcPr>
            <w:tcW w:w="1175" w:type="dxa"/>
            <w:tcBorders>
              <w:top w:val="single" w:color="auto" w:sz="4" w:space="0"/>
              <w:left w:val="nil"/>
              <w:bottom w:val="single" w:color="auto" w:sz="4" w:space="0"/>
              <w:right w:val="single" w:color="auto" w:sz="4" w:space="0"/>
            </w:tcBorders>
            <w:vAlign w:val="center"/>
          </w:tcPr>
          <w:p>
            <w:pPr>
              <w:spacing w:before="79" w:beforeLines="25" w:after="79" w:afterLines="25"/>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26"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before="79" w:beforeLines="25" w:after="79" w:afterLines="25"/>
              <w:jc w:val="center"/>
              <w:rPr>
                <w:rFonts w:cs="宋体"/>
                <w:sz w:val="24"/>
              </w:rPr>
            </w:pPr>
          </w:p>
        </w:tc>
        <w:tc>
          <w:tcPr>
            <w:tcW w:w="1712" w:type="dxa"/>
            <w:tcBorders>
              <w:top w:val="single" w:color="auto" w:sz="4" w:space="0"/>
              <w:left w:val="nil"/>
              <w:bottom w:val="single" w:color="auto" w:sz="4" w:space="0"/>
              <w:right w:val="single" w:color="auto" w:sz="4" w:space="0"/>
            </w:tcBorders>
            <w:vAlign w:val="center"/>
          </w:tcPr>
          <w:p>
            <w:pPr>
              <w:spacing w:before="79" w:beforeLines="25" w:after="79" w:afterLines="25"/>
              <w:jc w:val="center"/>
              <w:rPr>
                <w:rFonts w:cs="宋体"/>
                <w:sz w:val="24"/>
              </w:rPr>
            </w:pPr>
          </w:p>
        </w:tc>
        <w:tc>
          <w:tcPr>
            <w:tcW w:w="1670" w:type="dxa"/>
            <w:tcBorders>
              <w:top w:val="single" w:color="auto" w:sz="4" w:space="0"/>
              <w:left w:val="nil"/>
              <w:bottom w:val="single" w:color="auto" w:sz="4" w:space="0"/>
              <w:right w:val="single" w:color="auto" w:sz="4" w:space="0"/>
            </w:tcBorders>
            <w:vAlign w:val="center"/>
          </w:tcPr>
          <w:p>
            <w:pPr>
              <w:spacing w:before="79" w:beforeLines="25" w:after="79" w:afterLines="25"/>
              <w:jc w:val="center"/>
              <w:rPr>
                <w:rFonts w:cs="宋体"/>
                <w:sz w:val="24"/>
              </w:rPr>
            </w:pPr>
          </w:p>
        </w:tc>
        <w:tc>
          <w:tcPr>
            <w:tcW w:w="1808" w:type="dxa"/>
            <w:tcBorders>
              <w:top w:val="single" w:color="auto" w:sz="4" w:space="0"/>
              <w:left w:val="nil"/>
              <w:bottom w:val="single" w:color="auto" w:sz="4" w:space="0"/>
              <w:right w:val="single" w:color="auto" w:sz="4" w:space="0"/>
            </w:tcBorders>
            <w:vAlign w:val="center"/>
          </w:tcPr>
          <w:p>
            <w:pPr>
              <w:spacing w:before="79" w:beforeLines="25" w:after="79" w:afterLines="25"/>
              <w:jc w:val="center"/>
              <w:rPr>
                <w:rFonts w:cs="宋体"/>
                <w:sz w:val="24"/>
              </w:rPr>
            </w:pPr>
          </w:p>
        </w:tc>
        <w:tc>
          <w:tcPr>
            <w:tcW w:w="1551" w:type="dxa"/>
            <w:tcBorders>
              <w:top w:val="single" w:color="auto" w:sz="4" w:space="0"/>
              <w:left w:val="nil"/>
              <w:bottom w:val="single" w:color="auto" w:sz="4" w:space="0"/>
              <w:right w:val="single" w:color="auto" w:sz="4" w:space="0"/>
            </w:tcBorders>
            <w:vAlign w:val="center"/>
          </w:tcPr>
          <w:p>
            <w:pPr>
              <w:spacing w:before="79" w:beforeLines="25" w:after="79" w:afterLines="25"/>
              <w:jc w:val="center"/>
              <w:rPr>
                <w:rFonts w:cs="宋体"/>
                <w:sz w:val="24"/>
              </w:rPr>
            </w:pPr>
          </w:p>
        </w:tc>
        <w:tc>
          <w:tcPr>
            <w:tcW w:w="1175" w:type="dxa"/>
            <w:tcBorders>
              <w:top w:val="single" w:color="auto" w:sz="4" w:space="0"/>
              <w:left w:val="nil"/>
              <w:bottom w:val="single" w:color="auto" w:sz="4" w:space="0"/>
              <w:right w:val="single" w:color="auto" w:sz="4" w:space="0"/>
            </w:tcBorders>
            <w:vAlign w:val="center"/>
          </w:tcPr>
          <w:p>
            <w:pPr>
              <w:spacing w:before="79" w:beforeLines="25" w:after="79" w:afterLines="25"/>
              <w:jc w:val="center"/>
              <w:rPr>
                <w:rFonts w:cs="宋体"/>
                <w:sz w:val="24"/>
              </w:rPr>
            </w:pPr>
          </w:p>
        </w:tc>
      </w:tr>
    </w:tbl>
    <w:p>
      <w:pPr>
        <w:autoSpaceDE w:val="0"/>
        <w:autoSpaceDN w:val="0"/>
        <w:adjustRightInd w:val="0"/>
        <w:spacing w:line="360" w:lineRule="auto"/>
        <w:ind w:firstLine="480" w:firstLineChars="200"/>
        <w:jc w:val="left"/>
        <w:rPr>
          <w:rFonts w:cs="宋体"/>
          <w:sz w:val="24"/>
        </w:rPr>
      </w:pPr>
      <w:r>
        <w:rPr>
          <w:rFonts w:hint="eastAsia" w:cs="宋体"/>
          <w:sz w:val="24"/>
        </w:rPr>
        <w:t>注：投标人须对照招标文件</w:t>
      </w:r>
      <w:r>
        <w:rPr>
          <w:rFonts w:hint="eastAsia" w:cs="宋体"/>
          <w:b/>
          <w:bCs/>
          <w:sz w:val="24"/>
        </w:rPr>
        <w:t>“第四章招标内容及要求”</w:t>
      </w:r>
      <w:r>
        <w:rPr>
          <w:rFonts w:hint="eastAsia" w:cs="宋体"/>
          <w:sz w:val="24"/>
        </w:rPr>
        <w:t>的</w:t>
      </w:r>
      <w:r>
        <w:rPr>
          <w:rFonts w:hint="eastAsia" w:cs="宋体"/>
          <w:b/>
          <w:sz w:val="24"/>
        </w:rPr>
        <w:t>全部内容及要求</w:t>
      </w:r>
      <w:r>
        <w:rPr>
          <w:rFonts w:hint="eastAsia" w:cs="宋体"/>
          <w:sz w:val="24"/>
        </w:rPr>
        <w:t>，按以下方式填写：</w:t>
      </w:r>
    </w:p>
    <w:p>
      <w:pPr>
        <w:autoSpaceDE w:val="0"/>
        <w:autoSpaceDN w:val="0"/>
        <w:adjustRightInd w:val="0"/>
        <w:spacing w:line="360" w:lineRule="auto"/>
        <w:ind w:firstLine="480" w:firstLineChars="200"/>
        <w:jc w:val="left"/>
        <w:rPr>
          <w:rFonts w:cs="宋体"/>
          <w:sz w:val="24"/>
        </w:rPr>
      </w:pPr>
      <w:r>
        <w:rPr>
          <w:rFonts w:hint="eastAsia" w:cs="宋体"/>
          <w:sz w:val="24"/>
        </w:rPr>
        <w:t>①完全响应招标文件</w:t>
      </w:r>
      <w:r>
        <w:rPr>
          <w:rFonts w:hint="eastAsia" w:cs="宋体"/>
          <w:b/>
          <w:bCs/>
          <w:sz w:val="24"/>
        </w:rPr>
        <w:t>“第四章招标内容及要求”</w:t>
      </w:r>
      <w:r>
        <w:rPr>
          <w:rFonts w:hint="eastAsia" w:cs="宋体"/>
          <w:sz w:val="24"/>
        </w:rPr>
        <w:t>的，在上述表格中写明</w:t>
      </w:r>
      <w:r>
        <w:rPr>
          <w:rFonts w:hint="eastAsia" w:cs="宋体"/>
          <w:b/>
          <w:bCs/>
          <w:sz w:val="24"/>
        </w:rPr>
        <w:t>“我司完全响应招标文件第四章招标内容及要求的规格要求”</w:t>
      </w:r>
      <w:r>
        <w:rPr>
          <w:rFonts w:hint="eastAsia" w:cs="宋体"/>
          <w:sz w:val="24"/>
        </w:rPr>
        <w:t>；</w:t>
      </w:r>
    </w:p>
    <w:p>
      <w:pPr>
        <w:autoSpaceDE w:val="0"/>
        <w:autoSpaceDN w:val="0"/>
        <w:adjustRightInd w:val="0"/>
        <w:spacing w:line="360" w:lineRule="auto"/>
        <w:ind w:firstLine="480" w:firstLineChars="200"/>
        <w:jc w:val="left"/>
        <w:rPr>
          <w:rFonts w:cs="宋体"/>
          <w:sz w:val="24"/>
        </w:rPr>
      </w:pPr>
      <w:r>
        <w:rPr>
          <w:rFonts w:hint="eastAsia" w:cs="宋体"/>
          <w:sz w:val="24"/>
        </w:rPr>
        <w:t>②若投标规格和招标文件有偏离的，详细列明偏离的招标规格和投标规格，说明偏离情况，指明偏离内容对应的页码，并在最后加上</w:t>
      </w:r>
      <w:r>
        <w:rPr>
          <w:rFonts w:hint="eastAsia" w:cs="宋体"/>
          <w:b/>
          <w:bCs/>
          <w:sz w:val="24"/>
        </w:rPr>
        <w:t>“除上述偏离外我司完全响应招标文件第四章招标内容及要求的规格要求”。</w:t>
      </w:r>
    </w:p>
    <w:p>
      <w:pPr>
        <w:autoSpaceDE w:val="0"/>
        <w:autoSpaceDN w:val="0"/>
        <w:adjustRightInd w:val="0"/>
        <w:spacing w:line="360" w:lineRule="auto"/>
        <w:ind w:firstLine="480" w:firstLineChars="200"/>
        <w:jc w:val="left"/>
        <w:rPr>
          <w:rFonts w:cs="宋体"/>
          <w:kern w:val="0"/>
          <w:sz w:val="24"/>
          <w:szCs w:val="24"/>
        </w:rPr>
      </w:pPr>
      <w:r>
        <w:rPr>
          <w:rFonts w:hint="eastAsia" w:cs="宋体"/>
          <w:sz w:val="24"/>
        </w:rPr>
        <w:t>投标人存在弄虚作假行为的，将依法承担相应的法律责任。</w:t>
      </w:r>
    </w:p>
    <w:p>
      <w:pPr>
        <w:autoSpaceDE w:val="0"/>
        <w:autoSpaceDN w:val="0"/>
        <w:adjustRightInd w:val="0"/>
        <w:spacing w:line="480" w:lineRule="auto"/>
        <w:jc w:val="right"/>
        <w:rPr>
          <w:rFonts w:cs="宋体"/>
          <w:sz w:val="24"/>
          <w:szCs w:val="24"/>
        </w:rPr>
      </w:pPr>
    </w:p>
    <w:p>
      <w:pPr>
        <w:autoSpaceDE w:val="0"/>
        <w:autoSpaceDN w:val="0"/>
        <w:adjustRightInd w:val="0"/>
        <w:spacing w:line="480" w:lineRule="auto"/>
        <w:jc w:val="right"/>
        <w:rPr>
          <w:rFonts w:cs="宋体"/>
          <w:sz w:val="24"/>
          <w:szCs w:val="24"/>
        </w:rPr>
      </w:pPr>
      <w:r>
        <w:rPr>
          <w:rFonts w:hint="eastAsia" w:cs="宋体"/>
          <w:sz w:val="24"/>
          <w:szCs w:val="24"/>
        </w:rPr>
        <w:t>投标人：</w:t>
      </w:r>
      <w:r>
        <w:rPr>
          <w:rFonts w:hint="eastAsia" w:cs="宋体"/>
          <w:sz w:val="24"/>
          <w:szCs w:val="24"/>
          <w:u w:val="single"/>
        </w:rPr>
        <w:t xml:space="preserve">                 </w:t>
      </w:r>
      <w:r>
        <w:rPr>
          <w:rFonts w:hint="eastAsia" w:cs="宋体"/>
          <w:sz w:val="24"/>
          <w:szCs w:val="24"/>
        </w:rPr>
        <w:t>（盖单位公章）</w:t>
      </w:r>
    </w:p>
    <w:p>
      <w:pPr>
        <w:autoSpaceDE w:val="0"/>
        <w:autoSpaceDN w:val="0"/>
        <w:adjustRightInd w:val="0"/>
        <w:snapToGrid w:val="0"/>
        <w:spacing w:line="480" w:lineRule="auto"/>
        <w:jc w:val="right"/>
        <w:rPr>
          <w:rFonts w:cs="宋体"/>
          <w:kern w:val="0"/>
          <w:sz w:val="24"/>
          <w:szCs w:val="24"/>
          <w:lang w:val="zh-CN" w:bidi="zh-CN"/>
        </w:rPr>
      </w:pPr>
      <w:r>
        <w:rPr>
          <w:rFonts w:hint="eastAsia" w:cs="宋体"/>
          <w:kern w:val="0"/>
          <w:sz w:val="24"/>
          <w:szCs w:val="24"/>
          <w:u w:val="single"/>
          <w:lang w:val="zh-CN" w:bidi="zh-CN"/>
        </w:rPr>
        <w:t xml:space="preserve">         </w:t>
      </w:r>
      <w:r>
        <w:rPr>
          <w:rFonts w:hint="eastAsia" w:cs="宋体"/>
          <w:kern w:val="0"/>
          <w:sz w:val="24"/>
          <w:szCs w:val="24"/>
          <w:lang w:val="zh-CN" w:bidi="zh-CN"/>
        </w:rPr>
        <w:t>年</w:t>
      </w:r>
      <w:r>
        <w:rPr>
          <w:rFonts w:hint="eastAsia" w:cs="宋体"/>
          <w:kern w:val="0"/>
          <w:sz w:val="24"/>
          <w:szCs w:val="24"/>
          <w:u w:val="single"/>
          <w:lang w:val="zh-CN" w:bidi="zh-CN"/>
        </w:rPr>
        <w:t xml:space="preserve">    </w:t>
      </w:r>
      <w:r>
        <w:rPr>
          <w:rFonts w:hint="eastAsia" w:cs="宋体"/>
          <w:kern w:val="0"/>
          <w:sz w:val="24"/>
          <w:szCs w:val="24"/>
          <w:u w:val="single"/>
          <w:lang w:bidi="zh-CN"/>
        </w:rPr>
        <w:t xml:space="preserve"> </w:t>
      </w:r>
      <w:r>
        <w:rPr>
          <w:rFonts w:hint="eastAsia" w:cs="宋体"/>
          <w:kern w:val="0"/>
          <w:sz w:val="24"/>
          <w:szCs w:val="24"/>
          <w:u w:val="single"/>
          <w:lang w:val="zh-CN" w:bidi="zh-CN"/>
        </w:rPr>
        <w:t xml:space="preserve">  </w:t>
      </w:r>
      <w:r>
        <w:rPr>
          <w:rFonts w:hint="eastAsia" w:cs="宋体"/>
          <w:kern w:val="0"/>
          <w:sz w:val="24"/>
          <w:szCs w:val="24"/>
          <w:lang w:val="zh-CN" w:bidi="zh-CN"/>
        </w:rPr>
        <w:t>月</w:t>
      </w:r>
      <w:r>
        <w:rPr>
          <w:rFonts w:hint="eastAsia" w:cs="宋体"/>
          <w:kern w:val="0"/>
          <w:sz w:val="24"/>
          <w:szCs w:val="24"/>
          <w:u w:val="single"/>
          <w:lang w:val="zh-CN" w:bidi="zh-CN"/>
        </w:rPr>
        <w:t xml:space="preserve">      </w:t>
      </w:r>
      <w:r>
        <w:rPr>
          <w:rFonts w:hint="eastAsia" w:cs="宋体"/>
          <w:kern w:val="0"/>
          <w:sz w:val="24"/>
          <w:szCs w:val="24"/>
          <w:lang w:val="zh-CN" w:bidi="zh-CN"/>
        </w:rPr>
        <w:t>日</w:t>
      </w:r>
    </w:p>
    <w:p>
      <w:pPr>
        <w:pStyle w:val="65"/>
        <w:rPr>
          <w:color w:val="auto"/>
        </w:rPr>
        <w:sectPr>
          <w:pgSz w:w="11906" w:h="16838"/>
          <w:pgMar w:top="1440" w:right="1803" w:bottom="1440" w:left="1803" w:header="851" w:footer="992" w:gutter="0"/>
          <w:cols w:space="720" w:num="1"/>
          <w:docGrid w:type="lines" w:linePitch="319" w:charSpace="0"/>
        </w:sectPr>
      </w:pPr>
    </w:p>
    <w:p>
      <w:pPr>
        <w:autoSpaceDE w:val="0"/>
        <w:autoSpaceDN w:val="0"/>
        <w:adjustRightInd w:val="0"/>
        <w:snapToGrid w:val="0"/>
        <w:spacing w:line="480" w:lineRule="auto"/>
        <w:jc w:val="center"/>
        <w:rPr>
          <w:rFonts w:cs="宋体"/>
          <w:b/>
          <w:bCs/>
          <w:kern w:val="0"/>
          <w:sz w:val="28"/>
          <w:szCs w:val="28"/>
          <w:lang w:bidi="zh-CN"/>
        </w:rPr>
      </w:pPr>
      <w:r>
        <w:rPr>
          <w:rFonts w:hint="eastAsia" w:cs="宋体"/>
          <w:b/>
          <w:bCs/>
          <w:kern w:val="0"/>
          <w:sz w:val="28"/>
          <w:szCs w:val="28"/>
          <w:lang w:bidi="zh-CN"/>
        </w:rPr>
        <w:t>三、设备技术方案</w:t>
      </w:r>
    </w:p>
    <w:p>
      <w:pPr>
        <w:spacing w:line="360" w:lineRule="auto"/>
        <w:rPr>
          <w:rFonts w:cs="宋体"/>
          <w:sz w:val="24"/>
        </w:rPr>
      </w:pPr>
      <w:r>
        <w:rPr>
          <w:rFonts w:hint="eastAsia" w:cs="宋体"/>
          <w:sz w:val="24"/>
        </w:rPr>
        <w:t>项目名称：</w:t>
      </w:r>
      <w:r>
        <w:rPr>
          <w:rFonts w:hint="eastAsia" w:cs="宋体"/>
          <w:sz w:val="24"/>
          <w:u w:val="single"/>
        </w:rPr>
        <w:t xml:space="preserve">                      </w:t>
      </w:r>
      <w:r>
        <w:rPr>
          <w:rFonts w:hint="eastAsia" w:cs="宋体"/>
          <w:sz w:val="24"/>
        </w:rPr>
        <w:t xml:space="preserve">        招标编号：</w:t>
      </w:r>
      <w:r>
        <w:rPr>
          <w:rFonts w:hint="eastAsia" w:cs="宋体"/>
          <w:sz w:val="24"/>
          <w:u w:val="single"/>
        </w:rPr>
        <w:t xml:space="preserve">                  </w:t>
      </w:r>
    </w:p>
    <w:p>
      <w:pPr>
        <w:spacing w:line="360" w:lineRule="auto"/>
        <w:ind w:firstLine="480"/>
        <w:jc w:val="center"/>
        <w:rPr>
          <w:rFonts w:cs="宋体"/>
          <w:sz w:val="24"/>
        </w:rPr>
      </w:pPr>
      <w:r>
        <w:rPr>
          <w:rFonts w:hint="eastAsia" w:cs="宋体"/>
          <w:sz w:val="24"/>
        </w:rPr>
        <w:t xml:space="preserve"> </w:t>
      </w:r>
    </w:p>
    <w:p>
      <w:pPr>
        <w:spacing w:line="360" w:lineRule="auto"/>
        <w:jc w:val="left"/>
        <w:rPr>
          <w:rFonts w:cs="宋体"/>
          <w:sz w:val="24"/>
        </w:rPr>
      </w:pPr>
      <w:r>
        <w:rPr>
          <w:rFonts w:hint="eastAsia" w:cs="宋体"/>
          <w:sz w:val="24"/>
        </w:rPr>
        <w:t>注：1、技术方案格式自拟，技术方案应包含按照“</w:t>
      </w:r>
      <w:r>
        <w:rPr>
          <w:rFonts w:hint="eastAsia" w:cs="宋体"/>
          <w:b/>
          <w:sz w:val="24"/>
        </w:rPr>
        <w:t>第四章招标内容及要求</w:t>
      </w:r>
      <w:r>
        <w:rPr>
          <w:rFonts w:hint="eastAsia" w:cs="宋体"/>
          <w:sz w:val="24"/>
        </w:rPr>
        <w:t>”确认的</w:t>
      </w:r>
      <w:r>
        <w:rPr>
          <w:rFonts w:hint="eastAsia" w:cs="宋体"/>
          <w:b/>
          <w:sz w:val="24"/>
        </w:rPr>
        <w:t>零部件配置及相关技术要求</w:t>
      </w:r>
      <w:r>
        <w:rPr>
          <w:rFonts w:hint="eastAsia" w:cs="宋体"/>
          <w:sz w:val="24"/>
        </w:rPr>
        <w:t>；</w:t>
      </w:r>
    </w:p>
    <w:p>
      <w:pPr>
        <w:spacing w:line="360" w:lineRule="auto"/>
        <w:jc w:val="left"/>
        <w:rPr>
          <w:rFonts w:cs="宋体"/>
          <w:sz w:val="24"/>
          <w:szCs w:val="24"/>
        </w:rPr>
      </w:pPr>
    </w:p>
    <w:p>
      <w:pPr>
        <w:autoSpaceDE w:val="0"/>
        <w:autoSpaceDN w:val="0"/>
        <w:adjustRightInd w:val="0"/>
        <w:spacing w:line="480" w:lineRule="auto"/>
        <w:jc w:val="right"/>
        <w:rPr>
          <w:rFonts w:cs="宋体"/>
          <w:sz w:val="24"/>
          <w:szCs w:val="24"/>
        </w:rPr>
      </w:pPr>
    </w:p>
    <w:p>
      <w:pPr>
        <w:autoSpaceDE w:val="0"/>
        <w:autoSpaceDN w:val="0"/>
        <w:adjustRightInd w:val="0"/>
        <w:spacing w:line="480" w:lineRule="auto"/>
        <w:jc w:val="right"/>
        <w:rPr>
          <w:rFonts w:cs="宋体"/>
          <w:sz w:val="24"/>
          <w:szCs w:val="24"/>
        </w:rPr>
      </w:pPr>
      <w:r>
        <w:rPr>
          <w:rFonts w:hint="eastAsia" w:cs="宋体"/>
          <w:sz w:val="24"/>
          <w:szCs w:val="24"/>
        </w:rPr>
        <w:t>投标人：</w:t>
      </w:r>
      <w:r>
        <w:rPr>
          <w:rFonts w:hint="eastAsia" w:cs="宋体"/>
          <w:sz w:val="24"/>
          <w:szCs w:val="24"/>
          <w:u w:val="single"/>
        </w:rPr>
        <w:t xml:space="preserve">                 </w:t>
      </w:r>
      <w:r>
        <w:rPr>
          <w:rFonts w:hint="eastAsia" w:cs="宋体"/>
          <w:sz w:val="24"/>
          <w:szCs w:val="24"/>
        </w:rPr>
        <w:t>（盖单位公章）</w:t>
      </w:r>
    </w:p>
    <w:p>
      <w:pPr>
        <w:autoSpaceDE w:val="0"/>
        <w:autoSpaceDN w:val="0"/>
        <w:adjustRightInd w:val="0"/>
        <w:snapToGrid w:val="0"/>
        <w:spacing w:line="480" w:lineRule="auto"/>
        <w:jc w:val="right"/>
        <w:rPr>
          <w:rFonts w:cs="宋体"/>
          <w:kern w:val="0"/>
          <w:sz w:val="24"/>
          <w:szCs w:val="24"/>
          <w:lang w:val="zh-CN" w:bidi="zh-CN"/>
        </w:rPr>
      </w:pPr>
      <w:r>
        <w:rPr>
          <w:rFonts w:hint="eastAsia" w:cs="宋体"/>
          <w:kern w:val="0"/>
          <w:sz w:val="24"/>
          <w:szCs w:val="24"/>
          <w:u w:val="single"/>
          <w:lang w:val="zh-CN" w:bidi="zh-CN"/>
        </w:rPr>
        <w:t xml:space="preserve">         </w:t>
      </w:r>
      <w:r>
        <w:rPr>
          <w:rFonts w:hint="eastAsia" w:cs="宋体"/>
          <w:kern w:val="0"/>
          <w:sz w:val="24"/>
          <w:szCs w:val="24"/>
          <w:lang w:val="zh-CN" w:bidi="zh-CN"/>
        </w:rPr>
        <w:t>年</w:t>
      </w:r>
      <w:r>
        <w:rPr>
          <w:rFonts w:hint="eastAsia" w:cs="宋体"/>
          <w:kern w:val="0"/>
          <w:sz w:val="24"/>
          <w:szCs w:val="24"/>
          <w:u w:val="single"/>
          <w:lang w:val="zh-CN" w:bidi="zh-CN"/>
        </w:rPr>
        <w:t xml:space="preserve">    </w:t>
      </w:r>
      <w:r>
        <w:rPr>
          <w:rFonts w:hint="eastAsia" w:cs="宋体"/>
          <w:kern w:val="0"/>
          <w:sz w:val="24"/>
          <w:szCs w:val="24"/>
          <w:u w:val="single"/>
          <w:lang w:bidi="zh-CN"/>
        </w:rPr>
        <w:t xml:space="preserve"> </w:t>
      </w:r>
      <w:r>
        <w:rPr>
          <w:rFonts w:hint="eastAsia" w:cs="宋体"/>
          <w:kern w:val="0"/>
          <w:sz w:val="24"/>
          <w:szCs w:val="24"/>
          <w:u w:val="single"/>
          <w:lang w:val="zh-CN" w:bidi="zh-CN"/>
        </w:rPr>
        <w:t xml:space="preserve">  </w:t>
      </w:r>
      <w:r>
        <w:rPr>
          <w:rFonts w:hint="eastAsia" w:cs="宋体"/>
          <w:kern w:val="0"/>
          <w:sz w:val="24"/>
          <w:szCs w:val="24"/>
          <w:lang w:val="zh-CN" w:bidi="zh-CN"/>
        </w:rPr>
        <w:t>月</w:t>
      </w:r>
      <w:r>
        <w:rPr>
          <w:rFonts w:hint="eastAsia" w:cs="宋体"/>
          <w:kern w:val="0"/>
          <w:sz w:val="24"/>
          <w:szCs w:val="24"/>
          <w:u w:val="single"/>
          <w:lang w:val="zh-CN" w:bidi="zh-CN"/>
        </w:rPr>
        <w:t xml:space="preserve">      </w:t>
      </w:r>
      <w:r>
        <w:rPr>
          <w:rFonts w:hint="eastAsia" w:cs="宋体"/>
          <w:kern w:val="0"/>
          <w:sz w:val="24"/>
          <w:szCs w:val="24"/>
          <w:lang w:val="zh-CN" w:bidi="zh-CN"/>
        </w:rPr>
        <w:t>日</w:t>
      </w:r>
    </w:p>
    <w:p>
      <w:pPr>
        <w:spacing w:line="360" w:lineRule="auto"/>
        <w:jc w:val="center"/>
        <w:rPr>
          <w:rFonts w:cs="宋体"/>
          <w:b/>
          <w:bCs/>
          <w:sz w:val="24"/>
        </w:rPr>
      </w:pPr>
      <w:r>
        <w:rPr>
          <w:rFonts w:hint="eastAsia" w:cs="宋体"/>
          <w:b/>
          <w:bCs/>
          <w:sz w:val="24"/>
        </w:rPr>
        <w:t xml:space="preserve"> </w:t>
      </w:r>
    </w:p>
    <w:p>
      <w:pPr>
        <w:autoSpaceDE w:val="0"/>
        <w:autoSpaceDN w:val="0"/>
        <w:adjustRightInd w:val="0"/>
        <w:snapToGrid w:val="0"/>
        <w:spacing w:line="480" w:lineRule="auto"/>
        <w:rPr>
          <w:rFonts w:cs="宋体"/>
          <w:b/>
          <w:bCs/>
          <w:kern w:val="0"/>
          <w:sz w:val="28"/>
          <w:szCs w:val="28"/>
          <w:lang w:bidi="zh-CN"/>
        </w:rPr>
      </w:pPr>
    </w:p>
    <w:p>
      <w:pPr>
        <w:autoSpaceDE w:val="0"/>
        <w:autoSpaceDN w:val="0"/>
        <w:adjustRightInd w:val="0"/>
        <w:snapToGrid w:val="0"/>
        <w:spacing w:line="480" w:lineRule="auto"/>
        <w:rPr>
          <w:rFonts w:cs="宋体"/>
          <w:b/>
          <w:bCs/>
          <w:kern w:val="0"/>
          <w:sz w:val="28"/>
          <w:szCs w:val="28"/>
          <w:lang w:bidi="zh-CN"/>
        </w:rPr>
      </w:pPr>
    </w:p>
    <w:p>
      <w:pPr>
        <w:autoSpaceDE w:val="0"/>
        <w:autoSpaceDN w:val="0"/>
        <w:adjustRightInd w:val="0"/>
        <w:snapToGrid w:val="0"/>
        <w:spacing w:line="480" w:lineRule="auto"/>
        <w:rPr>
          <w:rFonts w:cs="宋体"/>
          <w:b/>
          <w:bCs/>
          <w:kern w:val="0"/>
          <w:sz w:val="28"/>
          <w:szCs w:val="28"/>
          <w:lang w:bidi="zh-CN"/>
        </w:rPr>
      </w:pPr>
    </w:p>
    <w:p>
      <w:pPr>
        <w:autoSpaceDE w:val="0"/>
        <w:autoSpaceDN w:val="0"/>
        <w:adjustRightInd w:val="0"/>
        <w:snapToGrid w:val="0"/>
        <w:spacing w:line="480" w:lineRule="auto"/>
        <w:rPr>
          <w:rFonts w:cs="宋体"/>
          <w:b/>
          <w:bCs/>
          <w:kern w:val="0"/>
          <w:sz w:val="28"/>
          <w:szCs w:val="28"/>
          <w:lang w:bidi="zh-CN"/>
        </w:rPr>
      </w:pPr>
    </w:p>
    <w:p>
      <w:pPr>
        <w:pStyle w:val="65"/>
        <w:rPr>
          <w:color w:val="auto"/>
          <w:lang w:bidi="zh-CN"/>
        </w:rPr>
      </w:pPr>
    </w:p>
    <w:p>
      <w:pPr>
        <w:pStyle w:val="65"/>
        <w:rPr>
          <w:color w:val="auto"/>
          <w:lang w:bidi="zh-CN"/>
        </w:rPr>
      </w:pPr>
    </w:p>
    <w:p>
      <w:pPr>
        <w:pStyle w:val="65"/>
        <w:rPr>
          <w:color w:val="auto"/>
          <w:lang w:bidi="zh-CN"/>
        </w:rPr>
      </w:pPr>
    </w:p>
    <w:p>
      <w:pPr>
        <w:pStyle w:val="65"/>
        <w:rPr>
          <w:color w:val="auto"/>
          <w:lang w:bidi="zh-CN"/>
        </w:rPr>
      </w:pPr>
    </w:p>
    <w:p>
      <w:pPr>
        <w:pStyle w:val="65"/>
        <w:rPr>
          <w:color w:val="auto"/>
          <w:lang w:bidi="zh-CN"/>
        </w:rPr>
      </w:pPr>
    </w:p>
    <w:p>
      <w:pPr>
        <w:pStyle w:val="65"/>
        <w:rPr>
          <w:color w:val="auto"/>
          <w:lang w:bidi="zh-CN"/>
        </w:rPr>
      </w:pPr>
    </w:p>
    <w:p>
      <w:pPr>
        <w:autoSpaceDE w:val="0"/>
        <w:autoSpaceDN w:val="0"/>
        <w:adjustRightInd w:val="0"/>
        <w:snapToGrid w:val="0"/>
        <w:spacing w:line="480" w:lineRule="auto"/>
        <w:jc w:val="center"/>
        <w:rPr>
          <w:rFonts w:cs="宋体"/>
          <w:b/>
          <w:bCs/>
          <w:kern w:val="0"/>
          <w:sz w:val="28"/>
          <w:szCs w:val="28"/>
          <w:lang w:bidi="zh-CN"/>
        </w:rPr>
      </w:pPr>
    </w:p>
    <w:p>
      <w:pPr>
        <w:autoSpaceDE w:val="0"/>
        <w:autoSpaceDN w:val="0"/>
        <w:adjustRightInd w:val="0"/>
        <w:snapToGrid w:val="0"/>
        <w:spacing w:line="480" w:lineRule="auto"/>
        <w:jc w:val="center"/>
        <w:rPr>
          <w:rFonts w:cs="宋体"/>
          <w:b/>
          <w:bCs/>
          <w:kern w:val="0"/>
          <w:sz w:val="28"/>
          <w:szCs w:val="28"/>
          <w:lang w:bidi="zh-CN"/>
        </w:rPr>
      </w:pPr>
      <w:r>
        <w:rPr>
          <w:rFonts w:cs="宋体"/>
          <w:b/>
          <w:bCs/>
          <w:kern w:val="0"/>
          <w:sz w:val="28"/>
          <w:szCs w:val="28"/>
          <w:lang w:bidi="zh-CN"/>
        </w:rPr>
        <w:t>四、设备供货组织方案</w:t>
      </w:r>
    </w:p>
    <w:p>
      <w:pPr>
        <w:spacing w:line="360" w:lineRule="auto"/>
        <w:rPr>
          <w:rFonts w:cs="宋体"/>
          <w:sz w:val="24"/>
        </w:rPr>
      </w:pPr>
      <w:r>
        <w:rPr>
          <w:rFonts w:hint="eastAsia" w:cs="宋体"/>
          <w:sz w:val="24"/>
        </w:rPr>
        <w:t>项目名称：</w:t>
      </w:r>
      <w:r>
        <w:rPr>
          <w:rFonts w:hint="eastAsia" w:cs="宋体"/>
          <w:sz w:val="24"/>
          <w:u w:val="single"/>
        </w:rPr>
        <w:t xml:space="preserve">                      </w:t>
      </w:r>
      <w:r>
        <w:rPr>
          <w:rFonts w:hint="eastAsia" w:cs="宋体"/>
          <w:sz w:val="24"/>
        </w:rPr>
        <w:t xml:space="preserve">        招标编号：</w:t>
      </w:r>
      <w:r>
        <w:rPr>
          <w:rFonts w:hint="eastAsia" w:cs="宋体"/>
          <w:sz w:val="24"/>
          <w:u w:val="single"/>
        </w:rPr>
        <w:t xml:space="preserve">                  </w:t>
      </w:r>
    </w:p>
    <w:p>
      <w:pPr>
        <w:spacing w:line="360" w:lineRule="auto"/>
        <w:ind w:firstLine="480"/>
        <w:jc w:val="center"/>
        <w:rPr>
          <w:rFonts w:cs="宋体"/>
          <w:sz w:val="24"/>
        </w:rPr>
      </w:pPr>
      <w:r>
        <w:rPr>
          <w:rFonts w:hint="eastAsia" w:cs="宋体"/>
          <w:sz w:val="24"/>
        </w:rPr>
        <w:t xml:space="preserve"> </w:t>
      </w:r>
    </w:p>
    <w:p>
      <w:pPr>
        <w:spacing w:line="360" w:lineRule="auto"/>
        <w:jc w:val="left"/>
        <w:rPr>
          <w:rFonts w:cs="宋体"/>
          <w:sz w:val="24"/>
        </w:rPr>
      </w:pPr>
      <w:r>
        <w:rPr>
          <w:rFonts w:hint="eastAsia" w:cs="宋体"/>
          <w:sz w:val="24"/>
        </w:rPr>
        <w:t>注：1、方案格式自拟；</w:t>
      </w:r>
    </w:p>
    <w:p>
      <w:pPr>
        <w:autoSpaceDE w:val="0"/>
        <w:autoSpaceDN w:val="0"/>
        <w:adjustRightInd w:val="0"/>
        <w:spacing w:line="480" w:lineRule="auto"/>
        <w:jc w:val="right"/>
        <w:rPr>
          <w:rFonts w:cs="宋体"/>
          <w:sz w:val="24"/>
          <w:szCs w:val="24"/>
        </w:rPr>
      </w:pPr>
    </w:p>
    <w:p>
      <w:pPr>
        <w:autoSpaceDE w:val="0"/>
        <w:autoSpaceDN w:val="0"/>
        <w:adjustRightInd w:val="0"/>
        <w:spacing w:line="480" w:lineRule="auto"/>
        <w:jc w:val="right"/>
        <w:rPr>
          <w:rFonts w:cs="宋体"/>
          <w:sz w:val="24"/>
          <w:szCs w:val="24"/>
        </w:rPr>
      </w:pPr>
    </w:p>
    <w:p>
      <w:pPr>
        <w:autoSpaceDE w:val="0"/>
        <w:autoSpaceDN w:val="0"/>
        <w:adjustRightInd w:val="0"/>
        <w:spacing w:line="480" w:lineRule="auto"/>
        <w:jc w:val="right"/>
        <w:rPr>
          <w:rFonts w:cs="宋体"/>
          <w:sz w:val="24"/>
          <w:szCs w:val="24"/>
        </w:rPr>
      </w:pPr>
      <w:r>
        <w:rPr>
          <w:rFonts w:hint="eastAsia" w:cs="宋体"/>
          <w:sz w:val="24"/>
          <w:szCs w:val="24"/>
        </w:rPr>
        <w:t>投标人：</w:t>
      </w:r>
      <w:r>
        <w:rPr>
          <w:rFonts w:hint="eastAsia" w:cs="宋体"/>
          <w:sz w:val="24"/>
          <w:szCs w:val="24"/>
          <w:u w:val="single"/>
        </w:rPr>
        <w:t xml:space="preserve">                 </w:t>
      </w:r>
      <w:r>
        <w:rPr>
          <w:rFonts w:hint="eastAsia" w:cs="宋体"/>
          <w:sz w:val="24"/>
          <w:szCs w:val="24"/>
        </w:rPr>
        <w:t>（盖单位公章）</w:t>
      </w:r>
    </w:p>
    <w:p>
      <w:pPr>
        <w:autoSpaceDE w:val="0"/>
        <w:autoSpaceDN w:val="0"/>
        <w:adjustRightInd w:val="0"/>
        <w:snapToGrid w:val="0"/>
        <w:spacing w:line="480" w:lineRule="auto"/>
        <w:jc w:val="right"/>
        <w:rPr>
          <w:rFonts w:cs="宋体"/>
          <w:kern w:val="0"/>
          <w:sz w:val="24"/>
          <w:szCs w:val="24"/>
          <w:lang w:val="zh-CN" w:bidi="zh-CN"/>
        </w:rPr>
      </w:pPr>
      <w:r>
        <w:rPr>
          <w:rFonts w:hint="eastAsia" w:cs="宋体"/>
          <w:kern w:val="0"/>
          <w:sz w:val="24"/>
          <w:szCs w:val="24"/>
          <w:u w:val="single"/>
          <w:lang w:val="zh-CN" w:bidi="zh-CN"/>
        </w:rPr>
        <w:t xml:space="preserve">         </w:t>
      </w:r>
      <w:r>
        <w:rPr>
          <w:rFonts w:hint="eastAsia" w:cs="宋体"/>
          <w:kern w:val="0"/>
          <w:sz w:val="24"/>
          <w:szCs w:val="24"/>
          <w:lang w:val="zh-CN" w:bidi="zh-CN"/>
        </w:rPr>
        <w:t>年</w:t>
      </w:r>
      <w:r>
        <w:rPr>
          <w:rFonts w:hint="eastAsia" w:cs="宋体"/>
          <w:kern w:val="0"/>
          <w:sz w:val="24"/>
          <w:szCs w:val="24"/>
          <w:u w:val="single"/>
          <w:lang w:val="zh-CN" w:bidi="zh-CN"/>
        </w:rPr>
        <w:t xml:space="preserve">    </w:t>
      </w:r>
      <w:r>
        <w:rPr>
          <w:rFonts w:hint="eastAsia" w:cs="宋体"/>
          <w:kern w:val="0"/>
          <w:sz w:val="24"/>
          <w:szCs w:val="24"/>
          <w:u w:val="single"/>
          <w:lang w:bidi="zh-CN"/>
        </w:rPr>
        <w:t xml:space="preserve"> </w:t>
      </w:r>
      <w:r>
        <w:rPr>
          <w:rFonts w:hint="eastAsia" w:cs="宋体"/>
          <w:kern w:val="0"/>
          <w:sz w:val="24"/>
          <w:szCs w:val="24"/>
          <w:u w:val="single"/>
          <w:lang w:val="zh-CN" w:bidi="zh-CN"/>
        </w:rPr>
        <w:t xml:space="preserve">  </w:t>
      </w:r>
      <w:r>
        <w:rPr>
          <w:rFonts w:hint="eastAsia" w:cs="宋体"/>
          <w:kern w:val="0"/>
          <w:sz w:val="24"/>
          <w:szCs w:val="24"/>
          <w:lang w:val="zh-CN" w:bidi="zh-CN"/>
        </w:rPr>
        <w:t>月</w:t>
      </w:r>
      <w:r>
        <w:rPr>
          <w:rFonts w:hint="eastAsia" w:cs="宋体"/>
          <w:kern w:val="0"/>
          <w:sz w:val="24"/>
          <w:szCs w:val="24"/>
          <w:u w:val="single"/>
          <w:lang w:val="zh-CN" w:bidi="zh-CN"/>
        </w:rPr>
        <w:t xml:space="preserve">      </w:t>
      </w:r>
      <w:r>
        <w:rPr>
          <w:rFonts w:hint="eastAsia" w:cs="宋体"/>
          <w:kern w:val="0"/>
          <w:sz w:val="24"/>
          <w:szCs w:val="24"/>
          <w:lang w:val="zh-CN" w:bidi="zh-CN"/>
        </w:rPr>
        <w:t>日</w:t>
      </w:r>
    </w:p>
    <w:p>
      <w:pPr>
        <w:autoSpaceDE w:val="0"/>
        <w:autoSpaceDN w:val="0"/>
        <w:adjustRightInd w:val="0"/>
        <w:snapToGrid w:val="0"/>
        <w:spacing w:line="480" w:lineRule="auto"/>
        <w:jc w:val="center"/>
        <w:rPr>
          <w:rFonts w:cs="宋体"/>
          <w:b/>
          <w:bCs/>
          <w:kern w:val="0"/>
          <w:sz w:val="28"/>
          <w:szCs w:val="28"/>
          <w:lang w:bidi="zh-CN"/>
        </w:rPr>
      </w:pPr>
    </w:p>
    <w:p>
      <w:pPr>
        <w:autoSpaceDE w:val="0"/>
        <w:autoSpaceDN w:val="0"/>
        <w:adjustRightInd w:val="0"/>
        <w:snapToGrid w:val="0"/>
        <w:spacing w:line="480" w:lineRule="auto"/>
        <w:jc w:val="center"/>
        <w:rPr>
          <w:rFonts w:cs="宋体"/>
          <w:b/>
          <w:bCs/>
          <w:kern w:val="0"/>
          <w:sz w:val="28"/>
          <w:szCs w:val="28"/>
          <w:lang w:bidi="zh-CN"/>
        </w:rPr>
      </w:pPr>
    </w:p>
    <w:p>
      <w:pPr>
        <w:autoSpaceDE w:val="0"/>
        <w:autoSpaceDN w:val="0"/>
        <w:adjustRightInd w:val="0"/>
        <w:snapToGrid w:val="0"/>
        <w:spacing w:line="480" w:lineRule="auto"/>
        <w:jc w:val="center"/>
        <w:rPr>
          <w:rFonts w:cs="宋体"/>
          <w:b/>
          <w:bCs/>
          <w:kern w:val="0"/>
          <w:sz w:val="28"/>
          <w:szCs w:val="28"/>
          <w:lang w:bidi="zh-CN"/>
        </w:rPr>
      </w:pPr>
    </w:p>
    <w:p>
      <w:pPr>
        <w:autoSpaceDE w:val="0"/>
        <w:autoSpaceDN w:val="0"/>
        <w:adjustRightInd w:val="0"/>
        <w:snapToGrid w:val="0"/>
        <w:spacing w:line="480" w:lineRule="auto"/>
        <w:jc w:val="center"/>
        <w:rPr>
          <w:rFonts w:cs="宋体"/>
          <w:b/>
          <w:bCs/>
          <w:kern w:val="0"/>
          <w:sz w:val="28"/>
          <w:szCs w:val="28"/>
          <w:lang w:bidi="zh-CN"/>
        </w:rPr>
      </w:pPr>
    </w:p>
    <w:p>
      <w:pPr>
        <w:autoSpaceDE w:val="0"/>
        <w:autoSpaceDN w:val="0"/>
        <w:adjustRightInd w:val="0"/>
        <w:snapToGrid w:val="0"/>
        <w:spacing w:line="480" w:lineRule="auto"/>
        <w:jc w:val="center"/>
        <w:rPr>
          <w:rFonts w:cs="宋体"/>
          <w:b/>
          <w:bCs/>
          <w:kern w:val="0"/>
          <w:sz w:val="28"/>
          <w:szCs w:val="28"/>
          <w:lang w:bidi="zh-CN"/>
        </w:rPr>
      </w:pPr>
    </w:p>
    <w:p>
      <w:pPr>
        <w:autoSpaceDE w:val="0"/>
        <w:autoSpaceDN w:val="0"/>
        <w:adjustRightInd w:val="0"/>
        <w:snapToGrid w:val="0"/>
        <w:spacing w:line="480" w:lineRule="auto"/>
        <w:jc w:val="center"/>
        <w:rPr>
          <w:rFonts w:cs="宋体"/>
          <w:b/>
          <w:bCs/>
          <w:kern w:val="0"/>
          <w:sz w:val="28"/>
          <w:szCs w:val="28"/>
          <w:lang w:bidi="zh-CN"/>
        </w:rPr>
      </w:pPr>
    </w:p>
    <w:p>
      <w:pPr>
        <w:autoSpaceDE w:val="0"/>
        <w:autoSpaceDN w:val="0"/>
        <w:adjustRightInd w:val="0"/>
        <w:snapToGrid w:val="0"/>
        <w:spacing w:line="480" w:lineRule="auto"/>
        <w:jc w:val="center"/>
        <w:rPr>
          <w:rFonts w:cs="宋体"/>
          <w:b/>
          <w:bCs/>
          <w:kern w:val="0"/>
          <w:sz w:val="28"/>
          <w:szCs w:val="28"/>
          <w:lang w:bidi="zh-CN"/>
        </w:rPr>
      </w:pPr>
    </w:p>
    <w:p>
      <w:pPr>
        <w:autoSpaceDE w:val="0"/>
        <w:autoSpaceDN w:val="0"/>
        <w:adjustRightInd w:val="0"/>
        <w:snapToGrid w:val="0"/>
        <w:spacing w:line="480" w:lineRule="auto"/>
        <w:jc w:val="center"/>
        <w:rPr>
          <w:rFonts w:cs="宋体"/>
          <w:b/>
          <w:bCs/>
          <w:kern w:val="0"/>
          <w:sz w:val="28"/>
          <w:szCs w:val="28"/>
          <w:lang w:bidi="zh-CN"/>
        </w:rPr>
      </w:pPr>
    </w:p>
    <w:p>
      <w:pPr>
        <w:autoSpaceDE w:val="0"/>
        <w:autoSpaceDN w:val="0"/>
        <w:adjustRightInd w:val="0"/>
        <w:snapToGrid w:val="0"/>
        <w:spacing w:line="480" w:lineRule="auto"/>
        <w:jc w:val="center"/>
        <w:rPr>
          <w:rFonts w:cs="宋体"/>
          <w:b/>
          <w:bCs/>
          <w:kern w:val="0"/>
          <w:sz w:val="28"/>
          <w:szCs w:val="28"/>
          <w:lang w:bidi="zh-CN"/>
        </w:rPr>
      </w:pPr>
    </w:p>
    <w:p>
      <w:pPr>
        <w:autoSpaceDE w:val="0"/>
        <w:autoSpaceDN w:val="0"/>
        <w:adjustRightInd w:val="0"/>
        <w:snapToGrid w:val="0"/>
        <w:spacing w:line="480" w:lineRule="auto"/>
        <w:jc w:val="center"/>
        <w:rPr>
          <w:rFonts w:cs="宋体"/>
          <w:b/>
          <w:bCs/>
          <w:kern w:val="0"/>
          <w:sz w:val="28"/>
          <w:szCs w:val="28"/>
          <w:lang w:bidi="zh-CN"/>
        </w:rPr>
      </w:pPr>
    </w:p>
    <w:p>
      <w:pPr>
        <w:autoSpaceDE w:val="0"/>
        <w:autoSpaceDN w:val="0"/>
        <w:adjustRightInd w:val="0"/>
        <w:snapToGrid w:val="0"/>
        <w:spacing w:line="480" w:lineRule="auto"/>
        <w:jc w:val="center"/>
        <w:rPr>
          <w:rFonts w:cs="宋体"/>
          <w:b/>
          <w:bCs/>
          <w:kern w:val="0"/>
          <w:sz w:val="28"/>
          <w:szCs w:val="28"/>
          <w:lang w:bidi="zh-CN"/>
        </w:rPr>
      </w:pPr>
      <w:r>
        <w:rPr>
          <w:rFonts w:hint="eastAsia" w:cs="宋体"/>
          <w:b/>
          <w:bCs/>
          <w:kern w:val="0"/>
          <w:sz w:val="28"/>
          <w:szCs w:val="28"/>
          <w:lang w:bidi="zh-CN"/>
        </w:rPr>
        <w:t>五、</w:t>
      </w:r>
      <w:r>
        <w:rPr>
          <w:rFonts w:cs="宋体"/>
          <w:b/>
          <w:bCs/>
          <w:kern w:val="0"/>
          <w:sz w:val="28"/>
          <w:szCs w:val="28"/>
          <w:lang w:bidi="zh-CN"/>
        </w:rPr>
        <w:t>设备售后服务方案</w:t>
      </w:r>
    </w:p>
    <w:p>
      <w:pPr>
        <w:spacing w:line="360" w:lineRule="auto"/>
        <w:rPr>
          <w:rFonts w:cs="宋体"/>
          <w:sz w:val="24"/>
        </w:rPr>
      </w:pPr>
      <w:r>
        <w:rPr>
          <w:rFonts w:hint="eastAsia" w:cs="宋体"/>
          <w:sz w:val="24"/>
        </w:rPr>
        <w:t>项目名称：</w:t>
      </w:r>
      <w:r>
        <w:rPr>
          <w:rFonts w:hint="eastAsia" w:cs="宋体"/>
          <w:sz w:val="24"/>
          <w:u w:val="single"/>
        </w:rPr>
        <w:t xml:space="preserve">                      </w:t>
      </w:r>
      <w:r>
        <w:rPr>
          <w:rFonts w:hint="eastAsia" w:cs="宋体"/>
          <w:sz w:val="24"/>
        </w:rPr>
        <w:t xml:space="preserve">        招标编号：</w:t>
      </w:r>
      <w:r>
        <w:rPr>
          <w:rFonts w:hint="eastAsia" w:cs="宋体"/>
          <w:sz w:val="24"/>
          <w:u w:val="single"/>
        </w:rPr>
        <w:t xml:space="preserve">                  </w:t>
      </w:r>
    </w:p>
    <w:p>
      <w:pPr>
        <w:spacing w:line="360" w:lineRule="auto"/>
        <w:ind w:firstLine="480"/>
        <w:jc w:val="center"/>
        <w:rPr>
          <w:rFonts w:cs="宋体"/>
          <w:sz w:val="24"/>
        </w:rPr>
      </w:pPr>
      <w:r>
        <w:rPr>
          <w:rFonts w:hint="eastAsia" w:cs="宋体"/>
          <w:sz w:val="24"/>
        </w:rPr>
        <w:t xml:space="preserve"> </w:t>
      </w:r>
    </w:p>
    <w:p>
      <w:pPr>
        <w:spacing w:line="360" w:lineRule="auto"/>
        <w:jc w:val="left"/>
        <w:rPr>
          <w:rFonts w:cs="宋体"/>
          <w:sz w:val="24"/>
        </w:rPr>
      </w:pPr>
      <w:r>
        <w:rPr>
          <w:rFonts w:hint="eastAsia" w:cs="宋体"/>
          <w:sz w:val="24"/>
        </w:rPr>
        <w:t>注：1、方案格式自拟；</w:t>
      </w:r>
    </w:p>
    <w:p>
      <w:pPr>
        <w:autoSpaceDE w:val="0"/>
        <w:autoSpaceDN w:val="0"/>
        <w:adjustRightInd w:val="0"/>
        <w:spacing w:line="480" w:lineRule="auto"/>
        <w:jc w:val="right"/>
        <w:rPr>
          <w:rFonts w:cs="宋体"/>
          <w:sz w:val="24"/>
          <w:szCs w:val="24"/>
        </w:rPr>
      </w:pPr>
    </w:p>
    <w:p>
      <w:pPr>
        <w:autoSpaceDE w:val="0"/>
        <w:autoSpaceDN w:val="0"/>
        <w:adjustRightInd w:val="0"/>
        <w:spacing w:line="480" w:lineRule="auto"/>
        <w:jc w:val="right"/>
        <w:rPr>
          <w:rFonts w:cs="宋体"/>
          <w:sz w:val="24"/>
          <w:szCs w:val="24"/>
        </w:rPr>
      </w:pPr>
    </w:p>
    <w:p>
      <w:pPr>
        <w:autoSpaceDE w:val="0"/>
        <w:autoSpaceDN w:val="0"/>
        <w:adjustRightInd w:val="0"/>
        <w:spacing w:line="480" w:lineRule="auto"/>
        <w:jc w:val="right"/>
        <w:rPr>
          <w:rFonts w:cs="宋体"/>
          <w:sz w:val="24"/>
          <w:szCs w:val="24"/>
        </w:rPr>
      </w:pPr>
      <w:r>
        <w:rPr>
          <w:rFonts w:hint="eastAsia" w:cs="宋体"/>
          <w:sz w:val="24"/>
          <w:szCs w:val="24"/>
        </w:rPr>
        <w:t>投标人：</w:t>
      </w:r>
      <w:r>
        <w:rPr>
          <w:rFonts w:hint="eastAsia" w:cs="宋体"/>
          <w:sz w:val="24"/>
          <w:szCs w:val="24"/>
          <w:u w:val="single"/>
        </w:rPr>
        <w:t xml:space="preserve">                 </w:t>
      </w:r>
      <w:r>
        <w:rPr>
          <w:rFonts w:hint="eastAsia" w:cs="宋体"/>
          <w:sz w:val="24"/>
          <w:szCs w:val="24"/>
        </w:rPr>
        <w:t>（盖单位公章）</w:t>
      </w:r>
    </w:p>
    <w:p>
      <w:pPr>
        <w:autoSpaceDE w:val="0"/>
        <w:autoSpaceDN w:val="0"/>
        <w:adjustRightInd w:val="0"/>
        <w:snapToGrid w:val="0"/>
        <w:spacing w:line="480" w:lineRule="auto"/>
        <w:jc w:val="right"/>
        <w:rPr>
          <w:rFonts w:cs="宋体"/>
          <w:kern w:val="0"/>
          <w:sz w:val="24"/>
          <w:szCs w:val="24"/>
          <w:lang w:val="zh-CN" w:bidi="zh-CN"/>
        </w:rPr>
      </w:pPr>
      <w:r>
        <w:rPr>
          <w:rFonts w:hint="eastAsia" w:cs="宋体"/>
          <w:kern w:val="0"/>
          <w:sz w:val="24"/>
          <w:szCs w:val="24"/>
          <w:u w:val="single"/>
          <w:lang w:val="zh-CN" w:bidi="zh-CN"/>
        </w:rPr>
        <w:t xml:space="preserve">         </w:t>
      </w:r>
      <w:r>
        <w:rPr>
          <w:rFonts w:hint="eastAsia" w:cs="宋体"/>
          <w:kern w:val="0"/>
          <w:sz w:val="24"/>
          <w:szCs w:val="24"/>
          <w:lang w:val="zh-CN" w:bidi="zh-CN"/>
        </w:rPr>
        <w:t>年</w:t>
      </w:r>
      <w:r>
        <w:rPr>
          <w:rFonts w:hint="eastAsia" w:cs="宋体"/>
          <w:kern w:val="0"/>
          <w:sz w:val="24"/>
          <w:szCs w:val="24"/>
          <w:u w:val="single"/>
          <w:lang w:val="zh-CN" w:bidi="zh-CN"/>
        </w:rPr>
        <w:t xml:space="preserve">    </w:t>
      </w:r>
      <w:r>
        <w:rPr>
          <w:rFonts w:hint="eastAsia" w:cs="宋体"/>
          <w:kern w:val="0"/>
          <w:sz w:val="24"/>
          <w:szCs w:val="24"/>
          <w:u w:val="single"/>
          <w:lang w:bidi="zh-CN"/>
        </w:rPr>
        <w:t xml:space="preserve"> </w:t>
      </w:r>
      <w:r>
        <w:rPr>
          <w:rFonts w:hint="eastAsia" w:cs="宋体"/>
          <w:kern w:val="0"/>
          <w:sz w:val="24"/>
          <w:szCs w:val="24"/>
          <w:u w:val="single"/>
          <w:lang w:val="zh-CN" w:bidi="zh-CN"/>
        </w:rPr>
        <w:t xml:space="preserve">  </w:t>
      </w:r>
      <w:r>
        <w:rPr>
          <w:rFonts w:hint="eastAsia" w:cs="宋体"/>
          <w:kern w:val="0"/>
          <w:sz w:val="24"/>
          <w:szCs w:val="24"/>
          <w:lang w:val="zh-CN" w:bidi="zh-CN"/>
        </w:rPr>
        <w:t>月</w:t>
      </w:r>
      <w:r>
        <w:rPr>
          <w:rFonts w:hint="eastAsia" w:cs="宋体"/>
          <w:kern w:val="0"/>
          <w:sz w:val="24"/>
          <w:szCs w:val="24"/>
          <w:u w:val="single"/>
          <w:lang w:val="zh-CN" w:bidi="zh-CN"/>
        </w:rPr>
        <w:t xml:space="preserve">      </w:t>
      </w:r>
      <w:r>
        <w:rPr>
          <w:rFonts w:hint="eastAsia" w:cs="宋体"/>
          <w:kern w:val="0"/>
          <w:sz w:val="24"/>
          <w:szCs w:val="24"/>
          <w:lang w:val="zh-CN" w:bidi="zh-CN"/>
        </w:rPr>
        <w:t>日</w:t>
      </w:r>
    </w:p>
    <w:p>
      <w:pPr>
        <w:autoSpaceDE w:val="0"/>
        <w:autoSpaceDN w:val="0"/>
        <w:adjustRightInd w:val="0"/>
        <w:snapToGrid w:val="0"/>
        <w:spacing w:line="480" w:lineRule="auto"/>
        <w:jc w:val="center"/>
        <w:rPr>
          <w:rFonts w:cs="宋体"/>
          <w:b/>
          <w:bCs/>
          <w:kern w:val="0"/>
          <w:sz w:val="28"/>
          <w:szCs w:val="28"/>
          <w:lang w:bidi="zh-CN"/>
        </w:rPr>
      </w:pPr>
    </w:p>
    <w:p>
      <w:pPr>
        <w:autoSpaceDE w:val="0"/>
        <w:autoSpaceDN w:val="0"/>
        <w:adjustRightInd w:val="0"/>
        <w:snapToGrid w:val="0"/>
        <w:spacing w:line="480" w:lineRule="auto"/>
        <w:jc w:val="center"/>
        <w:rPr>
          <w:rFonts w:cs="宋体"/>
          <w:b/>
          <w:bCs/>
          <w:kern w:val="0"/>
          <w:sz w:val="28"/>
          <w:szCs w:val="28"/>
          <w:lang w:bidi="zh-CN"/>
        </w:rPr>
      </w:pPr>
    </w:p>
    <w:p>
      <w:pPr>
        <w:autoSpaceDE w:val="0"/>
        <w:autoSpaceDN w:val="0"/>
        <w:adjustRightInd w:val="0"/>
        <w:snapToGrid w:val="0"/>
        <w:spacing w:line="480" w:lineRule="auto"/>
        <w:jc w:val="center"/>
        <w:rPr>
          <w:rFonts w:cs="宋体"/>
          <w:b/>
          <w:bCs/>
          <w:kern w:val="0"/>
          <w:sz w:val="28"/>
          <w:szCs w:val="28"/>
          <w:lang w:bidi="zh-CN"/>
        </w:rPr>
      </w:pPr>
    </w:p>
    <w:p>
      <w:pPr>
        <w:autoSpaceDE w:val="0"/>
        <w:autoSpaceDN w:val="0"/>
        <w:adjustRightInd w:val="0"/>
        <w:snapToGrid w:val="0"/>
        <w:spacing w:line="480" w:lineRule="auto"/>
        <w:jc w:val="center"/>
        <w:rPr>
          <w:rFonts w:cs="宋体"/>
          <w:b/>
          <w:bCs/>
          <w:kern w:val="0"/>
          <w:sz w:val="28"/>
          <w:szCs w:val="28"/>
          <w:lang w:bidi="zh-CN"/>
        </w:rPr>
      </w:pPr>
    </w:p>
    <w:p>
      <w:pPr>
        <w:autoSpaceDE w:val="0"/>
        <w:autoSpaceDN w:val="0"/>
        <w:adjustRightInd w:val="0"/>
        <w:snapToGrid w:val="0"/>
        <w:spacing w:line="480" w:lineRule="auto"/>
        <w:jc w:val="center"/>
        <w:rPr>
          <w:rFonts w:cs="宋体"/>
          <w:b/>
          <w:bCs/>
          <w:kern w:val="0"/>
          <w:sz w:val="28"/>
          <w:szCs w:val="28"/>
          <w:lang w:bidi="zh-CN"/>
        </w:rPr>
      </w:pPr>
    </w:p>
    <w:p>
      <w:pPr>
        <w:autoSpaceDE w:val="0"/>
        <w:autoSpaceDN w:val="0"/>
        <w:adjustRightInd w:val="0"/>
        <w:snapToGrid w:val="0"/>
        <w:spacing w:line="480" w:lineRule="auto"/>
        <w:jc w:val="center"/>
        <w:rPr>
          <w:rFonts w:cs="宋体"/>
          <w:b/>
          <w:bCs/>
          <w:kern w:val="0"/>
          <w:sz w:val="28"/>
          <w:szCs w:val="28"/>
          <w:lang w:bidi="zh-CN"/>
        </w:rPr>
      </w:pPr>
    </w:p>
    <w:p>
      <w:pPr>
        <w:autoSpaceDE w:val="0"/>
        <w:autoSpaceDN w:val="0"/>
        <w:adjustRightInd w:val="0"/>
        <w:snapToGrid w:val="0"/>
        <w:spacing w:line="480" w:lineRule="auto"/>
        <w:jc w:val="center"/>
        <w:rPr>
          <w:rFonts w:cs="宋体"/>
          <w:b/>
          <w:bCs/>
          <w:kern w:val="0"/>
          <w:sz w:val="28"/>
          <w:szCs w:val="28"/>
          <w:lang w:bidi="zh-CN"/>
        </w:rPr>
      </w:pPr>
    </w:p>
    <w:p>
      <w:pPr>
        <w:autoSpaceDE w:val="0"/>
        <w:autoSpaceDN w:val="0"/>
        <w:adjustRightInd w:val="0"/>
        <w:snapToGrid w:val="0"/>
        <w:spacing w:line="480" w:lineRule="auto"/>
        <w:jc w:val="center"/>
        <w:rPr>
          <w:rFonts w:cs="宋体"/>
          <w:b/>
          <w:bCs/>
          <w:kern w:val="0"/>
          <w:sz w:val="28"/>
          <w:szCs w:val="28"/>
          <w:lang w:bidi="zh-CN"/>
        </w:rPr>
      </w:pPr>
    </w:p>
    <w:p>
      <w:pPr>
        <w:autoSpaceDE w:val="0"/>
        <w:autoSpaceDN w:val="0"/>
        <w:adjustRightInd w:val="0"/>
        <w:snapToGrid w:val="0"/>
        <w:spacing w:line="480" w:lineRule="auto"/>
        <w:jc w:val="center"/>
        <w:rPr>
          <w:rFonts w:cs="宋体"/>
          <w:b/>
          <w:bCs/>
          <w:kern w:val="0"/>
          <w:sz w:val="28"/>
          <w:szCs w:val="28"/>
          <w:lang w:bidi="zh-CN"/>
        </w:rPr>
      </w:pPr>
    </w:p>
    <w:p>
      <w:pPr>
        <w:spacing w:line="360" w:lineRule="auto"/>
        <w:jc w:val="center"/>
        <w:rPr>
          <w:rFonts w:cs="宋体"/>
          <w:b/>
          <w:bCs/>
          <w:sz w:val="28"/>
          <w:szCs w:val="28"/>
          <w:lang w:bidi="zh-CN"/>
        </w:rPr>
      </w:pPr>
    </w:p>
    <w:p>
      <w:pPr>
        <w:spacing w:line="360" w:lineRule="auto"/>
        <w:jc w:val="center"/>
        <w:rPr>
          <w:rFonts w:cs="宋体"/>
          <w:b/>
          <w:bCs/>
          <w:sz w:val="28"/>
          <w:szCs w:val="28"/>
          <w:lang w:bidi="zh-CN"/>
        </w:rPr>
      </w:pPr>
      <w:r>
        <w:rPr>
          <w:rFonts w:hint="eastAsia" w:cs="宋体"/>
          <w:b/>
          <w:bCs/>
          <w:sz w:val="28"/>
          <w:szCs w:val="28"/>
          <w:lang w:bidi="zh-CN"/>
        </w:rPr>
        <w:t>六、其他</w:t>
      </w:r>
    </w:p>
    <w:p>
      <w:pPr>
        <w:spacing w:line="360" w:lineRule="auto"/>
        <w:ind w:firstLine="480" w:firstLineChars="200"/>
        <w:rPr>
          <w:rFonts w:cs="宋体"/>
          <w:sz w:val="24"/>
        </w:rPr>
      </w:pPr>
    </w:p>
    <w:p>
      <w:pPr>
        <w:spacing w:line="360" w:lineRule="auto"/>
        <w:ind w:firstLine="480" w:firstLineChars="200"/>
        <w:rPr>
          <w:rFonts w:cs="宋体"/>
          <w:b/>
          <w:bCs/>
          <w:sz w:val="36"/>
          <w:szCs w:val="36"/>
        </w:rPr>
      </w:pPr>
      <w:r>
        <w:rPr>
          <w:rFonts w:hint="eastAsia" w:cs="宋体"/>
          <w:sz w:val="24"/>
        </w:rPr>
        <w:t>投标人认为应提交的其他材料，可在此附件中提交。</w:t>
      </w:r>
    </w:p>
    <w:p>
      <w:pPr>
        <w:rPr>
          <w:rFonts w:cs="宋体"/>
          <w:sz w:val="28"/>
          <w:szCs w:val="28"/>
        </w:rPr>
      </w:pPr>
      <w:r>
        <w:rPr>
          <w:rFonts w:hint="eastAsia" w:cs="宋体"/>
          <w:sz w:val="28"/>
          <w:szCs w:val="28"/>
        </w:rPr>
        <w:t xml:space="preserve"> </w:t>
      </w:r>
    </w:p>
    <w:p>
      <w:pPr>
        <w:autoSpaceDE w:val="0"/>
        <w:autoSpaceDN w:val="0"/>
        <w:adjustRightInd w:val="0"/>
        <w:jc w:val="left"/>
        <w:rPr>
          <w:rFonts w:cs="宋体"/>
          <w:kern w:val="0"/>
          <w:sz w:val="28"/>
          <w:szCs w:val="28"/>
        </w:rPr>
      </w:pPr>
    </w:p>
    <w:p>
      <w:pPr>
        <w:autoSpaceDE w:val="0"/>
        <w:autoSpaceDN w:val="0"/>
        <w:adjustRightInd w:val="0"/>
        <w:jc w:val="left"/>
        <w:rPr>
          <w:rFonts w:cs="宋体"/>
          <w:kern w:val="0"/>
          <w:sz w:val="28"/>
          <w:szCs w:val="28"/>
        </w:rPr>
      </w:pPr>
    </w:p>
    <w:p>
      <w:pPr>
        <w:autoSpaceDE w:val="0"/>
        <w:autoSpaceDN w:val="0"/>
        <w:adjustRightInd w:val="0"/>
        <w:spacing w:line="480" w:lineRule="auto"/>
        <w:jc w:val="right"/>
        <w:rPr>
          <w:rFonts w:cs="宋体"/>
          <w:sz w:val="24"/>
          <w:szCs w:val="24"/>
        </w:rPr>
      </w:pPr>
      <w:r>
        <w:rPr>
          <w:rFonts w:hint="eastAsia" w:cs="宋体"/>
          <w:sz w:val="24"/>
          <w:szCs w:val="24"/>
        </w:rPr>
        <w:t>投标人：</w:t>
      </w:r>
      <w:r>
        <w:rPr>
          <w:rFonts w:hint="eastAsia" w:cs="宋体"/>
          <w:sz w:val="24"/>
          <w:szCs w:val="24"/>
          <w:u w:val="single"/>
        </w:rPr>
        <w:t xml:space="preserve">                 </w:t>
      </w:r>
      <w:r>
        <w:rPr>
          <w:rFonts w:hint="eastAsia" w:cs="宋体"/>
          <w:sz w:val="24"/>
          <w:szCs w:val="24"/>
        </w:rPr>
        <w:t>（盖单位公章）</w:t>
      </w:r>
    </w:p>
    <w:p>
      <w:pPr>
        <w:autoSpaceDE w:val="0"/>
        <w:autoSpaceDN w:val="0"/>
        <w:adjustRightInd w:val="0"/>
        <w:snapToGrid w:val="0"/>
        <w:spacing w:line="480" w:lineRule="auto"/>
        <w:jc w:val="right"/>
        <w:rPr>
          <w:rFonts w:cs="宋体"/>
          <w:kern w:val="0"/>
          <w:sz w:val="24"/>
          <w:szCs w:val="24"/>
          <w:lang w:val="zh-CN" w:bidi="zh-CN"/>
        </w:rPr>
      </w:pPr>
      <w:r>
        <w:rPr>
          <w:rFonts w:hint="eastAsia" w:cs="宋体"/>
          <w:kern w:val="0"/>
          <w:sz w:val="24"/>
          <w:szCs w:val="24"/>
          <w:u w:val="single"/>
          <w:lang w:val="zh-CN" w:bidi="zh-CN"/>
        </w:rPr>
        <w:t xml:space="preserve">         </w:t>
      </w:r>
      <w:r>
        <w:rPr>
          <w:rFonts w:hint="eastAsia" w:cs="宋体"/>
          <w:kern w:val="0"/>
          <w:sz w:val="24"/>
          <w:szCs w:val="24"/>
          <w:lang w:val="zh-CN" w:bidi="zh-CN"/>
        </w:rPr>
        <w:t>年</w:t>
      </w:r>
      <w:r>
        <w:rPr>
          <w:rFonts w:hint="eastAsia" w:cs="宋体"/>
          <w:kern w:val="0"/>
          <w:sz w:val="24"/>
          <w:szCs w:val="24"/>
          <w:u w:val="single"/>
          <w:lang w:val="zh-CN" w:bidi="zh-CN"/>
        </w:rPr>
        <w:t xml:space="preserve">    </w:t>
      </w:r>
      <w:r>
        <w:rPr>
          <w:rFonts w:hint="eastAsia" w:cs="宋体"/>
          <w:kern w:val="0"/>
          <w:sz w:val="24"/>
          <w:szCs w:val="24"/>
          <w:u w:val="single"/>
          <w:lang w:bidi="zh-CN"/>
        </w:rPr>
        <w:t xml:space="preserve"> </w:t>
      </w:r>
      <w:r>
        <w:rPr>
          <w:rFonts w:hint="eastAsia" w:cs="宋体"/>
          <w:kern w:val="0"/>
          <w:sz w:val="24"/>
          <w:szCs w:val="24"/>
          <w:u w:val="single"/>
          <w:lang w:val="zh-CN" w:bidi="zh-CN"/>
        </w:rPr>
        <w:t xml:space="preserve">  </w:t>
      </w:r>
      <w:r>
        <w:rPr>
          <w:rFonts w:hint="eastAsia" w:cs="宋体"/>
          <w:kern w:val="0"/>
          <w:sz w:val="24"/>
          <w:szCs w:val="24"/>
          <w:lang w:val="zh-CN" w:bidi="zh-CN"/>
        </w:rPr>
        <w:t>月</w:t>
      </w:r>
      <w:r>
        <w:rPr>
          <w:rFonts w:hint="eastAsia" w:cs="宋体"/>
          <w:kern w:val="0"/>
          <w:sz w:val="24"/>
          <w:szCs w:val="24"/>
          <w:u w:val="single"/>
          <w:lang w:val="zh-CN" w:bidi="zh-CN"/>
        </w:rPr>
        <w:t xml:space="preserve">      </w:t>
      </w:r>
      <w:r>
        <w:rPr>
          <w:rFonts w:hint="eastAsia" w:cs="宋体"/>
          <w:kern w:val="0"/>
          <w:sz w:val="24"/>
          <w:szCs w:val="24"/>
          <w:lang w:val="zh-CN" w:bidi="zh-CN"/>
        </w:rPr>
        <w:t>日</w:t>
      </w:r>
    </w:p>
    <w:p>
      <w:pPr>
        <w:autoSpaceDE w:val="0"/>
        <w:autoSpaceDN w:val="0"/>
        <w:adjustRightInd w:val="0"/>
        <w:snapToGrid w:val="0"/>
        <w:spacing w:line="480" w:lineRule="auto"/>
        <w:rPr>
          <w:rFonts w:cs="宋体"/>
          <w:b/>
          <w:bCs/>
          <w:kern w:val="0"/>
          <w:sz w:val="28"/>
          <w:szCs w:val="28"/>
          <w:lang w:bidi="zh-CN"/>
        </w:rPr>
      </w:pPr>
    </w:p>
    <w:p>
      <w:pPr>
        <w:autoSpaceDE w:val="0"/>
        <w:autoSpaceDN w:val="0"/>
        <w:adjustRightInd w:val="0"/>
        <w:snapToGrid w:val="0"/>
        <w:spacing w:line="480" w:lineRule="auto"/>
        <w:rPr>
          <w:rFonts w:cs="宋体"/>
          <w:b/>
          <w:bCs/>
          <w:kern w:val="0"/>
          <w:sz w:val="28"/>
          <w:szCs w:val="28"/>
          <w:lang w:bidi="zh-CN"/>
        </w:rPr>
      </w:pPr>
    </w:p>
    <w:p>
      <w:pPr>
        <w:autoSpaceDE w:val="0"/>
        <w:autoSpaceDN w:val="0"/>
        <w:adjustRightInd w:val="0"/>
        <w:snapToGrid w:val="0"/>
        <w:spacing w:line="480" w:lineRule="auto"/>
        <w:rPr>
          <w:rFonts w:cs="宋体"/>
          <w:b/>
          <w:bCs/>
          <w:kern w:val="0"/>
          <w:sz w:val="28"/>
          <w:szCs w:val="28"/>
          <w:lang w:bidi="zh-CN"/>
        </w:rPr>
      </w:pPr>
    </w:p>
    <w:p>
      <w:pPr>
        <w:autoSpaceDE w:val="0"/>
        <w:autoSpaceDN w:val="0"/>
        <w:adjustRightInd w:val="0"/>
        <w:snapToGrid w:val="0"/>
        <w:spacing w:line="480" w:lineRule="auto"/>
        <w:rPr>
          <w:rFonts w:cs="宋体"/>
          <w:b/>
          <w:bCs/>
          <w:kern w:val="0"/>
          <w:sz w:val="28"/>
          <w:szCs w:val="28"/>
          <w:lang w:bidi="zh-CN"/>
        </w:rPr>
      </w:pPr>
    </w:p>
    <w:p>
      <w:pPr>
        <w:autoSpaceDE w:val="0"/>
        <w:autoSpaceDN w:val="0"/>
        <w:adjustRightInd w:val="0"/>
        <w:snapToGrid w:val="0"/>
        <w:spacing w:line="480" w:lineRule="auto"/>
        <w:rPr>
          <w:rFonts w:cs="宋体"/>
          <w:b/>
          <w:bCs/>
          <w:kern w:val="0"/>
          <w:sz w:val="28"/>
          <w:szCs w:val="28"/>
          <w:lang w:bidi="zh-CN"/>
        </w:rPr>
      </w:pPr>
    </w:p>
    <w:p>
      <w:pPr>
        <w:autoSpaceDE w:val="0"/>
        <w:autoSpaceDN w:val="0"/>
        <w:adjustRightInd w:val="0"/>
        <w:snapToGrid w:val="0"/>
        <w:spacing w:line="480" w:lineRule="auto"/>
        <w:rPr>
          <w:rFonts w:cs="宋体"/>
          <w:b/>
          <w:bCs/>
          <w:kern w:val="0"/>
          <w:sz w:val="28"/>
          <w:szCs w:val="28"/>
          <w:lang w:bidi="zh-CN"/>
        </w:rPr>
      </w:pPr>
    </w:p>
    <w:p>
      <w:pPr>
        <w:autoSpaceDE w:val="0"/>
        <w:autoSpaceDN w:val="0"/>
        <w:adjustRightInd w:val="0"/>
        <w:snapToGrid w:val="0"/>
        <w:spacing w:line="480" w:lineRule="auto"/>
        <w:rPr>
          <w:rFonts w:cs="宋体"/>
          <w:b/>
          <w:bCs/>
          <w:kern w:val="0"/>
          <w:sz w:val="28"/>
          <w:szCs w:val="28"/>
          <w:lang w:bidi="zh-CN"/>
        </w:rPr>
      </w:pPr>
    </w:p>
    <w:p>
      <w:pPr>
        <w:autoSpaceDE w:val="0"/>
        <w:autoSpaceDN w:val="0"/>
        <w:adjustRightInd w:val="0"/>
        <w:snapToGrid w:val="0"/>
        <w:spacing w:line="480" w:lineRule="auto"/>
        <w:rPr>
          <w:rFonts w:cs="宋体"/>
          <w:b/>
          <w:bCs/>
          <w:kern w:val="0"/>
          <w:sz w:val="28"/>
          <w:szCs w:val="28"/>
          <w:lang w:bidi="zh-CN"/>
        </w:rPr>
      </w:pPr>
    </w:p>
    <w:p>
      <w:pPr>
        <w:autoSpaceDE w:val="0"/>
        <w:autoSpaceDN w:val="0"/>
        <w:adjustRightInd w:val="0"/>
        <w:snapToGrid w:val="0"/>
        <w:spacing w:line="480" w:lineRule="auto"/>
        <w:rPr>
          <w:rFonts w:cs="宋体"/>
          <w:b/>
          <w:bCs/>
          <w:kern w:val="0"/>
          <w:sz w:val="28"/>
          <w:szCs w:val="28"/>
          <w:lang w:bidi="zh-CN"/>
        </w:rPr>
      </w:pPr>
    </w:p>
    <w:p>
      <w:pPr>
        <w:autoSpaceDE w:val="0"/>
        <w:autoSpaceDN w:val="0"/>
        <w:adjustRightInd w:val="0"/>
        <w:snapToGrid w:val="0"/>
        <w:spacing w:line="480" w:lineRule="auto"/>
        <w:rPr>
          <w:rFonts w:cs="宋体"/>
          <w:b/>
          <w:bCs/>
          <w:kern w:val="0"/>
          <w:sz w:val="28"/>
          <w:szCs w:val="28"/>
          <w:lang w:bidi="zh-CN"/>
        </w:rPr>
      </w:pPr>
    </w:p>
    <w:p>
      <w:pPr>
        <w:spacing w:line="360" w:lineRule="auto"/>
        <w:rPr>
          <w:rFonts w:cs="宋体"/>
          <w:b/>
          <w:bCs/>
          <w:kern w:val="0"/>
          <w:sz w:val="36"/>
          <w:szCs w:val="36"/>
        </w:rPr>
      </w:pPr>
    </w:p>
    <w:p>
      <w:pPr>
        <w:spacing w:line="360" w:lineRule="auto"/>
        <w:ind w:firstLine="420"/>
        <w:jc w:val="right"/>
        <w:rPr>
          <w:rFonts w:cs="宋体"/>
          <w:b/>
          <w:bCs/>
          <w:kern w:val="0"/>
          <w:sz w:val="72"/>
          <w:szCs w:val="72"/>
        </w:rPr>
      </w:pPr>
      <w:r>
        <w:rPr>
          <w:rFonts w:hint="eastAsia" w:cs="宋体"/>
          <w:b/>
          <w:bCs/>
          <w:kern w:val="0"/>
          <w:sz w:val="36"/>
          <w:szCs w:val="36"/>
        </w:rPr>
        <w:t xml:space="preserve"> （正/副本）</w:t>
      </w:r>
    </w:p>
    <w:p>
      <w:pPr>
        <w:spacing w:line="360" w:lineRule="auto"/>
        <w:jc w:val="center"/>
        <w:rPr>
          <w:rFonts w:cs="宋体"/>
          <w:b/>
          <w:bCs/>
          <w:sz w:val="72"/>
          <w:szCs w:val="72"/>
        </w:rPr>
      </w:pPr>
      <w:r>
        <w:rPr>
          <w:rFonts w:hint="eastAsia" w:cs="宋体"/>
          <w:b/>
          <w:bCs/>
          <w:sz w:val="72"/>
          <w:szCs w:val="72"/>
        </w:rPr>
        <w:t xml:space="preserve"> </w:t>
      </w:r>
    </w:p>
    <w:p>
      <w:pPr>
        <w:spacing w:line="360" w:lineRule="auto"/>
        <w:jc w:val="center"/>
        <w:outlineLvl w:val="1"/>
        <w:rPr>
          <w:rFonts w:cs="宋体"/>
          <w:b/>
          <w:bCs/>
          <w:sz w:val="72"/>
          <w:szCs w:val="72"/>
        </w:rPr>
      </w:pPr>
      <w:bookmarkStart w:id="956" w:name="_Toc15511"/>
      <w:bookmarkStart w:id="957" w:name="_Toc21620"/>
      <w:bookmarkStart w:id="958" w:name="_Toc20665"/>
      <w:bookmarkStart w:id="959" w:name="_Toc29688"/>
      <w:bookmarkStart w:id="960" w:name="_Toc20118"/>
      <w:bookmarkStart w:id="961" w:name="_Toc24321"/>
      <w:bookmarkStart w:id="962" w:name="_Toc21544"/>
      <w:r>
        <w:rPr>
          <w:rFonts w:hint="eastAsia" w:cs="宋体"/>
          <w:b/>
          <w:bCs/>
          <w:sz w:val="72"/>
          <w:szCs w:val="72"/>
        </w:rPr>
        <w:t>投  标  文  件</w:t>
      </w:r>
      <w:bookmarkEnd w:id="956"/>
      <w:bookmarkEnd w:id="957"/>
      <w:bookmarkEnd w:id="958"/>
      <w:bookmarkEnd w:id="959"/>
      <w:bookmarkEnd w:id="960"/>
      <w:bookmarkEnd w:id="961"/>
      <w:bookmarkEnd w:id="962"/>
    </w:p>
    <w:p>
      <w:pPr>
        <w:spacing w:line="360" w:lineRule="auto"/>
        <w:jc w:val="center"/>
        <w:outlineLvl w:val="1"/>
        <w:rPr>
          <w:rFonts w:cs="宋体"/>
          <w:b/>
          <w:bCs/>
          <w:sz w:val="36"/>
          <w:szCs w:val="36"/>
        </w:rPr>
      </w:pPr>
      <w:bookmarkStart w:id="963" w:name="_Toc29555"/>
      <w:bookmarkStart w:id="964" w:name="_Toc23054"/>
      <w:bookmarkStart w:id="965" w:name="_Toc23064"/>
      <w:bookmarkStart w:id="966" w:name="_Toc2437"/>
      <w:bookmarkStart w:id="967" w:name="_Toc12588"/>
      <w:bookmarkStart w:id="968" w:name="_Toc31861"/>
      <w:bookmarkStart w:id="969" w:name="_Toc1003"/>
      <w:r>
        <w:rPr>
          <w:rFonts w:hint="eastAsia" w:cs="宋体"/>
          <w:b/>
          <w:bCs/>
          <w:sz w:val="36"/>
          <w:szCs w:val="36"/>
        </w:rPr>
        <w:t>（商务文件）</w:t>
      </w:r>
      <w:bookmarkEnd w:id="963"/>
      <w:bookmarkEnd w:id="964"/>
      <w:bookmarkEnd w:id="965"/>
      <w:bookmarkEnd w:id="966"/>
      <w:bookmarkEnd w:id="967"/>
      <w:bookmarkEnd w:id="968"/>
      <w:bookmarkEnd w:id="969"/>
    </w:p>
    <w:p>
      <w:pPr>
        <w:spacing w:line="360" w:lineRule="auto"/>
        <w:jc w:val="center"/>
        <w:rPr>
          <w:rFonts w:cs="宋体"/>
          <w:b/>
          <w:bCs/>
          <w:sz w:val="36"/>
          <w:szCs w:val="36"/>
        </w:rPr>
      </w:pPr>
    </w:p>
    <w:p>
      <w:pPr>
        <w:spacing w:line="360" w:lineRule="auto"/>
        <w:jc w:val="center"/>
        <w:rPr>
          <w:rFonts w:cs="宋体"/>
          <w:b/>
          <w:bCs/>
          <w:sz w:val="36"/>
          <w:szCs w:val="36"/>
        </w:rPr>
      </w:pPr>
    </w:p>
    <w:p>
      <w:pPr>
        <w:spacing w:line="360" w:lineRule="auto"/>
        <w:jc w:val="center"/>
        <w:rPr>
          <w:rFonts w:cs="宋体"/>
          <w:b/>
          <w:bCs/>
          <w:sz w:val="36"/>
          <w:szCs w:val="36"/>
        </w:rPr>
      </w:pPr>
    </w:p>
    <w:p>
      <w:pPr>
        <w:spacing w:line="360" w:lineRule="auto"/>
        <w:jc w:val="center"/>
        <w:rPr>
          <w:rFonts w:cs="宋体"/>
          <w:b/>
          <w:bCs/>
          <w:sz w:val="36"/>
          <w:szCs w:val="36"/>
        </w:rPr>
      </w:pPr>
      <w:r>
        <w:rPr>
          <w:rFonts w:hint="eastAsia" w:cs="宋体"/>
          <w:b/>
          <w:bCs/>
          <w:sz w:val="36"/>
          <w:szCs w:val="36"/>
        </w:rPr>
        <w:t xml:space="preserve"> </w:t>
      </w:r>
    </w:p>
    <w:p>
      <w:pPr>
        <w:spacing w:line="360" w:lineRule="auto"/>
        <w:ind w:firstLine="1084" w:firstLineChars="300"/>
        <w:rPr>
          <w:rFonts w:cs="宋体"/>
          <w:b/>
          <w:bCs/>
          <w:sz w:val="36"/>
          <w:szCs w:val="36"/>
        </w:rPr>
      </w:pPr>
      <w:r>
        <w:rPr>
          <w:rFonts w:hint="eastAsia" w:cs="宋体"/>
          <w:b/>
          <w:bCs/>
          <w:sz w:val="36"/>
          <w:szCs w:val="36"/>
        </w:rPr>
        <w:t>项 目 名 称：</w:t>
      </w:r>
      <w:r>
        <w:rPr>
          <w:rFonts w:hint="eastAsia" w:cs="宋体"/>
          <w:b/>
          <w:bCs/>
          <w:sz w:val="36"/>
          <w:szCs w:val="36"/>
          <w:u w:val="single"/>
        </w:rPr>
        <w:t xml:space="preserve">               </w:t>
      </w:r>
    </w:p>
    <w:p>
      <w:pPr>
        <w:spacing w:line="360" w:lineRule="auto"/>
        <w:ind w:firstLine="1084" w:firstLineChars="300"/>
        <w:rPr>
          <w:rFonts w:cs="宋体"/>
          <w:b/>
          <w:bCs/>
          <w:sz w:val="36"/>
          <w:szCs w:val="36"/>
          <w:u w:val="single"/>
        </w:rPr>
      </w:pPr>
      <w:r>
        <w:rPr>
          <w:rFonts w:hint="eastAsia" w:cs="宋体"/>
          <w:b/>
          <w:bCs/>
          <w:sz w:val="36"/>
          <w:szCs w:val="36"/>
        </w:rPr>
        <w:t>招 标 编 号：</w:t>
      </w:r>
      <w:r>
        <w:rPr>
          <w:rFonts w:hint="eastAsia" w:cs="宋体"/>
          <w:b/>
          <w:bCs/>
          <w:sz w:val="36"/>
          <w:szCs w:val="36"/>
          <w:u w:val="single"/>
        </w:rPr>
        <w:t xml:space="preserve">               </w:t>
      </w:r>
    </w:p>
    <w:p>
      <w:pPr>
        <w:spacing w:line="360" w:lineRule="auto"/>
        <w:rPr>
          <w:rFonts w:cs="宋体"/>
          <w:b/>
          <w:bCs/>
          <w:sz w:val="36"/>
          <w:szCs w:val="36"/>
        </w:rPr>
      </w:pPr>
      <w:r>
        <w:rPr>
          <w:rFonts w:hint="eastAsia" w:cs="宋体"/>
          <w:b/>
          <w:bCs/>
          <w:sz w:val="36"/>
          <w:szCs w:val="36"/>
        </w:rPr>
        <w:t xml:space="preserve"> </w:t>
      </w:r>
    </w:p>
    <w:p>
      <w:pPr>
        <w:spacing w:line="360" w:lineRule="auto"/>
        <w:rPr>
          <w:rFonts w:cs="宋体"/>
          <w:b/>
          <w:bCs/>
          <w:sz w:val="36"/>
          <w:szCs w:val="36"/>
          <w:u w:val="single"/>
        </w:rPr>
      </w:pPr>
      <w:r>
        <w:rPr>
          <w:rFonts w:hint="eastAsia" w:cs="宋体"/>
          <w:b/>
          <w:bCs/>
          <w:sz w:val="36"/>
          <w:szCs w:val="36"/>
        </w:rPr>
        <w:t xml:space="preserve">       投标人名称 ：</w:t>
      </w:r>
      <w:r>
        <w:rPr>
          <w:rFonts w:hint="eastAsia" w:cs="宋体"/>
          <w:b/>
          <w:bCs/>
          <w:sz w:val="36"/>
          <w:szCs w:val="36"/>
          <w:u w:val="single"/>
        </w:rPr>
        <w:t xml:space="preserve">               </w:t>
      </w:r>
    </w:p>
    <w:p>
      <w:pPr>
        <w:spacing w:line="360" w:lineRule="auto"/>
        <w:rPr>
          <w:rFonts w:cs="宋体"/>
          <w:b/>
          <w:bCs/>
          <w:sz w:val="36"/>
          <w:szCs w:val="36"/>
        </w:rPr>
      </w:pPr>
      <w:r>
        <w:rPr>
          <w:rFonts w:hint="eastAsia" w:cs="宋体"/>
          <w:b/>
          <w:bCs/>
          <w:sz w:val="36"/>
          <w:szCs w:val="36"/>
        </w:rPr>
        <w:t xml:space="preserve">       日      期 ：</w:t>
      </w:r>
      <w:r>
        <w:rPr>
          <w:rFonts w:hint="eastAsia" w:cs="宋体"/>
          <w:b/>
          <w:bCs/>
          <w:sz w:val="36"/>
          <w:szCs w:val="36"/>
          <w:u w:val="single"/>
        </w:rPr>
        <w:t xml:space="preserve">               </w:t>
      </w:r>
    </w:p>
    <w:p>
      <w:pPr>
        <w:spacing w:line="360" w:lineRule="auto"/>
        <w:rPr>
          <w:rFonts w:cs="宋体"/>
          <w:sz w:val="24"/>
        </w:rPr>
      </w:pPr>
      <w:r>
        <w:rPr>
          <w:rFonts w:hint="eastAsia" w:cs="宋体"/>
          <w:sz w:val="24"/>
        </w:rPr>
        <w:t xml:space="preserve"> </w:t>
      </w:r>
    </w:p>
    <w:p>
      <w:pPr>
        <w:keepNext/>
        <w:keepLines/>
        <w:spacing w:before="120" w:beforeLines="50" w:after="120" w:afterLines="50" w:line="415" w:lineRule="auto"/>
        <w:outlineLvl w:val="1"/>
        <w:rPr>
          <w:rFonts w:cs="宋体"/>
          <w:b/>
          <w:bCs/>
          <w:kern w:val="0"/>
          <w:sz w:val="32"/>
          <w:szCs w:val="32"/>
        </w:rPr>
      </w:pPr>
      <w:r>
        <w:rPr>
          <w:rFonts w:hint="eastAsia" w:cs="宋体"/>
          <w:b/>
          <w:bCs/>
          <w:kern w:val="0"/>
          <w:sz w:val="32"/>
          <w:szCs w:val="32"/>
        </w:rPr>
        <w:br w:type="page"/>
      </w:r>
    </w:p>
    <w:p>
      <w:pPr>
        <w:autoSpaceDE w:val="0"/>
        <w:autoSpaceDN w:val="0"/>
        <w:adjustRightInd w:val="0"/>
        <w:snapToGrid w:val="0"/>
        <w:spacing w:line="480" w:lineRule="auto"/>
        <w:jc w:val="center"/>
        <w:rPr>
          <w:rFonts w:cs="宋体"/>
          <w:kern w:val="0"/>
          <w:sz w:val="36"/>
          <w:szCs w:val="36"/>
        </w:rPr>
      </w:pPr>
      <w:r>
        <w:rPr>
          <w:rFonts w:hint="eastAsia" w:cs="宋体"/>
          <w:kern w:val="0"/>
          <w:sz w:val="36"/>
          <w:szCs w:val="36"/>
        </w:rPr>
        <w:t>目 录</w:t>
      </w:r>
    </w:p>
    <w:p>
      <w:pPr>
        <w:autoSpaceDE w:val="0"/>
        <w:autoSpaceDN w:val="0"/>
        <w:adjustRightInd w:val="0"/>
        <w:snapToGrid w:val="0"/>
        <w:spacing w:line="480" w:lineRule="auto"/>
        <w:jc w:val="left"/>
        <w:rPr>
          <w:rFonts w:cs="宋体"/>
          <w:kern w:val="0"/>
          <w:sz w:val="28"/>
          <w:szCs w:val="28"/>
        </w:rPr>
      </w:pPr>
      <w:r>
        <w:rPr>
          <w:rFonts w:hint="eastAsia" w:cs="宋体"/>
          <w:kern w:val="0"/>
          <w:sz w:val="28"/>
          <w:szCs w:val="28"/>
        </w:rPr>
        <w:t>一、商务评分索引表</w:t>
      </w:r>
    </w:p>
    <w:p>
      <w:pPr>
        <w:pStyle w:val="65"/>
        <w:rPr>
          <w:color w:val="auto"/>
          <w:sz w:val="28"/>
          <w:szCs w:val="28"/>
        </w:rPr>
      </w:pPr>
      <w:r>
        <w:rPr>
          <w:rFonts w:hint="eastAsia"/>
          <w:color w:val="auto"/>
          <w:sz w:val="28"/>
          <w:szCs w:val="28"/>
        </w:rPr>
        <w:t>二、商务文件内容</w:t>
      </w:r>
    </w:p>
    <w:p>
      <w:pPr>
        <w:pStyle w:val="65"/>
        <w:rPr>
          <w:color w:val="auto"/>
        </w:rPr>
      </w:pPr>
    </w:p>
    <w:p>
      <w:pPr>
        <w:autoSpaceDE w:val="0"/>
        <w:autoSpaceDN w:val="0"/>
        <w:adjustRightInd w:val="0"/>
        <w:snapToGrid w:val="0"/>
        <w:spacing w:line="480" w:lineRule="auto"/>
        <w:jc w:val="left"/>
        <w:rPr>
          <w:rFonts w:cs="宋体"/>
          <w:bCs/>
          <w:kern w:val="0"/>
          <w:sz w:val="28"/>
          <w:szCs w:val="28"/>
          <w:lang w:bidi="zh-CN"/>
        </w:rPr>
      </w:pPr>
      <w:r>
        <w:rPr>
          <w:rFonts w:hint="eastAsia" w:cs="宋体"/>
          <w:bCs/>
          <w:kern w:val="0"/>
          <w:sz w:val="28"/>
          <w:szCs w:val="28"/>
          <w:lang w:bidi="zh-CN"/>
        </w:rPr>
        <w:t>三、投标人免费提供的主要配件、附件和工具等清单</w:t>
      </w:r>
    </w:p>
    <w:p>
      <w:pPr>
        <w:autoSpaceDE w:val="0"/>
        <w:autoSpaceDN w:val="0"/>
        <w:adjustRightInd w:val="0"/>
        <w:snapToGrid w:val="0"/>
        <w:spacing w:line="480" w:lineRule="auto"/>
        <w:jc w:val="left"/>
        <w:rPr>
          <w:rFonts w:cs="宋体"/>
          <w:kern w:val="0"/>
          <w:sz w:val="28"/>
          <w:szCs w:val="28"/>
        </w:rPr>
      </w:pPr>
      <w:r>
        <w:rPr>
          <w:rFonts w:hint="eastAsia" w:cs="宋体"/>
          <w:kern w:val="0"/>
          <w:sz w:val="28"/>
          <w:szCs w:val="28"/>
        </w:rPr>
        <w:t>四、</w:t>
      </w:r>
      <w:r>
        <w:rPr>
          <w:rFonts w:hint="eastAsia" w:cs="宋体"/>
          <w:bCs/>
          <w:kern w:val="0"/>
          <w:sz w:val="28"/>
          <w:szCs w:val="28"/>
          <w:lang w:bidi="zh-CN"/>
        </w:rPr>
        <w:t>投标人有偿提供的</w:t>
      </w:r>
      <w:r>
        <w:rPr>
          <w:rFonts w:hint="eastAsia"/>
          <w:bCs/>
          <w:sz w:val="28"/>
          <w:szCs w:val="28"/>
          <w:lang w:bidi="zh-CN"/>
        </w:rPr>
        <w:t>易损件及</w:t>
      </w:r>
      <w:r>
        <w:rPr>
          <w:rFonts w:hint="eastAsia" w:cs="宋体"/>
          <w:bCs/>
          <w:kern w:val="0"/>
          <w:sz w:val="28"/>
          <w:szCs w:val="28"/>
          <w:lang w:bidi="zh-CN"/>
        </w:rPr>
        <w:t>常用配件等清单</w:t>
      </w:r>
    </w:p>
    <w:p>
      <w:pPr>
        <w:autoSpaceDE w:val="0"/>
        <w:autoSpaceDN w:val="0"/>
        <w:adjustRightInd w:val="0"/>
        <w:snapToGrid w:val="0"/>
        <w:spacing w:line="480" w:lineRule="auto"/>
        <w:jc w:val="left"/>
        <w:rPr>
          <w:rFonts w:hint="eastAsia" w:cs="宋体"/>
          <w:kern w:val="0"/>
          <w:sz w:val="28"/>
          <w:szCs w:val="28"/>
        </w:rPr>
      </w:pPr>
      <w:r>
        <w:rPr>
          <w:rFonts w:hint="eastAsia" w:cs="宋体"/>
          <w:kern w:val="0"/>
          <w:sz w:val="28"/>
          <w:szCs w:val="28"/>
        </w:rPr>
        <w:t>五、其他</w:t>
      </w:r>
    </w:p>
    <w:p>
      <w:pPr>
        <w:autoSpaceDE w:val="0"/>
        <w:autoSpaceDN w:val="0"/>
        <w:adjustRightInd w:val="0"/>
        <w:snapToGrid w:val="0"/>
        <w:spacing w:line="480" w:lineRule="auto"/>
        <w:jc w:val="left"/>
        <w:rPr>
          <w:rFonts w:hint="eastAsia" w:eastAsia="宋体" w:cs="宋体"/>
          <w:kern w:val="0"/>
          <w:sz w:val="28"/>
          <w:szCs w:val="28"/>
          <w:lang w:val="en-US" w:eastAsia="zh-CN"/>
        </w:rPr>
      </w:pPr>
      <w:r>
        <w:rPr>
          <w:rFonts w:hint="eastAsia" w:cs="宋体"/>
          <w:kern w:val="0"/>
          <w:sz w:val="28"/>
          <w:szCs w:val="28"/>
          <w:lang w:val="en-US" w:eastAsia="zh-CN"/>
        </w:rPr>
        <w:t>六、廉洁承诺书</w:t>
      </w:r>
    </w:p>
    <w:p>
      <w:pPr>
        <w:keepNext/>
        <w:keepLines/>
        <w:spacing w:before="120" w:beforeLines="50" w:after="120" w:afterLines="50" w:line="415" w:lineRule="auto"/>
        <w:jc w:val="center"/>
        <w:outlineLvl w:val="1"/>
        <w:rPr>
          <w:rFonts w:cs="宋体"/>
          <w:kern w:val="0"/>
          <w:sz w:val="28"/>
          <w:szCs w:val="28"/>
        </w:rPr>
      </w:pPr>
    </w:p>
    <w:p>
      <w:pPr>
        <w:autoSpaceDE w:val="0"/>
        <w:autoSpaceDN w:val="0"/>
        <w:adjustRightInd w:val="0"/>
        <w:snapToGrid w:val="0"/>
        <w:spacing w:line="480" w:lineRule="auto"/>
        <w:jc w:val="left"/>
        <w:rPr>
          <w:rFonts w:cs="宋体"/>
          <w:kern w:val="0"/>
          <w:sz w:val="28"/>
          <w:szCs w:val="28"/>
        </w:rPr>
      </w:pPr>
    </w:p>
    <w:p>
      <w:pPr>
        <w:autoSpaceDE w:val="0"/>
        <w:autoSpaceDN w:val="0"/>
        <w:adjustRightInd w:val="0"/>
        <w:snapToGrid w:val="0"/>
        <w:spacing w:line="480" w:lineRule="auto"/>
        <w:jc w:val="left"/>
        <w:rPr>
          <w:rFonts w:cs="宋体"/>
          <w:kern w:val="0"/>
          <w:sz w:val="28"/>
          <w:szCs w:val="28"/>
        </w:rPr>
      </w:pPr>
    </w:p>
    <w:p>
      <w:pPr>
        <w:autoSpaceDE w:val="0"/>
        <w:autoSpaceDN w:val="0"/>
        <w:adjustRightInd w:val="0"/>
        <w:snapToGrid w:val="0"/>
        <w:spacing w:line="480" w:lineRule="auto"/>
        <w:jc w:val="left"/>
        <w:rPr>
          <w:rFonts w:cs="宋体"/>
          <w:kern w:val="0"/>
          <w:sz w:val="28"/>
          <w:szCs w:val="28"/>
        </w:rPr>
      </w:pPr>
    </w:p>
    <w:p>
      <w:pPr>
        <w:autoSpaceDE w:val="0"/>
        <w:autoSpaceDN w:val="0"/>
        <w:adjustRightInd w:val="0"/>
        <w:snapToGrid w:val="0"/>
        <w:spacing w:line="480" w:lineRule="auto"/>
        <w:jc w:val="left"/>
        <w:rPr>
          <w:rFonts w:cs="宋体"/>
          <w:kern w:val="0"/>
          <w:sz w:val="28"/>
          <w:szCs w:val="28"/>
        </w:rPr>
      </w:pPr>
    </w:p>
    <w:p>
      <w:pPr>
        <w:autoSpaceDE w:val="0"/>
        <w:autoSpaceDN w:val="0"/>
        <w:adjustRightInd w:val="0"/>
        <w:snapToGrid w:val="0"/>
        <w:spacing w:line="480" w:lineRule="auto"/>
        <w:jc w:val="left"/>
        <w:rPr>
          <w:rFonts w:cs="宋体"/>
          <w:kern w:val="0"/>
          <w:sz w:val="28"/>
          <w:szCs w:val="28"/>
        </w:rPr>
      </w:pPr>
    </w:p>
    <w:p>
      <w:pPr>
        <w:autoSpaceDE w:val="0"/>
        <w:autoSpaceDN w:val="0"/>
        <w:adjustRightInd w:val="0"/>
        <w:snapToGrid w:val="0"/>
        <w:spacing w:line="480" w:lineRule="auto"/>
        <w:jc w:val="left"/>
        <w:rPr>
          <w:rFonts w:cs="宋体"/>
          <w:kern w:val="0"/>
          <w:sz w:val="28"/>
          <w:szCs w:val="28"/>
        </w:rPr>
      </w:pPr>
    </w:p>
    <w:p>
      <w:pPr>
        <w:autoSpaceDE w:val="0"/>
        <w:autoSpaceDN w:val="0"/>
        <w:adjustRightInd w:val="0"/>
        <w:snapToGrid w:val="0"/>
        <w:spacing w:line="480" w:lineRule="auto"/>
        <w:jc w:val="left"/>
        <w:rPr>
          <w:rFonts w:cs="宋体"/>
          <w:kern w:val="0"/>
          <w:sz w:val="28"/>
          <w:szCs w:val="28"/>
        </w:rPr>
      </w:pPr>
    </w:p>
    <w:p>
      <w:pPr>
        <w:autoSpaceDE w:val="0"/>
        <w:autoSpaceDN w:val="0"/>
        <w:adjustRightInd w:val="0"/>
        <w:snapToGrid w:val="0"/>
        <w:spacing w:line="480" w:lineRule="auto"/>
        <w:jc w:val="left"/>
        <w:rPr>
          <w:rFonts w:cs="宋体"/>
          <w:kern w:val="0"/>
          <w:sz w:val="28"/>
          <w:szCs w:val="28"/>
        </w:rPr>
      </w:pPr>
    </w:p>
    <w:p>
      <w:pPr>
        <w:spacing w:line="360" w:lineRule="auto"/>
        <w:jc w:val="center"/>
        <w:rPr>
          <w:rFonts w:cs="宋体"/>
          <w:b/>
          <w:bCs/>
          <w:sz w:val="28"/>
          <w:szCs w:val="28"/>
          <w:lang w:bidi="zh-CN"/>
        </w:rPr>
      </w:pPr>
    </w:p>
    <w:p>
      <w:pPr>
        <w:spacing w:line="360" w:lineRule="auto"/>
        <w:jc w:val="center"/>
        <w:rPr>
          <w:rFonts w:cs="宋体"/>
          <w:b/>
          <w:bCs/>
          <w:sz w:val="28"/>
          <w:szCs w:val="28"/>
          <w:lang w:bidi="zh-CN"/>
        </w:rPr>
      </w:pPr>
      <w:r>
        <w:rPr>
          <w:rFonts w:hint="eastAsia" w:cs="宋体"/>
          <w:b/>
          <w:bCs/>
          <w:sz w:val="28"/>
          <w:szCs w:val="28"/>
          <w:lang w:bidi="zh-CN"/>
        </w:rPr>
        <w:t>一、商务评分索引表</w:t>
      </w:r>
    </w:p>
    <w:p>
      <w:pPr>
        <w:autoSpaceDE w:val="0"/>
        <w:autoSpaceDN w:val="0"/>
        <w:adjustRightInd w:val="0"/>
        <w:snapToGrid w:val="0"/>
        <w:spacing w:line="480" w:lineRule="auto"/>
        <w:rPr>
          <w:rFonts w:cs="宋体"/>
          <w:kern w:val="0"/>
          <w:sz w:val="24"/>
          <w:szCs w:val="24"/>
        </w:rPr>
      </w:pPr>
      <w:r>
        <w:rPr>
          <w:rFonts w:hint="eastAsia" w:cs="宋体"/>
          <w:kern w:val="0"/>
          <w:sz w:val="24"/>
          <w:szCs w:val="24"/>
        </w:rPr>
        <w:t>项目名称：</w:t>
      </w:r>
      <w:r>
        <w:rPr>
          <w:rFonts w:hint="eastAsia" w:cs="宋体"/>
          <w:kern w:val="0"/>
          <w:sz w:val="24"/>
          <w:szCs w:val="24"/>
          <w:u w:val="single"/>
        </w:rPr>
        <w:t xml:space="preserve">                  </w:t>
      </w:r>
      <w:r>
        <w:rPr>
          <w:rFonts w:hint="eastAsia" w:cs="宋体"/>
          <w:kern w:val="0"/>
          <w:sz w:val="24"/>
          <w:szCs w:val="24"/>
        </w:rPr>
        <w:t xml:space="preserve">        招标编号：</w:t>
      </w:r>
      <w:r>
        <w:rPr>
          <w:rFonts w:hint="eastAsia" w:cs="宋体"/>
          <w:kern w:val="0"/>
          <w:sz w:val="24"/>
          <w:szCs w:val="24"/>
          <w:u w:val="single"/>
        </w:rPr>
        <w:t xml:space="preserve">                      </w:t>
      </w:r>
    </w:p>
    <w:tbl>
      <w:tblPr>
        <w:tblStyle w:val="28"/>
        <w:tblW w:w="85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6924"/>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6" w:hRule="atLeast"/>
        </w:trPr>
        <w:tc>
          <w:tcPr>
            <w:tcW w:w="747"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序号</w:t>
            </w:r>
          </w:p>
        </w:tc>
        <w:tc>
          <w:tcPr>
            <w:tcW w:w="6924" w:type="dxa"/>
            <w:tcBorders>
              <w:top w:val="single" w:color="auto" w:sz="4" w:space="0"/>
              <w:left w:val="nil"/>
              <w:bottom w:val="single" w:color="auto" w:sz="4" w:space="0"/>
              <w:right w:val="single" w:color="auto" w:sz="4" w:space="0"/>
            </w:tcBorders>
            <w:vAlign w:val="center"/>
          </w:tcPr>
          <w:p>
            <w:pPr>
              <w:jc w:val="center"/>
              <w:rPr>
                <w:rFonts w:cs="宋体"/>
                <w:sz w:val="24"/>
              </w:rPr>
            </w:pPr>
            <w:r>
              <w:rPr>
                <w:rFonts w:hint="eastAsia" w:cs="宋体"/>
                <w:sz w:val="24"/>
              </w:rPr>
              <w:t>评审项目</w:t>
            </w:r>
          </w:p>
        </w:tc>
        <w:tc>
          <w:tcPr>
            <w:tcW w:w="861" w:type="dxa"/>
            <w:tcBorders>
              <w:top w:val="single" w:color="auto" w:sz="4" w:space="0"/>
              <w:left w:val="nil"/>
              <w:bottom w:val="single" w:color="auto" w:sz="4" w:space="0"/>
              <w:right w:val="single" w:color="auto" w:sz="4" w:space="0"/>
            </w:tcBorders>
            <w:vAlign w:val="center"/>
          </w:tcPr>
          <w:p>
            <w:pPr>
              <w:jc w:val="center"/>
              <w:rPr>
                <w:rFonts w:cs="宋体"/>
                <w:sz w:val="24"/>
              </w:rPr>
            </w:pPr>
            <w:r>
              <w:rPr>
                <w:rFonts w:hint="eastAsia" w:cs="宋体"/>
                <w:sz w:val="24"/>
              </w:rPr>
              <w:t>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sz w:val="24"/>
              </w:rPr>
            </w:pPr>
            <w:r>
              <w:rPr>
                <w:rFonts w:hint="eastAsia" w:cs="Arial"/>
                <w:bCs/>
                <w:sz w:val="24"/>
                <w:szCs w:val="24"/>
              </w:rPr>
              <w:t>2</w:t>
            </w:r>
            <w:r>
              <w:rPr>
                <w:rFonts w:cs="Arial"/>
                <w:bCs/>
                <w:sz w:val="24"/>
                <w:szCs w:val="24"/>
              </w:rPr>
              <w:t>-1</w:t>
            </w:r>
          </w:p>
        </w:tc>
        <w:tc>
          <w:tcPr>
            <w:tcW w:w="6924" w:type="dxa"/>
            <w:tcBorders>
              <w:top w:val="single" w:color="auto" w:sz="4" w:space="0"/>
              <w:left w:val="nil"/>
              <w:bottom w:val="single" w:color="auto" w:sz="4" w:space="0"/>
              <w:right w:val="single" w:color="auto" w:sz="4" w:space="0"/>
            </w:tcBorders>
            <w:vAlign w:val="center"/>
          </w:tcPr>
          <w:p>
            <w:pPr>
              <w:spacing w:line="360" w:lineRule="auto"/>
              <w:rPr>
                <w:sz w:val="24"/>
                <w:szCs w:val="24"/>
              </w:rPr>
            </w:pPr>
            <w:r>
              <w:rPr>
                <w:rFonts w:hint="eastAsia"/>
                <w:sz w:val="24"/>
                <w:szCs w:val="24"/>
              </w:rPr>
              <w:t>投标人综合实力如：同类设备的</w:t>
            </w:r>
            <w:r>
              <w:rPr>
                <w:sz w:val="24"/>
                <w:szCs w:val="24"/>
              </w:rPr>
              <w:t>年度</w:t>
            </w:r>
            <w:r>
              <w:rPr>
                <w:rFonts w:hint="eastAsia"/>
                <w:sz w:val="24"/>
                <w:szCs w:val="24"/>
              </w:rPr>
              <w:t>销售收入、注册资本、企业规模、制造加工能力、财务报表状况、获奖状况等。</w:t>
            </w:r>
          </w:p>
          <w:p>
            <w:pPr>
              <w:spacing w:line="420" w:lineRule="exact"/>
            </w:pPr>
            <w:r>
              <w:rPr>
                <w:rFonts w:hint="eastAsia"/>
                <w:sz w:val="24"/>
                <w:szCs w:val="24"/>
              </w:rPr>
              <w:t>投标人须提供能展示企业综合实力的详细资料，包括但不限于企业规模介绍、销售情况、良好的财务状况、行业获奖情况、有履行合同所必需的设备和专业技术能力等材料。</w:t>
            </w:r>
          </w:p>
        </w:tc>
        <w:tc>
          <w:tcPr>
            <w:tcW w:w="861" w:type="dxa"/>
            <w:tcBorders>
              <w:top w:val="single" w:color="auto" w:sz="4" w:space="0"/>
              <w:left w:val="nil"/>
              <w:bottom w:val="single" w:color="auto" w:sz="4" w:space="0"/>
              <w:right w:val="single" w:color="auto" w:sz="4" w:space="0"/>
            </w:tcBorders>
            <w:vAlign w:val="center"/>
          </w:tcPr>
          <w:p>
            <w:pPr>
              <w:spacing w:line="360" w:lineRule="auto"/>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9" w:hRule="atLeast"/>
        </w:trPr>
        <w:tc>
          <w:tcPr>
            <w:tcW w:w="7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sz w:val="24"/>
              </w:rPr>
            </w:pPr>
            <w:r>
              <w:rPr>
                <w:rFonts w:hint="eastAsia" w:cs="Arial"/>
                <w:bCs/>
                <w:sz w:val="24"/>
                <w:szCs w:val="24"/>
              </w:rPr>
              <w:t>2</w:t>
            </w:r>
            <w:r>
              <w:rPr>
                <w:rFonts w:cs="Arial"/>
                <w:bCs/>
                <w:sz w:val="24"/>
                <w:szCs w:val="24"/>
              </w:rPr>
              <w:t>-2</w:t>
            </w:r>
          </w:p>
        </w:tc>
        <w:tc>
          <w:tcPr>
            <w:tcW w:w="6924" w:type="dxa"/>
            <w:tcBorders>
              <w:top w:val="single" w:color="auto" w:sz="4" w:space="0"/>
              <w:left w:val="nil"/>
              <w:bottom w:val="single" w:color="auto" w:sz="4" w:space="0"/>
              <w:right w:val="single" w:color="auto" w:sz="4" w:space="0"/>
            </w:tcBorders>
            <w:vAlign w:val="center"/>
          </w:tcPr>
          <w:p>
            <w:pPr>
              <w:spacing w:line="420" w:lineRule="exact"/>
              <w:rPr>
                <w:rFonts w:cs="宋体"/>
                <w:sz w:val="24"/>
              </w:rPr>
            </w:pPr>
            <w:r>
              <w:rPr>
                <w:rFonts w:hint="eastAsia"/>
                <w:sz w:val="24"/>
                <w:szCs w:val="24"/>
              </w:rPr>
              <w:t>依据投标人提供的投标产品的品牌知名度进行横向对比并综合评分，</w:t>
            </w:r>
          </w:p>
        </w:tc>
        <w:tc>
          <w:tcPr>
            <w:tcW w:w="861" w:type="dxa"/>
            <w:tcBorders>
              <w:top w:val="single" w:color="auto" w:sz="4" w:space="0"/>
              <w:left w:val="nil"/>
              <w:bottom w:val="single" w:color="auto" w:sz="4" w:space="0"/>
              <w:right w:val="single" w:color="auto" w:sz="4" w:space="0"/>
            </w:tcBorders>
            <w:vAlign w:val="center"/>
          </w:tcPr>
          <w:p>
            <w:pPr>
              <w:spacing w:line="360" w:lineRule="auto"/>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Arial"/>
                <w:bCs/>
                <w:sz w:val="24"/>
                <w:szCs w:val="24"/>
              </w:rPr>
            </w:pPr>
            <w:r>
              <w:rPr>
                <w:rFonts w:hint="eastAsia" w:cs="Arial"/>
                <w:bCs/>
                <w:sz w:val="24"/>
                <w:szCs w:val="24"/>
              </w:rPr>
              <w:t>2</w:t>
            </w:r>
            <w:r>
              <w:rPr>
                <w:rFonts w:cs="Arial"/>
                <w:bCs/>
                <w:sz w:val="24"/>
                <w:szCs w:val="24"/>
              </w:rPr>
              <w:t>-</w:t>
            </w:r>
            <w:r>
              <w:rPr>
                <w:rFonts w:hint="eastAsia" w:cs="Arial"/>
                <w:bCs/>
                <w:sz w:val="24"/>
                <w:szCs w:val="24"/>
              </w:rPr>
              <w:t>3</w:t>
            </w:r>
          </w:p>
        </w:tc>
        <w:tc>
          <w:tcPr>
            <w:tcW w:w="6924" w:type="dxa"/>
            <w:tcBorders>
              <w:top w:val="single" w:color="auto" w:sz="4" w:space="0"/>
              <w:left w:val="nil"/>
              <w:bottom w:val="single" w:color="auto" w:sz="4" w:space="0"/>
              <w:right w:val="single" w:color="auto" w:sz="4" w:space="0"/>
            </w:tcBorders>
            <w:vAlign w:val="center"/>
          </w:tcPr>
          <w:p>
            <w:pPr>
              <w:spacing w:line="420" w:lineRule="exact"/>
              <w:rPr>
                <w:rFonts w:cs="宋体"/>
                <w:sz w:val="24"/>
                <w:szCs w:val="24"/>
              </w:rPr>
            </w:pPr>
            <w:r>
              <w:rPr>
                <w:rFonts w:hint="eastAsia"/>
                <w:sz w:val="24"/>
                <w:szCs w:val="24"/>
              </w:rPr>
              <w:t>依据投标人提供商务文件中的“三、</w:t>
            </w:r>
            <w:r>
              <w:rPr>
                <w:rFonts w:hint="eastAsia"/>
                <w:bCs/>
                <w:sz w:val="24"/>
                <w:szCs w:val="24"/>
                <w:lang w:bidi="zh-CN"/>
              </w:rPr>
              <w:t>投标人提供的随机配件、附件和工具等清单</w:t>
            </w:r>
            <w:r>
              <w:rPr>
                <w:rFonts w:hint="eastAsia"/>
                <w:sz w:val="24"/>
                <w:szCs w:val="24"/>
              </w:rPr>
              <w:t>”和“</w:t>
            </w:r>
            <w:r>
              <w:rPr>
                <w:rFonts w:hint="eastAsia"/>
                <w:bCs/>
                <w:sz w:val="24"/>
                <w:szCs w:val="24"/>
                <w:lang w:bidi="zh-CN"/>
              </w:rPr>
              <w:t>四、设备运行日常需更换的易损件及维修配件等清单</w:t>
            </w:r>
            <w:r>
              <w:rPr>
                <w:rFonts w:hint="eastAsia"/>
                <w:sz w:val="24"/>
                <w:szCs w:val="24"/>
              </w:rPr>
              <w:t>”的详细情况及价格情况进行评价，</w:t>
            </w:r>
          </w:p>
        </w:tc>
        <w:tc>
          <w:tcPr>
            <w:tcW w:w="861" w:type="dxa"/>
            <w:tcBorders>
              <w:top w:val="single" w:color="auto" w:sz="4" w:space="0"/>
              <w:left w:val="nil"/>
              <w:bottom w:val="single" w:color="auto" w:sz="4" w:space="0"/>
              <w:right w:val="single" w:color="auto" w:sz="4" w:space="0"/>
            </w:tcBorders>
            <w:vAlign w:val="center"/>
          </w:tcPr>
          <w:p>
            <w:pPr>
              <w:spacing w:line="360" w:lineRule="auto"/>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sz w:val="24"/>
              </w:rPr>
            </w:pPr>
            <w:r>
              <w:rPr>
                <w:rFonts w:hint="eastAsia" w:cs="Arial"/>
                <w:bCs/>
                <w:sz w:val="24"/>
                <w:szCs w:val="24"/>
              </w:rPr>
              <w:t>2-4</w:t>
            </w:r>
          </w:p>
        </w:tc>
        <w:tc>
          <w:tcPr>
            <w:tcW w:w="6924" w:type="dxa"/>
            <w:tcBorders>
              <w:top w:val="single" w:color="auto" w:sz="4" w:space="0"/>
              <w:left w:val="nil"/>
              <w:bottom w:val="single" w:color="auto" w:sz="4" w:space="0"/>
              <w:right w:val="single" w:color="auto" w:sz="4" w:space="0"/>
            </w:tcBorders>
            <w:vAlign w:val="center"/>
          </w:tcPr>
          <w:p>
            <w:pPr>
              <w:spacing w:line="420" w:lineRule="exact"/>
              <w:rPr>
                <w:rFonts w:cs="宋体"/>
                <w:sz w:val="24"/>
              </w:rPr>
            </w:pPr>
            <w:r>
              <w:rPr>
                <w:rFonts w:hint="eastAsia"/>
                <w:bCs/>
                <w:sz w:val="24"/>
                <w:szCs w:val="24"/>
              </w:rPr>
              <w:t>质保期限</w:t>
            </w:r>
          </w:p>
        </w:tc>
        <w:tc>
          <w:tcPr>
            <w:tcW w:w="861" w:type="dxa"/>
            <w:tcBorders>
              <w:top w:val="single" w:color="auto" w:sz="4" w:space="0"/>
              <w:left w:val="nil"/>
              <w:bottom w:val="single" w:color="auto" w:sz="4" w:space="0"/>
              <w:right w:val="single" w:color="auto" w:sz="4" w:space="0"/>
            </w:tcBorders>
            <w:vAlign w:val="center"/>
          </w:tcPr>
          <w:p>
            <w:pPr>
              <w:spacing w:line="360" w:lineRule="auto"/>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sz w:val="24"/>
              </w:rPr>
            </w:pPr>
            <w:r>
              <w:rPr>
                <w:rFonts w:hint="eastAsia" w:cs="Arial"/>
                <w:bCs/>
                <w:sz w:val="24"/>
                <w:szCs w:val="24"/>
              </w:rPr>
              <w:t>2-5</w:t>
            </w:r>
          </w:p>
        </w:tc>
        <w:tc>
          <w:tcPr>
            <w:tcW w:w="6924" w:type="dxa"/>
            <w:tcBorders>
              <w:top w:val="single" w:color="auto" w:sz="4" w:space="0"/>
              <w:left w:val="nil"/>
              <w:bottom w:val="single" w:color="auto" w:sz="4" w:space="0"/>
              <w:right w:val="single" w:color="auto" w:sz="4" w:space="0"/>
            </w:tcBorders>
            <w:vAlign w:val="center"/>
          </w:tcPr>
          <w:p>
            <w:pPr>
              <w:spacing w:line="360" w:lineRule="auto"/>
              <w:rPr>
                <w:spacing w:val="-8"/>
                <w:sz w:val="24"/>
                <w:szCs w:val="24"/>
              </w:rPr>
            </w:pPr>
            <w:r>
              <w:rPr>
                <w:rFonts w:hint="eastAsia" w:cs="宋体"/>
                <w:sz w:val="24"/>
                <w:szCs w:val="24"/>
              </w:rPr>
              <w:t>投标人2022年1月1日至开标当日同类产品业绩(进口品牌机床)大修业绩（以合同签订时间为准）进行评价：</w:t>
            </w:r>
            <w:r>
              <w:rPr>
                <w:rFonts w:hint="eastAsia"/>
                <w:spacing w:val="-8"/>
                <w:sz w:val="24"/>
                <w:szCs w:val="24"/>
              </w:rPr>
              <w:t>投标人每提供一台同规格（或以上规格）的销售合同及相关发票复印件</w:t>
            </w:r>
          </w:p>
          <w:p>
            <w:pPr>
              <w:spacing w:line="420" w:lineRule="exact"/>
              <w:rPr>
                <w:rFonts w:cs="宋体"/>
                <w:sz w:val="24"/>
              </w:rPr>
            </w:pPr>
            <w:r>
              <w:rPr>
                <w:rFonts w:hint="eastAsia"/>
                <w:sz w:val="24"/>
                <w:szCs w:val="24"/>
              </w:rPr>
              <w:t>投标人需提供业绩表、合同复印件、相关发票复印件等，并加盖单位公章。</w:t>
            </w:r>
          </w:p>
        </w:tc>
        <w:tc>
          <w:tcPr>
            <w:tcW w:w="861" w:type="dxa"/>
            <w:tcBorders>
              <w:top w:val="single" w:color="auto" w:sz="4" w:space="0"/>
              <w:left w:val="nil"/>
              <w:bottom w:val="single" w:color="auto" w:sz="4" w:space="0"/>
              <w:right w:val="single" w:color="auto" w:sz="4" w:space="0"/>
            </w:tcBorders>
            <w:vAlign w:val="center"/>
          </w:tcPr>
          <w:p>
            <w:pPr>
              <w:spacing w:line="360" w:lineRule="auto"/>
              <w:jc w:val="center"/>
              <w:rPr>
                <w:rFonts w:cs="宋体"/>
                <w:sz w:val="24"/>
              </w:rPr>
            </w:pPr>
          </w:p>
        </w:tc>
      </w:tr>
    </w:tbl>
    <w:p>
      <w:pPr>
        <w:autoSpaceDE w:val="0"/>
        <w:autoSpaceDN w:val="0"/>
        <w:adjustRightInd w:val="0"/>
        <w:spacing w:line="480" w:lineRule="auto"/>
        <w:jc w:val="right"/>
        <w:rPr>
          <w:rFonts w:cs="宋体"/>
          <w:sz w:val="24"/>
          <w:szCs w:val="24"/>
        </w:rPr>
      </w:pPr>
      <w:r>
        <w:rPr>
          <w:rFonts w:hint="eastAsia" w:cs="宋体"/>
          <w:sz w:val="24"/>
          <w:szCs w:val="24"/>
        </w:rPr>
        <w:t>投标人：</w:t>
      </w:r>
      <w:r>
        <w:rPr>
          <w:rFonts w:hint="eastAsia" w:cs="宋体"/>
          <w:sz w:val="24"/>
          <w:szCs w:val="24"/>
          <w:u w:val="single"/>
        </w:rPr>
        <w:t xml:space="preserve">                 </w:t>
      </w:r>
      <w:r>
        <w:rPr>
          <w:rFonts w:hint="eastAsia" w:cs="宋体"/>
          <w:sz w:val="24"/>
          <w:szCs w:val="24"/>
        </w:rPr>
        <w:t>（盖单位公章）</w:t>
      </w:r>
    </w:p>
    <w:p>
      <w:pPr>
        <w:autoSpaceDE w:val="0"/>
        <w:autoSpaceDN w:val="0"/>
        <w:adjustRightInd w:val="0"/>
        <w:snapToGrid w:val="0"/>
        <w:spacing w:line="480" w:lineRule="auto"/>
        <w:jc w:val="right"/>
        <w:rPr>
          <w:rFonts w:cs="宋体"/>
          <w:kern w:val="0"/>
          <w:sz w:val="28"/>
          <w:szCs w:val="28"/>
        </w:rPr>
      </w:pPr>
      <w:r>
        <w:rPr>
          <w:rFonts w:hint="eastAsia" w:cs="宋体"/>
          <w:kern w:val="0"/>
          <w:sz w:val="24"/>
          <w:szCs w:val="24"/>
          <w:u w:val="single"/>
          <w:lang w:val="zh-CN" w:bidi="zh-CN"/>
        </w:rPr>
        <w:t xml:space="preserve">         </w:t>
      </w:r>
      <w:r>
        <w:rPr>
          <w:rFonts w:hint="eastAsia" w:cs="宋体"/>
          <w:kern w:val="0"/>
          <w:sz w:val="24"/>
          <w:szCs w:val="24"/>
          <w:lang w:val="zh-CN" w:bidi="zh-CN"/>
        </w:rPr>
        <w:t>年</w:t>
      </w:r>
      <w:r>
        <w:rPr>
          <w:rFonts w:hint="eastAsia" w:cs="宋体"/>
          <w:kern w:val="0"/>
          <w:sz w:val="24"/>
          <w:szCs w:val="24"/>
          <w:u w:val="single"/>
          <w:lang w:val="zh-CN" w:bidi="zh-CN"/>
        </w:rPr>
        <w:t xml:space="preserve">    </w:t>
      </w:r>
      <w:r>
        <w:rPr>
          <w:rFonts w:hint="eastAsia" w:cs="宋体"/>
          <w:kern w:val="0"/>
          <w:sz w:val="24"/>
          <w:szCs w:val="24"/>
          <w:u w:val="single"/>
          <w:lang w:bidi="zh-CN"/>
        </w:rPr>
        <w:t xml:space="preserve"> </w:t>
      </w:r>
      <w:r>
        <w:rPr>
          <w:rFonts w:hint="eastAsia" w:cs="宋体"/>
          <w:kern w:val="0"/>
          <w:sz w:val="24"/>
          <w:szCs w:val="24"/>
          <w:u w:val="single"/>
          <w:lang w:val="zh-CN" w:bidi="zh-CN"/>
        </w:rPr>
        <w:t xml:space="preserve">  </w:t>
      </w:r>
      <w:r>
        <w:rPr>
          <w:rFonts w:hint="eastAsia" w:cs="宋体"/>
          <w:kern w:val="0"/>
          <w:sz w:val="24"/>
          <w:szCs w:val="24"/>
          <w:lang w:val="zh-CN" w:bidi="zh-CN"/>
        </w:rPr>
        <w:t>月</w:t>
      </w:r>
      <w:r>
        <w:rPr>
          <w:rFonts w:hint="eastAsia" w:cs="宋体"/>
          <w:kern w:val="0"/>
          <w:sz w:val="24"/>
          <w:szCs w:val="24"/>
          <w:u w:val="single"/>
          <w:lang w:val="zh-CN" w:bidi="zh-CN"/>
        </w:rPr>
        <w:t xml:space="preserve">      </w:t>
      </w:r>
      <w:r>
        <w:rPr>
          <w:rFonts w:hint="eastAsia" w:cs="宋体"/>
          <w:kern w:val="0"/>
          <w:sz w:val="24"/>
          <w:szCs w:val="24"/>
          <w:lang w:val="zh-CN" w:bidi="zh-CN"/>
        </w:rPr>
        <w:t>日</w:t>
      </w:r>
    </w:p>
    <w:p>
      <w:pPr>
        <w:spacing w:line="360" w:lineRule="auto"/>
        <w:rPr>
          <w:rFonts w:cs="宋体"/>
          <w:b/>
          <w:bCs/>
          <w:sz w:val="28"/>
          <w:szCs w:val="28"/>
          <w:lang w:bidi="zh-CN"/>
        </w:rPr>
      </w:pPr>
    </w:p>
    <w:p>
      <w:pPr>
        <w:spacing w:line="360" w:lineRule="auto"/>
        <w:jc w:val="center"/>
        <w:rPr>
          <w:rFonts w:cs="宋体"/>
          <w:b/>
          <w:bCs/>
          <w:sz w:val="28"/>
          <w:szCs w:val="28"/>
          <w:lang w:bidi="zh-CN"/>
        </w:rPr>
      </w:pPr>
    </w:p>
    <w:p>
      <w:pPr>
        <w:spacing w:line="360" w:lineRule="auto"/>
        <w:jc w:val="center"/>
        <w:rPr>
          <w:rFonts w:cs="宋体"/>
          <w:b/>
          <w:bCs/>
          <w:sz w:val="28"/>
          <w:szCs w:val="28"/>
          <w:lang w:bidi="zh-CN"/>
        </w:rPr>
      </w:pPr>
      <w:r>
        <w:rPr>
          <w:rFonts w:hint="eastAsia" w:cs="宋体"/>
          <w:b/>
          <w:bCs/>
          <w:sz w:val="28"/>
          <w:szCs w:val="28"/>
          <w:lang w:bidi="zh-CN"/>
        </w:rPr>
        <w:t>二、商务文件内容</w:t>
      </w:r>
    </w:p>
    <w:p>
      <w:pPr>
        <w:spacing w:line="360" w:lineRule="auto"/>
        <w:rPr>
          <w:rFonts w:cs="宋体"/>
          <w:sz w:val="24"/>
        </w:rPr>
      </w:pPr>
    </w:p>
    <w:p>
      <w:pPr>
        <w:spacing w:line="360" w:lineRule="auto"/>
        <w:rPr>
          <w:rFonts w:cs="宋体"/>
          <w:sz w:val="24"/>
        </w:rPr>
      </w:pPr>
      <w:r>
        <w:rPr>
          <w:rFonts w:hint="eastAsia" w:cs="宋体"/>
          <w:sz w:val="24"/>
        </w:rPr>
        <w:t>项目名称：</w:t>
      </w:r>
      <w:r>
        <w:rPr>
          <w:rFonts w:hint="eastAsia" w:cs="宋体"/>
          <w:sz w:val="24"/>
          <w:u w:val="single"/>
        </w:rPr>
        <w:t xml:space="preserve">                      </w:t>
      </w:r>
      <w:r>
        <w:rPr>
          <w:rFonts w:hint="eastAsia" w:cs="宋体"/>
          <w:sz w:val="24"/>
        </w:rPr>
        <w:t xml:space="preserve">        招标编号：</w:t>
      </w:r>
      <w:r>
        <w:rPr>
          <w:rFonts w:hint="eastAsia" w:cs="宋体"/>
          <w:sz w:val="24"/>
          <w:u w:val="single"/>
        </w:rPr>
        <w:t xml:space="preserve">                  </w:t>
      </w:r>
    </w:p>
    <w:p>
      <w:pPr>
        <w:spacing w:line="360" w:lineRule="auto"/>
        <w:ind w:firstLine="480"/>
        <w:jc w:val="center"/>
        <w:rPr>
          <w:rFonts w:cs="宋体"/>
          <w:sz w:val="24"/>
        </w:rPr>
      </w:pPr>
      <w:r>
        <w:rPr>
          <w:rFonts w:hint="eastAsia" w:cs="宋体"/>
          <w:sz w:val="24"/>
        </w:rPr>
        <w:t xml:space="preserve"> </w:t>
      </w:r>
    </w:p>
    <w:p>
      <w:pPr>
        <w:spacing w:line="360" w:lineRule="auto"/>
        <w:jc w:val="left"/>
        <w:rPr>
          <w:rFonts w:cs="宋体"/>
          <w:sz w:val="24"/>
        </w:rPr>
      </w:pPr>
      <w:r>
        <w:rPr>
          <w:rFonts w:hint="eastAsia" w:cs="宋体"/>
          <w:sz w:val="24"/>
        </w:rPr>
        <w:t>注：1、投标人商务文件格式自拟，其中投标人综合实力应按“2.1投标人综合情况表进行编制”。</w:t>
      </w:r>
    </w:p>
    <w:p>
      <w:pPr>
        <w:autoSpaceDE w:val="0"/>
        <w:autoSpaceDN w:val="0"/>
        <w:adjustRightInd w:val="0"/>
        <w:spacing w:line="480" w:lineRule="auto"/>
        <w:jc w:val="right"/>
        <w:rPr>
          <w:rFonts w:cs="宋体"/>
          <w:sz w:val="24"/>
          <w:szCs w:val="24"/>
        </w:rPr>
      </w:pPr>
    </w:p>
    <w:p>
      <w:pPr>
        <w:autoSpaceDE w:val="0"/>
        <w:autoSpaceDN w:val="0"/>
        <w:adjustRightInd w:val="0"/>
        <w:spacing w:line="480" w:lineRule="auto"/>
        <w:jc w:val="right"/>
        <w:rPr>
          <w:rFonts w:cs="宋体"/>
          <w:sz w:val="24"/>
          <w:szCs w:val="24"/>
        </w:rPr>
      </w:pPr>
    </w:p>
    <w:p>
      <w:pPr>
        <w:autoSpaceDE w:val="0"/>
        <w:autoSpaceDN w:val="0"/>
        <w:adjustRightInd w:val="0"/>
        <w:spacing w:line="480" w:lineRule="auto"/>
        <w:jc w:val="right"/>
        <w:rPr>
          <w:rFonts w:cs="宋体"/>
          <w:sz w:val="24"/>
          <w:szCs w:val="24"/>
        </w:rPr>
      </w:pPr>
    </w:p>
    <w:p>
      <w:pPr>
        <w:autoSpaceDE w:val="0"/>
        <w:autoSpaceDN w:val="0"/>
        <w:adjustRightInd w:val="0"/>
        <w:snapToGrid w:val="0"/>
        <w:spacing w:line="480" w:lineRule="auto"/>
        <w:jc w:val="right"/>
        <w:rPr>
          <w:rFonts w:cs="宋体"/>
          <w:sz w:val="24"/>
          <w:szCs w:val="24"/>
        </w:rPr>
      </w:pPr>
      <w:r>
        <w:rPr>
          <w:rFonts w:hint="eastAsia" w:cs="宋体"/>
          <w:sz w:val="24"/>
          <w:szCs w:val="24"/>
        </w:rPr>
        <w:t>投标人：</w:t>
      </w:r>
      <w:r>
        <w:rPr>
          <w:rFonts w:hint="eastAsia" w:cs="宋体"/>
          <w:sz w:val="24"/>
          <w:szCs w:val="24"/>
          <w:u w:val="single"/>
        </w:rPr>
        <w:t xml:space="preserve">                 </w:t>
      </w:r>
      <w:r>
        <w:rPr>
          <w:rFonts w:hint="eastAsia" w:cs="宋体"/>
          <w:sz w:val="24"/>
          <w:szCs w:val="24"/>
        </w:rPr>
        <w:t>（盖单位公章）</w:t>
      </w:r>
    </w:p>
    <w:p>
      <w:pPr>
        <w:autoSpaceDE w:val="0"/>
        <w:autoSpaceDN w:val="0"/>
        <w:adjustRightInd w:val="0"/>
        <w:snapToGrid w:val="0"/>
        <w:spacing w:line="480" w:lineRule="auto"/>
        <w:jc w:val="right"/>
        <w:rPr>
          <w:rFonts w:cs="宋体"/>
          <w:kern w:val="0"/>
          <w:sz w:val="24"/>
          <w:szCs w:val="24"/>
          <w:lang w:val="zh-CN" w:bidi="zh-CN"/>
        </w:rPr>
      </w:pPr>
      <w:r>
        <w:rPr>
          <w:rFonts w:hint="eastAsia" w:cs="宋体"/>
          <w:kern w:val="0"/>
          <w:sz w:val="24"/>
          <w:szCs w:val="24"/>
          <w:u w:val="single"/>
          <w:lang w:val="zh-CN" w:bidi="zh-CN"/>
        </w:rPr>
        <w:t xml:space="preserve">         </w:t>
      </w:r>
      <w:r>
        <w:rPr>
          <w:rFonts w:hint="eastAsia" w:cs="宋体"/>
          <w:kern w:val="0"/>
          <w:sz w:val="24"/>
          <w:szCs w:val="24"/>
          <w:lang w:val="zh-CN" w:bidi="zh-CN"/>
        </w:rPr>
        <w:t>年</w:t>
      </w:r>
      <w:r>
        <w:rPr>
          <w:rFonts w:hint="eastAsia" w:cs="宋体"/>
          <w:kern w:val="0"/>
          <w:sz w:val="24"/>
          <w:szCs w:val="24"/>
          <w:u w:val="single"/>
          <w:lang w:val="zh-CN" w:bidi="zh-CN"/>
        </w:rPr>
        <w:t xml:space="preserve">    </w:t>
      </w:r>
      <w:r>
        <w:rPr>
          <w:rFonts w:hint="eastAsia" w:cs="宋体"/>
          <w:kern w:val="0"/>
          <w:sz w:val="24"/>
          <w:szCs w:val="24"/>
          <w:u w:val="single"/>
          <w:lang w:bidi="zh-CN"/>
        </w:rPr>
        <w:t xml:space="preserve"> </w:t>
      </w:r>
      <w:r>
        <w:rPr>
          <w:rFonts w:hint="eastAsia" w:cs="宋体"/>
          <w:kern w:val="0"/>
          <w:sz w:val="24"/>
          <w:szCs w:val="24"/>
          <w:u w:val="single"/>
          <w:lang w:val="zh-CN" w:bidi="zh-CN"/>
        </w:rPr>
        <w:t xml:space="preserve">  </w:t>
      </w:r>
      <w:r>
        <w:rPr>
          <w:rFonts w:hint="eastAsia" w:cs="宋体"/>
          <w:kern w:val="0"/>
          <w:sz w:val="24"/>
          <w:szCs w:val="24"/>
          <w:lang w:val="zh-CN" w:bidi="zh-CN"/>
        </w:rPr>
        <w:t>月</w:t>
      </w:r>
      <w:r>
        <w:rPr>
          <w:rFonts w:hint="eastAsia" w:cs="宋体"/>
          <w:kern w:val="0"/>
          <w:sz w:val="24"/>
          <w:szCs w:val="24"/>
          <w:u w:val="single"/>
          <w:lang w:val="zh-CN" w:bidi="zh-CN"/>
        </w:rPr>
        <w:t xml:space="preserve">      </w:t>
      </w:r>
      <w:r>
        <w:rPr>
          <w:rFonts w:hint="eastAsia" w:cs="宋体"/>
          <w:kern w:val="0"/>
          <w:sz w:val="24"/>
          <w:szCs w:val="24"/>
          <w:lang w:val="zh-CN" w:bidi="zh-CN"/>
        </w:rPr>
        <w:t>日</w:t>
      </w:r>
    </w:p>
    <w:p>
      <w:pPr>
        <w:autoSpaceDE w:val="0"/>
        <w:autoSpaceDN w:val="0"/>
        <w:adjustRightInd w:val="0"/>
        <w:snapToGrid w:val="0"/>
        <w:spacing w:line="480" w:lineRule="auto"/>
        <w:rPr>
          <w:rFonts w:cs="宋体"/>
          <w:b/>
          <w:bCs/>
          <w:kern w:val="0"/>
          <w:sz w:val="28"/>
          <w:szCs w:val="28"/>
          <w:lang w:bidi="zh-CN"/>
        </w:rPr>
      </w:pPr>
    </w:p>
    <w:p>
      <w:pPr>
        <w:autoSpaceDE w:val="0"/>
        <w:autoSpaceDN w:val="0"/>
        <w:adjustRightInd w:val="0"/>
        <w:snapToGrid w:val="0"/>
        <w:spacing w:line="480" w:lineRule="auto"/>
        <w:rPr>
          <w:rFonts w:cs="宋体"/>
          <w:b/>
          <w:bCs/>
          <w:kern w:val="0"/>
          <w:sz w:val="28"/>
          <w:szCs w:val="28"/>
          <w:lang w:bidi="zh-CN"/>
        </w:rPr>
      </w:pPr>
    </w:p>
    <w:p>
      <w:pPr>
        <w:autoSpaceDE w:val="0"/>
        <w:autoSpaceDN w:val="0"/>
        <w:adjustRightInd w:val="0"/>
        <w:snapToGrid w:val="0"/>
        <w:spacing w:line="480" w:lineRule="auto"/>
        <w:rPr>
          <w:rFonts w:cs="宋体"/>
          <w:b/>
          <w:bCs/>
          <w:kern w:val="0"/>
          <w:sz w:val="28"/>
          <w:szCs w:val="28"/>
          <w:lang w:bidi="zh-CN"/>
        </w:rPr>
      </w:pPr>
    </w:p>
    <w:p>
      <w:pPr>
        <w:autoSpaceDE w:val="0"/>
        <w:autoSpaceDN w:val="0"/>
        <w:adjustRightInd w:val="0"/>
        <w:snapToGrid w:val="0"/>
        <w:spacing w:line="480" w:lineRule="auto"/>
        <w:rPr>
          <w:rFonts w:cs="宋体"/>
          <w:b/>
          <w:bCs/>
          <w:kern w:val="0"/>
          <w:sz w:val="28"/>
          <w:szCs w:val="28"/>
          <w:lang w:bidi="zh-CN"/>
        </w:rPr>
      </w:pPr>
    </w:p>
    <w:p>
      <w:pPr>
        <w:autoSpaceDE w:val="0"/>
        <w:autoSpaceDN w:val="0"/>
        <w:adjustRightInd w:val="0"/>
        <w:snapToGrid w:val="0"/>
        <w:spacing w:line="480" w:lineRule="auto"/>
        <w:rPr>
          <w:rFonts w:cs="宋体"/>
          <w:b/>
          <w:bCs/>
          <w:kern w:val="0"/>
          <w:sz w:val="28"/>
          <w:szCs w:val="28"/>
          <w:lang w:bidi="zh-CN"/>
        </w:rPr>
      </w:pPr>
    </w:p>
    <w:p>
      <w:pPr>
        <w:widowControl/>
        <w:spacing w:line="360" w:lineRule="auto"/>
        <w:jc w:val="center"/>
        <w:rPr>
          <w:rFonts w:cs="宋体"/>
          <w:sz w:val="24"/>
          <w:lang w:bidi="zh-CN"/>
        </w:rPr>
      </w:pPr>
    </w:p>
    <w:p>
      <w:pPr>
        <w:widowControl/>
        <w:spacing w:line="360" w:lineRule="auto"/>
        <w:jc w:val="center"/>
        <w:rPr>
          <w:rFonts w:cs="宋体"/>
          <w:sz w:val="24"/>
          <w:lang w:bidi="zh-CN"/>
        </w:rPr>
      </w:pPr>
    </w:p>
    <w:p>
      <w:pPr>
        <w:widowControl/>
        <w:spacing w:line="360" w:lineRule="auto"/>
        <w:jc w:val="center"/>
        <w:rPr>
          <w:rFonts w:cs="宋体"/>
          <w:sz w:val="24"/>
          <w:lang w:bidi="zh-CN"/>
        </w:rPr>
      </w:pPr>
    </w:p>
    <w:p>
      <w:pPr>
        <w:widowControl/>
        <w:spacing w:line="360" w:lineRule="auto"/>
        <w:jc w:val="center"/>
        <w:rPr>
          <w:rFonts w:cs="宋体"/>
          <w:sz w:val="24"/>
          <w:lang w:bidi="zh-CN"/>
        </w:rPr>
      </w:pPr>
    </w:p>
    <w:p>
      <w:pPr>
        <w:widowControl/>
        <w:spacing w:line="360" w:lineRule="auto"/>
        <w:jc w:val="center"/>
        <w:rPr>
          <w:rFonts w:cs="宋体"/>
          <w:sz w:val="24"/>
        </w:rPr>
      </w:pPr>
      <w:r>
        <w:rPr>
          <w:rFonts w:hint="eastAsia" w:cs="宋体"/>
          <w:sz w:val="24"/>
          <w:lang w:bidi="zh-CN"/>
        </w:rPr>
        <w:t>2.1投标人综合情况表</w:t>
      </w:r>
    </w:p>
    <w:p>
      <w:pPr>
        <w:widowControl/>
        <w:spacing w:line="360" w:lineRule="auto"/>
        <w:jc w:val="left"/>
        <w:rPr>
          <w:rFonts w:cs="宋体"/>
          <w:sz w:val="24"/>
          <w:lang w:bidi="zh-CN"/>
        </w:rPr>
      </w:pPr>
      <w:r>
        <w:rPr>
          <w:rFonts w:hint="eastAsia" w:cs="宋体"/>
          <w:sz w:val="24"/>
        </w:rPr>
        <w:t>项目名称：</w:t>
      </w:r>
      <w:r>
        <w:rPr>
          <w:rFonts w:hint="eastAsia" w:cs="宋体"/>
          <w:sz w:val="24"/>
          <w:u w:val="single"/>
        </w:rPr>
        <w:t xml:space="preserve">                      </w:t>
      </w:r>
      <w:r>
        <w:rPr>
          <w:rFonts w:hint="eastAsia" w:cs="宋体"/>
          <w:sz w:val="24"/>
        </w:rPr>
        <w:t xml:space="preserve">        招标编号：</w:t>
      </w:r>
      <w:r>
        <w:rPr>
          <w:rFonts w:hint="eastAsia" w:cs="宋体"/>
          <w:sz w:val="24"/>
          <w:u w:val="single"/>
        </w:rPr>
        <w:t xml:space="preserve">                  </w:t>
      </w:r>
    </w:p>
    <w:tbl>
      <w:tblPr>
        <w:tblStyle w:val="28"/>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6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trPr>
        <w:tc>
          <w:tcPr>
            <w:tcW w:w="2104" w:type="dxa"/>
          </w:tcPr>
          <w:p>
            <w:pPr>
              <w:spacing w:line="360" w:lineRule="auto"/>
              <w:jc w:val="left"/>
              <w:rPr>
                <w:rFonts w:cs="宋体"/>
                <w:sz w:val="24"/>
              </w:rPr>
            </w:pPr>
            <w:r>
              <w:rPr>
                <w:rFonts w:hint="eastAsia" w:cs="宋体"/>
                <w:sz w:val="24"/>
              </w:rPr>
              <w:t>投标人名称</w:t>
            </w:r>
          </w:p>
        </w:tc>
        <w:tc>
          <w:tcPr>
            <w:tcW w:w="6416" w:type="dxa"/>
          </w:tcPr>
          <w:p>
            <w:pPr>
              <w:spacing w:line="360" w:lineRule="auto"/>
              <w:jc w:val="left"/>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trPr>
        <w:tc>
          <w:tcPr>
            <w:tcW w:w="2104" w:type="dxa"/>
          </w:tcPr>
          <w:p>
            <w:pPr>
              <w:spacing w:line="360" w:lineRule="auto"/>
              <w:jc w:val="left"/>
              <w:rPr>
                <w:rFonts w:cs="宋体"/>
                <w:sz w:val="24"/>
              </w:rPr>
            </w:pPr>
            <w:r>
              <w:rPr>
                <w:rFonts w:hint="eastAsia" w:cs="宋体"/>
                <w:sz w:val="24"/>
              </w:rPr>
              <w:t>注册地址</w:t>
            </w:r>
          </w:p>
        </w:tc>
        <w:tc>
          <w:tcPr>
            <w:tcW w:w="6416" w:type="dxa"/>
          </w:tcPr>
          <w:p>
            <w:pPr>
              <w:spacing w:line="360" w:lineRule="auto"/>
              <w:jc w:val="left"/>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trPr>
        <w:tc>
          <w:tcPr>
            <w:tcW w:w="2104" w:type="dxa"/>
          </w:tcPr>
          <w:p>
            <w:pPr>
              <w:spacing w:line="360" w:lineRule="auto"/>
              <w:jc w:val="left"/>
              <w:rPr>
                <w:rFonts w:cs="宋体"/>
                <w:sz w:val="24"/>
              </w:rPr>
            </w:pPr>
            <w:r>
              <w:rPr>
                <w:rFonts w:hint="eastAsia" w:cs="宋体"/>
                <w:sz w:val="24"/>
              </w:rPr>
              <w:t>注册资金</w:t>
            </w:r>
          </w:p>
        </w:tc>
        <w:tc>
          <w:tcPr>
            <w:tcW w:w="6416" w:type="dxa"/>
          </w:tcPr>
          <w:p>
            <w:pPr>
              <w:spacing w:line="360" w:lineRule="auto"/>
              <w:jc w:val="left"/>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trPr>
        <w:tc>
          <w:tcPr>
            <w:tcW w:w="2104" w:type="dxa"/>
          </w:tcPr>
          <w:p>
            <w:pPr>
              <w:spacing w:line="360" w:lineRule="auto"/>
              <w:jc w:val="left"/>
              <w:rPr>
                <w:rFonts w:cs="宋体"/>
                <w:sz w:val="24"/>
              </w:rPr>
            </w:pPr>
            <w:r>
              <w:rPr>
                <w:rFonts w:hint="eastAsia" w:cs="宋体"/>
                <w:sz w:val="24"/>
              </w:rPr>
              <w:t>企业规模简介</w:t>
            </w:r>
          </w:p>
        </w:tc>
        <w:tc>
          <w:tcPr>
            <w:tcW w:w="6416" w:type="dxa"/>
          </w:tcPr>
          <w:p>
            <w:pPr>
              <w:spacing w:line="360" w:lineRule="auto"/>
              <w:jc w:val="left"/>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trPr>
        <w:tc>
          <w:tcPr>
            <w:tcW w:w="2104" w:type="dxa"/>
          </w:tcPr>
          <w:p>
            <w:pPr>
              <w:spacing w:line="360" w:lineRule="auto"/>
              <w:jc w:val="left"/>
              <w:rPr>
                <w:rFonts w:cs="宋体"/>
                <w:sz w:val="24"/>
              </w:rPr>
            </w:pPr>
            <w:r>
              <w:rPr>
                <w:rFonts w:hint="eastAsia" w:cs="宋体"/>
                <w:sz w:val="24"/>
              </w:rPr>
              <w:t>近年销售情况</w:t>
            </w:r>
          </w:p>
        </w:tc>
        <w:tc>
          <w:tcPr>
            <w:tcW w:w="6416" w:type="dxa"/>
          </w:tcPr>
          <w:p>
            <w:pPr>
              <w:spacing w:line="360" w:lineRule="auto"/>
              <w:jc w:val="left"/>
              <w:rPr>
                <w:rFonts w:cs="宋体"/>
                <w:sz w:val="24"/>
              </w:rPr>
            </w:pPr>
            <w:r>
              <w:rPr>
                <w:rFonts w:hint="eastAsia" w:cs="宋体"/>
                <w:b/>
                <w:sz w:val="24"/>
              </w:rPr>
              <w:t>必要项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trPr>
        <w:tc>
          <w:tcPr>
            <w:tcW w:w="2104" w:type="dxa"/>
          </w:tcPr>
          <w:p>
            <w:pPr>
              <w:spacing w:line="360" w:lineRule="auto"/>
              <w:jc w:val="left"/>
              <w:rPr>
                <w:rFonts w:cs="宋体"/>
                <w:sz w:val="24"/>
              </w:rPr>
            </w:pPr>
            <w:r>
              <w:rPr>
                <w:rFonts w:hint="eastAsia" w:cs="宋体"/>
                <w:sz w:val="24"/>
              </w:rPr>
              <w:t>制造加工能力</w:t>
            </w:r>
          </w:p>
        </w:tc>
        <w:tc>
          <w:tcPr>
            <w:tcW w:w="6416" w:type="dxa"/>
          </w:tcPr>
          <w:p>
            <w:pPr>
              <w:spacing w:line="360" w:lineRule="auto"/>
              <w:jc w:val="left"/>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trPr>
        <w:tc>
          <w:tcPr>
            <w:tcW w:w="2104" w:type="dxa"/>
          </w:tcPr>
          <w:p>
            <w:pPr>
              <w:spacing w:line="360" w:lineRule="auto"/>
              <w:jc w:val="left"/>
              <w:rPr>
                <w:rFonts w:cs="宋体"/>
                <w:sz w:val="24"/>
              </w:rPr>
            </w:pPr>
            <w:r>
              <w:rPr>
                <w:rFonts w:hint="eastAsia" w:cs="宋体"/>
                <w:sz w:val="24"/>
              </w:rPr>
              <w:t>财务情况</w:t>
            </w:r>
          </w:p>
        </w:tc>
        <w:tc>
          <w:tcPr>
            <w:tcW w:w="6416" w:type="dxa"/>
          </w:tcPr>
          <w:p>
            <w:pPr>
              <w:spacing w:line="360" w:lineRule="auto"/>
              <w:jc w:val="left"/>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trPr>
        <w:tc>
          <w:tcPr>
            <w:tcW w:w="2104" w:type="dxa"/>
          </w:tcPr>
          <w:p>
            <w:pPr>
              <w:spacing w:line="360" w:lineRule="auto"/>
              <w:jc w:val="left"/>
              <w:rPr>
                <w:rFonts w:cs="宋体"/>
                <w:sz w:val="24"/>
              </w:rPr>
            </w:pPr>
            <w:r>
              <w:rPr>
                <w:rFonts w:hint="eastAsia" w:cs="宋体"/>
                <w:sz w:val="24"/>
              </w:rPr>
              <w:t>获奖情况</w:t>
            </w:r>
          </w:p>
        </w:tc>
        <w:tc>
          <w:tcPr>
            <w:tcW w:w="6416" w:type="dxa"/>
          </w:tcPr>
          <w:p>
            <w:pPr>
              <w:spacing w:line="360" w:lineRule="auto"/>
              <w:jc w:val="left"/>
              <w:rPr>
                <w:rFonts w:cs="宋体"/>
                <w:sz w:val="24"/>
              </w:rPr>
            </w:pPr>
          </w:p>
        </w:tc>
      </w:tr>
    </w:tbl>
    <w:p>
      <w:pPr>
        <w:autoSpaceDE w:val="0"/>
        <w:autoSpaceDN w:val="0"/>
        <w:adjustRightInd w:val="0"/>
        <w:spacing w:line="240" w:lineRule="auto"/>
        <w:jc w:val="left"/>
        <w:rPr>
          <w:rFonts w:cs="宋体"/>
          <w:sz w:val="24"/>
          <w:szCs w:val="24"/>
        </w:rPr>
      </w:pPr>
      <w:r>
        <w:rPr>
          <w:rFonts w:hint="eastAsia" w:cs="宋体"/>
          <w:sz w:val="24"/>
          <w:szCs w:val="24"/>
        </w:rPr>
        <w:t>注：上述表中可只简述相应内容，具体材料应按照以下顺序提供随本表后附：</w:t>
      </w:r>
    </w:p>
    <w:p>
      <w:pPr>
        <w:numPr>
          <w:ilvl w:val="0"/>
          <w:numId w:val="9"/>
        </w:numPr>
        <w:autoSpaceDE w:val="0"/>
        <w:autoSpaceDN w:val="0"/>
        <w:adjustRightInd w:val="0"/>
        <w:spacing w:line="240" w:lineRule="auto"/>
        <w:jc w:val="left"/>
        <w:rPr>
          <w:rFonts w:cs="宋体"/>
          <w:kern w:val="0"/>
          <w:sz w:val="24"/>
          <w:szCs w:val="24"/>
        </w:rPr>
      </w:pPr>
      <w:r>
        <w:rPr>
          <w:rFonts w:hint="eastAsia" w:cs="宋体"/>
          <w:kern w:val="0"/>
          <w:sz w:val="24"/>
          <w:szCs w:val="24"/>
        </w:rPr>
        <w:t>注册资金证明；</w:t>
      </w:r>
    </w:p>
    <w:p>
      <w:pPr>
        <w:numPr>
          <w:ilvl w:val="0"/>
          <w:numId w:val="9"/>
        </w:numPr>
        <w:autoSpaceDE w:val="0"/>
        <w:autoSpaceDN w:val="0"/>
        <w:adjustRightInd w:val="0"/>
        <w:spacing w:line="240" w:lineRule="auto"/>
        <w:jc w:val="left"/>
        <w:rPr>
          <w:rFonts w:cs="宋体"/>
          <w:kern w:val="0"/>
          <w:sz w:val="24"/>
          <w:szCs w:val="24"/>
        </w:rPr>
      </w:pPr>
      <w:r>
        <w:rPr>
          <w:rFonts w:hint="eastAsia" w:cs="宋体"/>
          <w:kern w:val="0"/>
          <w:sz w:val="24"/>
          <w:szCs w:val="24"/>
        </w:rPr>
        <w:t>企业规模；</w:t>
      </w:r>
    </w:p>
    <w:p>
      <w:pPr>
        <w:numPr>
          <w:ilvl w:val="0"/>
          <w:numId w:val="9"/>
        </w:numPr>
        <w:autoSpaceDE w:val="0"/>
        <w:autoSpaceDN w:val="0"/>
        <w:adjustRightInd w:val="0"/>
        <w:spacing w:line="240" w:lineRule="auto"/>
        <w:jc w:val="left"/>
        <w:rPr>
          <w:rFonts w:cs="宋体"/>
          <w:b/>
          <w:kern w:val="0"/>
          <w:sz w:val="24"/>
          <w:szCs w:val="24"/>
        </w:rPr>
      </w:pPr>
      <w:r>
        <w:rPr>
          <w:rFonts w:hint="eastAsia" w:cs="宋体"/>
          <w:b/>
          <w:kern w:val="0"/>
          <w:sz w:val="24"/>
          <w:szCs w:val="24"/>
        </w:rPr>
        <w:t>同类产品2022年第一季度至2025年第一季度的销售情况</w:t>
      </w:r>
      <w:r>
        <w:rPr>
          <w:rFonts w:hint="eastAsia"/>
          <w:b/>
          <w:sz w:val="24"/>
          <w:szCs w:val="24"/>
        </w:rPr>
        <w:t>（附合同复印件或中标通知书）；</w:t>
      </w:r>
    </w:p>
    <w:p>
      <w:pPr>
        <w:numPr>
          <w:ilvl w:val="0"/>
          <w:numId w:val="9"/>
        </w:numPr>
        <w:autoSpaceDE w:val="0"/>
        <w:autoSpaceDN w:val="0"/>
        <w:adjustRightInd w:val="0"/>
        <w:spacing w:line="240" w:lineRule="auto"/>
        <w:jc w:val="left"/>
        <w:rPr>
          <w:rFonts w:cs="宋体"/>
          <w:kern w:val="0"/>
          <w:sz w:val="24"/>
          <w:szCs w:val="24"/>
        </w:rPr>
      </w:pPr>
      <w:r>
        <w:rPr>
          <w:rFonts w:hint="eastAsia" w:cs="宋体"/>
          <w:kern w:val="0"/>
          <w:sz w:val="24"/>
          <w:szCs w:val="24"/>
        </w:rPr>
        <w:t>制造加工能力；</w:t>
      </w:r>
    </w:p>
    <w:p>
      <w:pPr>
        <w:numPr>
          <w:ilvl w:val="0"/>
          <w:numId w:val="9"/>
        </w:numPr>
        <w:autoSpaceDE w:val="0"/>
        <w:autoSpaceDN w:val="0"/>
        <w:adjustRightInd w:val="0"/>
        <w:spacing w:line="240" w:lineRule="auto"/>
        <w:jc w:val="left"/>
        <w:rPr>
          <w:rFonts w:cs="宋体"/>
          <w:kern w:val="0"/>
          <w:sz w:val="24"/>
          <w:szCs w:val="24"/>
        </w:rPr>
      </w:pPr>
      <w:r>
        <w:rPr>
          <w:rFonts w:hint="eastAsia" w:cs="宋体"/>
          <w:kern w:val="0"/>
          <w:sz w:val="24"/>
          <w:szCs w:val="24"/>
        </w:rPr>
        <w:t>财务报表（仅提供2022年度、2023年度、2024年度财务报表中的资产负债表、现金流量表、利润表）；</w:t>
      </w:r>
    </w:p>
    <w:p>
      <w:pPr>
        <w:numPr>
          <w:ilvl w:val="0"/>
          <w:numId w:val="9"/>
        </w:numPr>
        <w:autoSpaceDE w:val="0"/>
        <w:autoSpaceDN w:val="0"/>
        <w:adjustRightInd w:val="0"/>
        <w:spacing w:line="240" w:lineRule="auto"/>
        <w:jc w:val="left"/>
        <w:rPr>
          <w:rFonts w:cs="宋体"/>
          <w:kern w:val="0"/>
          <w:sz w:val="24"/>
          <w:szCs w:val="24"/>
        </w:rPr>
      </w:pPr>
      <w:r>
        <w:rPr>
          <w:rFonts w:hint="eastAsia" w:cs="宋体"/>
          <w:kern w:val="0"/>
          <w:sz w:val="24"/>
          <w:szCs w:val="24"/>
        </w:rPr>
        <w:t>获奖情况。</w:t>
      </w:r>
    </w:p>
    <w:p>
      <w:pPr>
        <w:autoSpaceDE w:val="0"/>
        <w:autoSpaceDN w:val="0"/>
        <w:adjustRightInd w:val="0"/>
        <w:spacing w:line="480" w:lineRule="auto"/>
        <w:jc w:val="right"/>
        <w:rPr>
          <w:rFonts w:cs="宋体"/>
          <w:sz w:val="24"/>
          <w:szCs w:val="24"/>
        </w:rPr>
      </w:pPr>
    </w:p>
    <w:p>
      <w:pPr>
        <w:autoSpaceDE w:val="0"/>
        <w:autoSpaceDN w:val="0"/>
        <w:adjustRightInd w:val="0"/>
        <w:spacing w:line="480" w:lineRule="auto"/>
        <w:jc w:val="right"/>
        <w:rPr>
          <w:rFonts w:cs="宋体"/>
          <w:sz w:val="24"/>
          <w:szCs w:val="24"/>
        </w:rPr>
      </w:pPr>
    </w:p>
    <w:p>
      <w:pPr>
        <w:autoSpaceDE w:val="0"/>
        <w:autoSpaceDN w:val="0"/>
        <w:adjustRightInd w:val="0"/>
        <w:snapToGrid w:val="0"/>
        <w:spacing w:line="480" w:lineRule="auto"/>
        <w:jc w:val="right"/>
        <w:rPr>
          <w:rFonts w:cs="宋体"/>
          <w:sz w:val="24"/>
          <w:szCs w:val="24"/>
        </w:rPr>
      </w:pPr>
      <w:r>
        <w:rPr>
          <w:rFonts w:hint="eastAsia" w:cs="宋体"/>
          <w:sz w:val="24"/>
          <w:szCs w:val="24"/>
        </w:rPr>
        <w:t>投标人：</w:t>
      </w:r>
      <w:r>
        <w:rPr>
          <w:rFonts w:hint="eastAsia" w:cs="宋体"/>
          <w:sz w:val="24"/>
          <w:szCs w:val="24"/>
          <w:u w:val="single"/>
        </w:rPr>
        <w:t xml:space="preserve">                 </w:t>
      </w:r>
      <w:r>
        <w:rPr>
          <w:rFonts w:hint="eastAsia" w:cs="宋体"/>
          <w:sz w:val="24"/>
          <w:szCs w:val="24"/>
        </w:rPr>
        <w:t>（盖单位公章）</w:t>
      </w:r>
    </w:p>
    <w:p>
      <w:pPr>
        <w:autoSpaceDE w:val="0"/>
        <w:autoSpaceDN w:val="0"/>
        <w:adjustRightInd w:val="0"/>
        <w:snapToGrid w:val="0"/>
        <w:spacing w:line="480" w:lineRule="auto"/>
        <w:jc w:val="right"/>
        <w:rPr>
          <w:rFonts w:cs="宋体"/>
          <w:kern w:val="0"/>
          <w:sz w:val="24"/>
          <w:szCs w:val="24"/>
          <w:lang w:val="zh-CN" w:bidi="zh-CN"/>
        </w:rPr>
      </w:pPr>
      <w:r>
        <w:rPr>
          <w:rFonts w:hint="eastAsia" w:cs="宋体"/>
          <w:kern w:val="0"/>
          <w:sz w:val="24"/>
          <w:szCs w:val="24"/>
          <w:u w:val="single"/>
          <w:lang w:val="zh-CN" w:bidi="zh-CN"/>
        </w:rPr>
        <w:t xml:space="preserve">         </w:t>
      </w:r>
      <w:r>
        <w:rPr>
          <w:rFonts w:hint="eastAsia" w:cs="宋体"/>
          <w:kern w:val="0"/>
          <w:sz w:val="24"/>
          <w:szCs w:val="24"/>
          <w:lang w:val="zh-CN" w:bidi="zh-CN"/>
        </w:rPr>
        <w:t>年</w:t>
      </w:r>
      <w:r>
        <w:rPr>
          <w:rFonts w:hint="eastAsia" w:cs="宋体"/>
          <w:kern w:val="0"/>
          <w:sz w:val="24"/>
          <w:szCs w:val="24"/>
          <w:u w:val="single"/>
          <w:lang w:val="zh-CN" w:bidi="zh-CN"/>
        </w:rPr>
        <w:t xml:space="preserve">    </w:t>
      </w:r>
      <w:r>
        <w:rPr>
          <w:rFonts w:hint="eastAsia" w:cs="宋体"/>
          <w:kern w:val="0"/>
          <w:sz w:val="24"/>
          <w:szCs w:val="24"/>
          <w:u w:val="single"/>
          <w:lang w:bidi="zh-CN"/>
        </w:rPr>
        <w:t xml:space="preserve"> </w:t>
      </w:r>
      <w:r>
        <w:rPr>
          <w:rFonts w:hint="eastAsia" w:cs="宋体"/>
          <w:kern w:val="0"/>
          <w:sz w:val="24"/>
          <w:szCs w:val="24"/>
          <w:u w:val="single"/>
          <w:lang w:val="zh-CN" w:bidi="zh-CN"/>
        </w:rPr>
        <w:t xml:space="preserve">  </w:t>
      </w:r>
      <w:r>
        <w:rPr>
          <w:rFonts w:hint="eastAsia" w:cs="宋体"/>
          <w:kern w:val="0"/>
          <w:sz w:val="24"/>
          <w:szCs w:val="24"/>
          <w:lang w:val="zh-CN" w:bidi="zh-CN"/>
        </w:rPr>
        <w:t>月</w:t>
      </w:r>
      <w:r>
        <w:rPr>
          <w:rFonts w:hint="eastAsia" w:cs="宋体"/>
          <w:kern w:val="0"/>
          <w:sz w:val="24"/>
          <w:szCs w:val="24"/>
          <w:u w:val="single"/>
          <w:lang w:val="zh-CN" w:bidi="zh-CN"/>
        </w:rPr>
        <w:t xml:space="preserve">      </w:t>
      </w:r>
      <w:r>
        <w:rPr>
          <w:rFonts w:hint="eastAsia" w:cs="宋体"/>
          <w:kern w:val="0"/>
          <w:sz w:val="24"/>
          <w:szCs w:val="24"/>
          <w:lang w:val="zh-CN" w:bidi="zh-CN"/>
        </w:rPr>
        <w:t>日</w:t>
      </w:r>
    </w:p>
    <w:p>
      <w:pPr>
        <w:spacing w:line="360" w:lineRule="auto"/>
        <w:jc w:val="center"/>
        <w:rPr>
          <w:rFonts w:cs="宋体"/>
          <w:b/>
          <w:bCs/>
          <w:sz w:val="28"/>
          <w:szCs w:val="28"/>
          <w:lang w:bidi="zh-CN"/>
        </w:rPr>
      </w:pPr>
      <w:bookmarkStart w:id="970" w:name="_Toc17206"/>
      <w:bookmarkStart w:id="971" w:name="_Toc148459153"/>
      <w:bookmarkStart w:id="972" w:name="_Toc1674"/>
      <w:bookmarkStart w:id="973" w:name="_Toc62057301"/>
      <w:bookmarkStart w:id="974" w:name="_Toc19378"/>
      <w:bookmarkStart w:id="975" w:name="_Toc22747"/>
      <w:r>
        <w:rPr>
          <w:rFonts w:hint="eastAsia" w:cs="宋体"/>
          <w:b/>
          <w:bCs/>
          <w:sz w:val="28"/>
          <w:szCs w:val="28"/>
          <w:lang w:bidi="zh-CN"/>
        </w:rPr>
        <w:t>三、投标人提供的随机配件、附件和工具等清单</w:t>
      </w:r>
      <w:bookmarkEnd w:id="970"/>
      <w:bookmarkEnd w:id="971"/>
      <w:bookmarkEnd w:id="972"/>
      <w:bookmarkEnd w:id="973"/>
      <w:bookmarkEnd w:id="974"/>
      <w:bookmarkEnd w:id="975"/>
    </w:p>
    <w:tbl>
      <w:tblPr>
        <w:tblStyle w:val="28"/>
        <w:tblW w:w="8517" w:type="dxa"/>
        <w:jc w:val="center"/>
        <w:tblInd w:w="0" w:type="dxa"/>
        <w:tblLayout w:type="fixed"/>
        <w:tblCellMar>
          <w:top w:w="0" w:type="dxa"/>
          <w:left w:w="108" w:type="dxa"/>
          <w:bottom w:w="0" w:type="dxa"/>
          <w:right w:w="108" w:type="dxa"/>
        </w:tblCellMar>
      </w:tblPr>
      <w:tblGrid>
        <w:gridCol w:w="1064"/>
        <w:gridCol w:w="1065"/>
        <w:gridCol w:w="910"/>
        <w:gridCol w:w="1218"/>
        <w:gridCol w:w="1063"/>
        <w:gridCol w:w="974"/>
        <w:gridCol w:w="1153"/>
        <w:gridCol w:w="1070"/>
      </w:tblGrid>
      <w:tr>
        <w:tblPrEx>
          <w:tblLayout w:type="fixed"/>
          <w:tblCellMar>
            <w:top w:w="0" w:type="dxa"/>
            <w:left w:w="108" w:type="dxa"/>
            <w:bottom w:w="0" w:type="dxa"/>
            <w:right w:w="108" w:type="dxa"/>
          </w:tblCellMar>
        </w:tblPrEx>
        <w:trPr>
          <w:trHeight w:val="680"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cs="宋体"/>
                <w:kern w:val="0"/>
                <w:szCs w:val="21"/>
              </w:rPr>
            </w:pPr>
            <w:r>
              <w:rPr>
                <w:rFonts w:hint="eastAsia" w:cs="宋体"/>
                <w:kern w:val="0"/>
                <w:szCs w:val="21"/>
              </w:rPr>
              <w:t>名称</w:t>
            </w:r>
          </w:p>
        </w:tc>
        <w:tc>
          <w:tcPr>
            <w:tcW w:w="1065"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cs="宋体"/>
                <w:kern w:val="0"/>
                <w:szCs w:val="21"/>
              </w:rPr>
            </w:pPr>
            <w:r>
              <w:rPr>
                <w:rFonts w:hint="eastAsia" w:cs="宋体"/>
                <w:kern w:val="0"/>
                <w:szCs w:val="21"/>
              </w:rPr>
              <w:t>单位</w:t>
            </w:r>
          </w:p>
        </w:tc>
        <w:tc>
          <w:tcPr>
            <w:tcW w:w="910"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cs="宋体"/>
                <w:kern w:val="0"/>
                <w:szCs w:val="21"/>
              </w:rPr>
            </w:pPr>
            <w:r>
              <w:rPr>
                <w:rFonts w:hint="eastAsia" w:cs="宋体"/>
                <w:kern w:val="0"/>
                <w:szCs w:val="21"/>
              </w:rPr>
              <w:t>数量</w:t>
            </w:r>
          </w:p>
        </w:tc>
        <w:tc>
          <w:tcPr>
            <w:tcW w:w="1218"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cs="宋体"/>
                <w:kern w:val="0"/>
                <w:szCs w:val="21"/>
              </w:rPr>
            </w:pPr>
            <w:r>
              <w:rPr>
                <w:rFonts w:hint="eastAsia" w:cs="宋体"/>
                <w:kern w:val="0"/>
                <w:szCs w:val="21"/>
              </w:rPr>
              <w:t>不含税单价（元）</w:t>
            </w:r>
          </w:p>
        </w:tc>
        <w:tc>
          <w:tcPr>
            <w:tcW w:w="1063"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cs="宋体"/>
                <w:kern w:val="0"/>
                <w:szCs w:val="21"/>
              </w:rPr>
            </w:pPr>
            <w:r>
              <w:rPr>
                <w:rFonts w:hint="eastAsia" w:cs="宋体"/>
                <w:kern w:val="0"/>
                <w:szCs w:val="21"/>
              </w:rPr>
              <w:t>金额（元）</w:t>
            </w:r>
          </w:p>
        </w:tc>
        <w:tc>
          <w:tcPr>
            <w:tcW w:w="974"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cs="宋体"/>
                <w:kern w:val="0"/>
                <w:szCs w:val="21"/>
              </w:rPr>
            </w:pPr>
            <w:r>
              <w:rPr>
                <w:rFonts w:hint="eastAsia" w:cs="宋体"/>
                <w:kern w:val="0"/>
                <w:szCs w:val="21"/>
              </w:rPr>
              <w:t>增值税率（%）</w:t>
            </w:r>
          </w:p>
        </w:tc>
        <w:tc>
          <w:tcPr>
            <w:tcW w:w="1153"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cs="宋体"/>
                <w:kern w:val="0"/>
                <w:szCs w:val="21"/>
              </w:rPr>
            </w:pPr>
            <w:r>
              <w:rPr>
                <w:rFonts w:hint="eastAsia" w:cs="宋体"/>
                <w:kern w:val="0"/>
                <w:szCs w:val="21"/>
              </w:rPr>
              <w:t>增值税税额（元）</w:t>
            </w:r>
          </w:p>
        </w:tc>
        <w:tc>
          <w:tcPr>
            <w:tcW w:w="1070"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cs="宋体"/>
                <w:kern w:val="0"/>
                <w:szCs w:val="21"/>
              </w:rPr>
            </w:pPr>
            <w:r>
              <w:rPr>
                <w:rFonts w:hint="eastAsia" w:cs="宋体"/>
                <w:kern w:val="0"/>
                <w:szCs w:val="21"/>
              </w:rPr>
              <w:t>价税合计（元）</w:t>
            </w:r>
          </w:p>
        </w:tc>
      </w:tr>
      <w:tr>
        <w:tblPrEx>
          <w:tblLayout w:type="fixed"/>
          <w:tblCellMar>
            <w:top w:w="0" w:type="dxa"/>
            <w:left w:w="108" w:type="dxa"/>
            <w:bottom w:w="0" w:type="dxa"/>
            <w:right w:w="108" w:type="dxa"/>
          </w:tblCellMar>
        </w:tblPrEx>
        <w:trPr>
          <w:trHeight w:val="680" w:hRule="atLeast"/>
          <w:jc w:val="center"/>
        </w:trPr>
        <w:tc>
          <w:tcPr>
            <w:tcW w:w="1064" w:type="dxa"/>
            <w:tcBorders>
              <w:top w:val="nil"/>
              <w:left w:val="single" w:color="auto" w:sz="4" w:space="0"/>
              <w:bottom w:val="single" w:color="auto" w:sz="4" w:space="0"/>
              <w:right w:val="single" w:color="auto" w:sz="4" w:space="0"/>
            </w:tcBorders>
            <w:vAlign w:val="center"/>
          </w:tcPr>
          <w:p>
            <w:pPr>
              <w:widowControl/>
              <w:spacing w:line="360" w:lineRule="exact"/>
              <w:jc w:val="center"/>
              <w:rPr>
                <w:rFonts w:cs="宋体"/>
                <w:kern w:val="0"/>
                <w:szCs w:val="21"/>
              </w:rPr>
            </w:pPr>
          </w:p>
        </w:tc>
        <w:tc>
          <w:tcPr>
            <w:tcW w:w="106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1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218"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63"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74"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153"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7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r>
      <w:tr>
        <w:tblPrEx>
          <w:tblLayout w:type="fixed"/>
          <w:tblCellMar>
            <w:top w:w="0" w:type="dxa"/>
            <w:left w:w="108" w:type="dxa"/>
            <w:bottom w:w="0" w:type="dxa"/>
            <w:right w:w="108" w:type="dxa"/>
          </w:tblCellMar>
        </w:tblPrEx>
        <w:trPr>
          <w:trHeight w:val="680" w:hRule="atLeast"/>
          <w:jc w:val="center"/>
        </w:trPr>
        <w:tc>
          <w:tcPr>
            <w:tcW w:w="1064" w:type="dxa"/>
            <w:tcBorders>
              <w:top w:val="nil"/>
              <w:left w:val="single" w:color="auto" w:sz="4" w:space="0"/>
              <w:bottom w:val="single" w:color="auto" w:sz="4" w:space="0"/>
              <w:right w:val="single" w:color="auto" w:sz="4" w:space="0"/>
            </w:tcBorders>
            <w:vAlign w:val="center"/>
          </w:tcPr>
          <w:p>
            <w:pPr>
              <w:widowControl/>
              <w:spacing w:line="360" w:lineRule="exact"/>
              <w:jc w:val="center"/>
              <w:rPr>
                <w:rFonts w:cs="宋体"/>
                <w:kern w:val="0"/>
                <w:szCs w:val="21"/>
              </w:rPr>
            </w:pPr>
          </w:p>
        </w:tc>
        <w:tc>
          <w:tcPr>
            <w:tcW w:w="106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1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218"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63"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74"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153"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7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r>
      <w:tr>
        <w:tblPrEx>
          <w:tblLayout w:type="fixed"/>
          <w:tblCellMar>
            <w:top w:w="0" w:type="dxa"/>
            <w:left w:w="108" w:type="dxa"/>
            <w:bottom w:w="0" w:type="dxa"/>
            <w:right w:w="108" w:type="dxa"/>
          </w:tblCellMar>
        </w:tblPrEx>
        <w:trPr>
          <w:trHeight w:val="680" w:hRule="atLeast"/>
          <w:jc w:val="center"/>
        </w:trPr>
        <w:tc>
          <w:tcPr>
            <w:tcW w:w="1064" w:type="dxa"/>
            <w:tcBorders>
              <w:top w:val="nil"/>
              <w:left w:val="single" w:color="auto" w:sz="4" w:space="0"/>
              <w:bottom w:val="single" w:color="auto" w:sz="4" w:space="0"/>
              <w:right w:val="single" w:color="auto" w:sz="4" w:space="0"/>
            </w:tcBorders>
            <w:vAlign w:val="center"/>
          </w:tcPr>
          <w:p>
            <w:pPr>
              <w:widowControl/>
              <w:spacing w:line="360" w:lineRule="exact"/>
              <w:jc w:val="center"/>
              <w:rPr>
                <w:rFonts w:cs="宋体"/>
                <w:kern w:val="0"/>
                <w:szCs w:val="21"/>
              </w:rPr>
            </w:pPr>
          </w:p>
        </w:tc>
        <w:tc>
          <w:tcPr>
            <w:tcW w:w="106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1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218"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63"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74"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153"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7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r>
      <w:tr>
        <w:tblPrEx>
          <w:tblLayout w:type="fixed"/>
          <w:tblCellMar>
            <w:top w:w="0" w:type="dxa"/>
            <w:left w:w="108" w:type="dxa"/>
            <w:bottom w:w="0" w:type="dxa"/>
            <w:right w:w="108" w:type="dxa"/>
          </w:tblCellMar>
        </w:tblPrEx>
        <w:trPr>
          <w:trHeight w:val="680" w:hRule="atLeast"/>
          <w:jc w:val="center"/>
        </w:trPr>
        <w:tc>
          <w:tcPr>
            <w:tcW w:w="1064" w:type="dxa"/>
            <w:tcBorders>
              <w:top w:val="nil"/>
              <w:left w:val="single" w:color="auto" w:sz="4" w:space="0"/>
              <w:bottom w:val="single" w:color="auto" w:sz="4" w:space="0"/>
              <w:right w:val="single" w:color="auto" w:sz="4" w:space="0"/>
            </w:tcBorders>
            <w:vAlign w:val="center"/>
          </w:tcPr>
          <w:p>
            <w:pPr>
              <w:widowControl/>
              <w:spacing w:line="360" w:lineRule="exact"/>
              <w:jc w:val="center"/>
              <w:rPr>
                <w:rFonts w:cs="宋体"/>
                <w:kern w:val="0"/>
                <w:szCs w:val="21"/>
              </w:rPr>
            </w:pPr>
          </w:p>
        </w:tc>
        <w:tc>
          <w:tcPr>
            <w:tcW w:w="106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1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218"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63"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74"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153"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7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r>
      <w:tr>
        <w:tblPrEx>
          <w:tblLayout w:type="fixed"/>
          <w:tblCellMar>
            <w:top w:w="0" w:type="dxa"/>
            <w:left w:w="108" w:type="dxa"/>
            <w:bottom w:w="0" w:type="dxa"/>
            <w:right w:w="108" w:type="dxa"/>
          </w:tblCellMar>
        </w:tblPrEx>
        <w:trPr>
          <w:trHeight w:val="680" w:hRule="atLeast"/>
          <w:jc w:val="center"/>
        </w:trPr>
        <w:tc>
          <w:tcPr>
            <w:tcW w:w="1064" w:type="dxa"/>
            <w:tcBorders>
              <w:top w:val="nil"/>
              <w:left w:val="single" w:color="auto" w:sz="4" w:space="0"/>
              <w:bottom w:val="single" w:color="auto" w:sz="4" w:space="0"/>
              <w:right w:val="single" w:color="auto" w:sz="4" w:space="0"/>
            </w:tcBorders>
            <w:vAlign w:val="center"/>
          </w:tcPr>
          <w:p>
            <w:pPr>
              <w:widowControl/>
              <w:spacing w:line="360" w:lineRule="exact"/>
              <w:jc w:val="center"/>
              <w:rPr>
                <w:rFonts w:cs="宋体"/>
                <w:kern w:val="0"/>
                <w:szCs w:val="21"/>
              </w:rPr>
            </w:pPr>
          </w:p>
        </w:tc>
        <w:tc>
          <w:tcPr>
            <w:tcW w:w="106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1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218"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63"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74"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153"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7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r>
      <w:tr>
        <w:tblPrEx>
          <w:tblLayout w:type="fixed"/>
          <w:tblCellMar>
            <w:top w:w="0" w:type="dxa"/>
            <w:left w:w="108" w:type="dxa"/>
            <w:bottom w:w="0" w:type="dxa"/>
            <w:right w:w="108" w:type="dxa"/>
          </w:tblCellMar>
        </w:tblPrEx>
        <w:trPr>
          <w:trHeight w:val="680" w:hRule="atLeast"/>
          <w:jc w:val="center"/>
        </w:trPr>
        <w:tc>
          <w:tcPr>
            <w:tcW w:w="1064" w:type="dxa"/>
            <w:tcBorders>
              <w:top w:val="nil"/>
              <w:left w:val="single" w:color="auto" w:sz="4" w:space="0"/>
              <w:bottom w:val="single" w:color="auto" w:sz="4" w:space="0"/>
              <w:right w:val="single" w:color="auto" w:sz="4" w:space="0"/>
            </w:tcBorders>
            <w:vAlign w:val="center"/>
          </w:tcPr>
          <w:p>
            <w:pPr>
              <w:widowControl/>
              <w:spacing w:line="360" w:lineRule="exact"/>
              <w:jc w:val="center"/>
              <w:rPr>
                <w:rFonts w:cs="宋体"/>
                <w:kern w:val="0"/>
                <w:szCs w:val="21"/>
              </w:rPr>
            </w:pPr>
          </w:p>
        </w:tc>
        <w:tc>
          <w:tcPr>
            <w:tcW w:w="106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1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218"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63"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74"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153"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7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r>
      <w:tr>
        <w:tblPrEx>
          <w:tblLayout w:type="fixed"/>
          <w:tblCellMar>
            <w:top w:w="0" w:type="dxa"/>
            <w:left w:w="108" w:type="dxa"/>
            <w:bottom w:w="0" w:type="dxa"/>
            <w:right w:w="108" w:type="dxa"/>
          </w:tblCellMar>
        </w:tblPrEx>
        <w:trPr>
          <w:trHeight w:val="680" w:hRule="atLeast"/>
          <w:jc w:val="center"/>
        </w:trPr>
        <w:tc>
          <w:tcPr>
            <w:tcW w:w="1064" w:type="dxa"/>
            <w:tcBorders>
              <w:top w:val="nil"/>
              <w:left w:val="single" w:color="auto" w:sz="4" w:space="0"/>
              <w:bottom w:val="single" w:color="auto" w:sz="4" w:space="0"/>
              <w:right w:val="single" w:color="auto" w:sz="4" w:space="0"/>
            </w:tcBorders>
            <w:vAlign w:val="center"/>
          </w:tcPr>
          <w:p>
            <w:pPr>
              <w:widowControl/>
              <w:spacing w:line="360" w:lineRule="exact"/>
              <w:jc w:val="center"/>
              <w:rPr>
                <w:rFonts w:cs="宋体"/>
                <w:kern w:val="0"/>
                <w:szCs w:val="21"/>
              </w:rPr>
            </w:pPr>
          </w:p>
        </w:tc>
        <w:tc>
          <w:tcPr>
            <w:tcW w:w="106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1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218"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63"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74"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153"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7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r>
      <w:tr>
        <w:tblPrEx>
          <w:tblLayout w:type="fixed"/>
          <w:tblCellMar>
            <w:top w:w="0" w:type="dxa"/>
            <w:left w:w="108" w:type="dxa"/>
            <w:bottom w:w="0" w:type="dxa"/>
            <w:right w:w="108" w:type="dxa"/>
          </w:tblCellMar>
        </w:tblPrEx>
        <w:trPr>
          <w:trHeight w:val="680" w:hRule="atLeast"/>
          <w:jc w:val="center"/>
        </w:trPr>
        <w:tc>
          <w:tcPr>
            <w:tcW w:w="1064" w:type="dxa"/>
            <w:tcBorders>
              <w:top w:val="nil"/>
              <w:left w:val="single" w:color="auto" w:sz="4" w:space="0"/>
              <w:bottom w:val="single" w:color="auto" w:sz="4" w:space="0"/>
              <w:right w:val="single" w:color="auto" w:sz="4" w:space="0"/>
            </w:tcBorders>
            <w:vAlign w:val="center"/>
          </w:tcPr>
          <w:p>
            <w:pPr>
              <w:widowControl/>
              <w:spacing w:line="360" w:lineRule="exact"/>
              <w:jc w:val="center"/>
              <w:rPr>
                <w:rFonts w:cs="宋体"/>
                <w:kern w:val="0"/>
                <w:szCs w:val="21"/>
              </w:rPr>
            </w:pPr>
          </w:p>
        </w:tc>
        <w:tc>
          <w:tcPr>
            <w:tcW w:w="106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1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218"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63"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74"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153"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7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r>
      <w:tr>
        <w:tblPrEx>
          <w:tblLayout w:type="fixed"/>
          <w:tblCellMar>
            <w:top w:w="0" w:type="dxa"/>
            <w:left w:w="108" w:type="dxa"/>
            <w:bottom w:w="0" w:type="dxa"/>
            <w:right w:w="108" w:type="dxa"/>
          </w:tblCellMar>
        </w:tblPrEx>
        <w:trPr>
          <w:trHeight w:val="680" w:hRule="atLeast"/>
          <w:jc w:val="center"/>
        </w:trPr>
        <w:tc>
          <w:tcPr>
            <w:tcW w:w="1064" w:type="dxa"/>
            <w:tcBorders>
              <w:top w:val="nil"/>
              <w:left w:val="single" w:color="auto" w:sz="4" w:space="0"/>
              <w:bottom w:val="single" w:color="auto" w:sz="4" w:space="0"/>
              <w:right w:val="single" w:color="auto" w:sz="4" w:space="0"/>
            </w:tcBorders>
            <w:vAlign w:val="center"/>
          </w:tcPr>
          <w:p>
            <w:pPr>
              <w:widowControl/>
              <w:spacing w:line="360" w:lineRule="exact"/>
              <w:jc w:val="center"/>
              <w:rPr>
                <w:rFonts w:cs="宋体"/>
                <w:kern w:val="0"/>
                <w:szCs w:val="21"/>
              </w:rPr>
            </w:pPr>
          </w:p>
        </w:tc>
        <w:tc>
          <w:tcPr>
            <w:tcW w:w="106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1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218"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63"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74"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153"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7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r>
      <w:tr>
        <w:tblPrEx>
          <w:tblLayout w:type="fixed"/>
          <w:tblCellMar>
            <w:top w:w="0" w:type="dxa"/>
            <w:left w:w="108" w:type="dxa"/>
            <w:bottom w:w="0" w:type="dxa"/>
            <w:right w:w="108" w:type="dxa"/>
          </w:tblCellMar>
        </w:tblPrEx>
        <w:trPr>
          <w:trHeight w:val="680" w:hRule="atLeast"/>
          <w:jc w:val="center"/>
        </w:trPr>
        <w:tc>
          <w:tcPr>
            <w:tcW w:w="1064" w:type="dxa"/>
            <w:tcBorders>
              <w:top w:val="nil"/>
              <w:left w:val="single" w:color="auto" w:sz="4" w:space="0"/>
              <w:bottom w:val="single" w:color="auto" w:sz="4" w:space="0"/>
              <w:right w:val="single" w:color="auto" w:sz="4" w:space="0"/>
            </w:tcBorders>
            <w:vAlign w:val="center"/>
          </w:tcPr>
          <w:p>
            <w:pPr>
              <w:widowControl/>
              <w:spacing w:line="360" w:lineRule="exact"/>
              <w:jc w:val="center"/>
              <w:rPr>
                <w:rFonts w:cs="宋体"/>
                <w:kern w:val="0"/>
                <w:szCs w:val="21"/>
              </w:rPr>
            </w:pPr>
          </w:p>
        </w:tc>
        <w:tc>
          <w:tcPr>
            <w:tcW w:w="106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1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218"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63"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74"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153"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7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r>
      <w:tr>
        <w:tblPrEx>
          <w:tblLayout w:type="fixed"/>
          <w:tblCellMar>
            <w:top w:w="0" w:type="dxa"/>
            <w:left w:w="108" w:type="dxa"/>
            <w:bottom w:w="0" w:type="dxa"/>
            <w:right w:w="108" w:type="dxa"/>
          </w:tblCellMar>
        </w:tblPrEx>
        <w:trPr>
          <w:trHeight w:val="680" w:hRule="atLeast"/>
          <w:jc w:val="center"/>
        </w:trPr>
        <w:tc>
          <w:tcPr>
            <w:tcW w:w="1064" w:type="dxa"/>
            <w:tcBorders>
              <w:top w:val="nil"/>
              <w:left w:val="single" w:color="auto" w:sz="4" w:space="0"/>
              <w:bottom w:val="single" w:color="auto" w:sz="4" w:space="0"/>
              <w:right w:val="single" w:color="auto" w:sz="4" w:space="0"/>
            </w:tcBorders>
            <w:vAlign w:val="center"/>
          </w:tcPr>
          <w:p>
            <w:pPr>
              <w:widowControl/>
              <w:spacing w:line="360" w:lineRule="exact"/>
              <w:jc w:val="center"/>
              <w:rPr>
                <w:rFonts w:cs="宋体"/>
                <w:kern w:val="0"/>
                <w:szCs w:val="21"/>
              </w:rPr>
            </w:pPr>
            <w:r>
              <w:rPr>
                <w:rFonts w:hint="eastAsia" w:cs="宋体"/>
                <w:kern w:val="0"/>
                <w:szCs w:val="21"/>
              </w:rPr>
              <w:t>合计</w:t>
            </w:r>
          </w:p>
        </w:tc>
        <w:tc>
          <w:tcPr>
            <w:tcW w:w="106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1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218"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63"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74"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153"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7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r>
    </w:tbl>
    <w:p>
      <w:pPr>
        <w:spacing w:line="360" w:lineRule="auto"/>
        <w:ind w:firstLine="482" w:firstLineChars="200"/>
        <w:rPr>
          <w:rFonts w:cs="宋体"/>
          <w:sz w:val="24"/>
          <w:szCs w:val="24"/>
        </w:rPr>
      </w:pPr>
      <w:r>
        <w:rPr>
          <w:rFonts w:hint="eastAsia" w:cs="宋体"/>
          <w:b/>
          <w:sz w:val="24"/>
          <w:szCs w:val="24"/>
        </w:rPr>
        <w:t>说明：1、上述材料已包括在投标报价中，不再计算</w:t>
      </w:r>
      <w:r>
        <w:rPr>
          <w:rFonts w:hint="eastAsia" w:cs="宋体"/>
          <w:sz w:val="24"/>
          <w:szCs w:val="24"/>
        </w:rPr>
        <w:t>。</w:t>
      </w:r>
    </w:p>
    <w:p>
      <w:pPr>
        <w:autoSpaceDE w:val="0"/>
        <w:autoSpaceDN w:val="0"/>
        <w:adjustRightInd w:val="0"/>
        <w:jc w:val="left"/>
        <w:rPr>
          <w:rFonts w:cs="宋体"/>
          <w:kern w:val="0"/>
          <w:sz w:val="28"/>
          <w:szCs w:val="28"/>
        </w:rPr>
      </w:pPr>
      <w:bookmarkStart w:id="976" w:name="_Toc11475"/>
      <w:bookmarkStart w:id="977" w:name="_Toc5379"/>
      <w:bookmarkStart w:id="978" w:name="_Toc1755"/>
      <w:bookmarkStart w:id="979" w:name="_Toc62057302"/>
    </w:p>
    <w:p>
      <w:pPr>
        <w:pStyle w:val="65"/>
        <w:rPr>
          <w:color w:val="auto"/>
        </w:rPr>
      </w:pPr>
    </w:p>
    <w:p>
      <w:pPr>
        <w:pStyle w:val="65"/>
        <w:rPr>
          <w:color w:val="auto"/>
        </w:rPr>
      </w:pPr>
    </w:p>
    <w:p>
      <w:pPr>
        <w:snapToGrid w:val="0"/>
        <w:spacing w:line="480" w:lineRule="auto"/>
        <w:ind w:firstLine="420" w:firstLineChars="200"/>
        <w:jc w:val="right"/>
        <w:rPr>
          <w:rFonts w:cs="宋体"/>
          <w:sz w:val="24"/>
          <w:szCs w:val="24"/>
        </w:rPr>
      </w:pPr>
      <w:r>
        <w:rPr>
          <w:rFonts w:hint="eastAsia" w:cs="宋体"/>
        </w:rPr>
        <w:t xml:space="preserve">        </w:t>
      </w:r>
      <w:r>
        <w:rPr>
          <w:rFonts w:hint="eastAsia" w:cs="宋体"/>
          <w:sz w:val="24"/>
        </w:rPr>
        <w:t xml:space="preserve"> </w:t>
      </w:r>
      <w:r>
        <w:rPr>
          <w:rFonts w:hint="eastAsia" w:cs="宋体"/>
          <w:b/>
          <w:bCs/>
          <w:sz w:val="24"/>
        </w:rPr>
        <w:t xml:space="preserve"> </w:t>
      </w:r>
      <w:r>
        <w:rPr>
          <w:rFonts w:hint="eastAsia" w:cs="宋体"/>
          <w:sz w:val="24"/>
          <w:szCs w:val="24"/>
        </w:rPr>
        <w:t>投标人：</w:t>
      </w:r>
      <w:r>
        <w:rPr>
          <w:rFonts w:hint="eastAsia" w:cs="宋体"/>
          <w:sz w:val="24"/>
          <w:szCs w:val="24"/>
          <w:u w:val="single"/>
        </w:rPr>
        <w:t xml:space="preserve">                </w:t>
      </w:r>
      <w:r>
        <w:rPr>
          <w:rFonts w:hint="eastAsia" w:cs="宋体"/>
          <w:sz w:val="24"/>
          <w:szCs w:val="24"/>
        </w:rPr>
        <w:t>（盖单位公章）</w:t>
      </w:r>
    </w:p>
    <w:p>
      <w:pPr>
        <w:autoSpaceDE w:val="0"/>
        <w:autoSpaceDN w:val="0"/>
        <w:adjustRightInd w:val="0"/>
        <w:snapToGrid w:val="0"/>
        <w:spacing w:line="480" w:lineRule="auto"/>
        <w:jc w:val="right"/>
        <w:rPr>
          <w:rFonts w:cs="宋体"/>
          <w:sz w:val="24"/>
          <w:szCs w:val="24"/>
        </w:rPr>
      </w:pPr>
      <w:r>
        <w:rPr>
          <w:rFonts w:hint="eastAsia" w:cs="宋体"/>
          <w:sz w:val="24"/>
          <w:szCs w:val="24"/>
          <w:u w:val="single"/>
          <w:lang w:val="zh-CN" w:bidi="zh-CN"/>
        </w:rPr>
        <w:t xml:space="preserve">         </w:t>
      </w:r>
      <w:r>
        <w:rPr>
          <w:rFonts w:hint="eastAsia" w:cs="宋体"/>
          <w:sz w:val="24"/>
          <w:szCs w:val="24"/>
          <w:lang w:val="zh-CN" w:bidi="zh-CN"/>
        </w:rPr>
        <w:t>年</w:t>
      </w:r>
      <w:r>
        <w:rPr>
          <w:rFonts w:hint="eastAsia" w:cs="宋体"/>
          <w:sz w:val="24"/>
          <w:szCs w:val="24"/>
          <w:u w:val="single"/>
          <w:lang w:val="zh-CN" w:bidi="zh-CN"/>
        </w:rPr>
        <w:t xml:space="preserve">      </w:t>
      </w:r>
      <w:r>
        <w:rPr>
          <w:rFonts w:hint="eastAsia" w:cs="宋体"/>
          <w:sz w:val="24"/>
          <w:szCs w:val="24"/>
          <w:lang w:val="zh-CN" w:bidi="zh-CN"/>
        </w:rPr>
        <w:t>月</w:t>
      </w:r>
      <w:r>
        <w:rPr>
          <w:rFonts w:hint="eastAsia" w:cs="宋体"/>
          <w:sz w:val="24"/>
          <w:szCs w:val="24"/>
          <w:u w:val="single"/>
          <w:lang w:val="zh-CN" w:bidi="zh-CN"/>
        </w:rPr>
        <w:t xml:space="preserve">      </w:t>
      </w:r>
      <w:r>
        <w:rPr>
          <w:rFonts w:hint="eastAsia" w:cs="宋体"/>
          <w:sz w:val="24"/>
          <w:szCs w:val="24"/>
          <w:lang w:val="zh-CN" w:bidi="zh-CN"/>
        </w:rPr>
        <w:t>日</w:t>
      </w:r>
    </w:p>
    <w:p>
      <w:pPr>
        <w:autoSpaceDE w:val="0"/>
        <w:autoSpaceDN w:val="0"/>
        <w:spacing w:before="20" w:after="20" w:line="360" w:lineRule="auto"/>
        <w:jc w:val="center"/>
        <w:rPr>
          <w:rFonts w:ascii="宋体" w:hAnsi="宋体"/>
          <w:b/>
          <w:bCs/>
          <w:sz w:val="28"/>
          <w:szCs w:val="28"/>
          <w:lang w:bidi="zh-CN"/>
        </w:rPr>
      </w:pPr>
      <w:bookmarkStart w:id="980" w:name="_Toc148459154"/>
    </w:p>
    <w:p>
      <w:pPr>
        <w:autoSpaceDE w:val="0"/>
        <w:autoSpaceDN w:val="0"/>
        <w:spacing w:before="20" w:after="20" w:line="360" w:lineRule="auto"/>
        <w:jc w:val="center"/>
        <w:rPr>
          <w:rFonts w:ascii="宋体" w:hAnsi="宋体"/>
          <w:b/>
          <w:bCs/>
          <w:sz w:val="28"/>
          <w:szCs w:val="28"/>
          <w:lang w:bidi="zh-CN"/>
        </w:rPr>
      </w:pPr>
    </w:p>
    <w:p>
      <w:pPr>
        <w:autoSpaceDE w:val="0"/>
        <w:autoSpaceDN w:val="0"/>
        <w:spacing w:before="20" w:after="20" w:line="360" w:lineRule="auto"/>
        <w:jc w:val="center"/>
        <w:rPr>
          <w:rFonts w:ascii="宋体" w:hAnsi="宋体"/>
          <w:b/>
          <w:bCs/>
          <w:sz w:val="28"/>
          <w:szCs w:val="28"/>
        </w:rPr>
      </w:pPr>
      <w:r>
        <w:rPr>
          <w:rFonts w:hint="eastAsia" w:ascii="宋体" w:hAnsi="宋体"/>
          <w:b/>
          <w:bCs/>
          <w:sz w:val="28"/>
          <w:szCs w:val="28"/>
          <w:lang w:bidi="zh-CN"/>
        </w:rPr>
        <w:t>四、设备运行日常需更换的易损件及维修配件等清单</w:t>
      </w:r>
      <w:bookmarkEnd w:id="976"/>
      <w:bookmarkEnd w:id="977"/>
      <w:bookmarkEnd w:id="978"/>
      <w:bookmarkEnd w:id="979"/>
      <w:bookmarkEnd w:id="980"/>
    </w:p>
    <w:tbl>
      <w:tblPr>
        <w:tblStyle w:val="28"/>
        <w:tblW w:w="9021" w:type="dxa"/>
        <w:jc w:val="center"/>
        <w:tblInd w:w="0" w:type="dxa"/>
        <w:tblLayout w:type="fixed"/>
        <w:tblCellMar>
          <w:top w:w="0" w:type="dxa"/>
          <w:left w:w="108" w:type="dxa"/>
          <w:bottom w:w="0" w:type="dxa"/>
          <w:right w:w="108" w:type="dxa"/>
        </w:tblCellMar>
      </w:tblPr>
      <w:tblGrid>
        <w:gridCol w:w="1319"/>
        <w:gridCol w:w="742"/>
        <w:gridCol w:w="705"/>
        <w:gridCol w:w="1275"/>
        <w:gridCol w:w="840"/>
        <w:gridCol w:w="1035"/>
        <w:gridCol w:w="990"/>
        <w:gridCol w:w="1095"/>
        <w:gridCol w:w="1020"/>
      </w:tblGrid>
      <w:tr>
        <w:tblPrEx>
          <w:tblLayout w:type="fixed"/>
          <w:tblCellMar>
            <w:top w:w="0" w:type="dxa"/>
            <w:left w:w="108" w:type="dxa"/>
            <w:bottom w:w="0" w:type="dxa"/>
            <w:right w:w="108" w:type="dxa"/>
          </w:tblCellMar>
        </w:tblPrEx>
        <w:trPr>
          <w:trHeight w:val="680" w:hRule="atLeast"/>
          <w:jc w:val="center"/>
        </w:trPr>
        <w:tc>
          <w:tcPr>
            <w:tcW w:w="131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cs="宋体"/>
                <w:kern w:val="0"/>
                <w:szCs w:val="21"/>
              </w:rPr>
            </w:pPr>
            <w:r>
              <w:rPr>
                <w:rFonts w:hint="eastAsia" w:cs="宋体"/>
                <w:kern w:val="0"/>
                <w:szCs w:val="21"/>
              </w:rPr>
              <w:t>名称</w:t>
            </w:r>
          </w:p>
        </w:tc>
        <w:tc>
          <w:tcPr>
            <w:tcW w:w="742"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cs="宋体"/>
                <w:kern w:val="0"/>
                <w:szCs w:val="21"/>
              </w:rPr>
            </w:pPr>
            <w:r>
              <w:rPr>
                <w:rFonts w:hint="eastAsia" w:cs="宋体"/>
                <w:kern w:val="0"/>
                <w:szCs w:val="21"/>
              </w:rPr>
              <w:t>单位</w:t>
            </w:r>
          </w:p>
        </w:tc>
        <w:tc>
          <w:tcPr>
            <w:tcW w:w="705"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cs="宋体"/>
                <w:kern w:val="0"/>
                <w:szCs w:val="21"/>
              </w:rPr>
            </w:pPr>
            <w:r>
              <w:rPr>
                <w:rFonts w:hint="eastAsia" w:cs="宋体"/>
                <w:kern w:val="0"/>
                <w:szCs w:val="21"/>
              </w:rPr>
              <w:t>数量</w:t>
            </w:r>
          </w:p>
        </w:tc>
        <w:tc>
          <w:tcPr>
            <w:tcW w:w="1275"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cs="宋体"/>
                <w:kern w:val="0"/>
                <w:szCs w:val="21"/>
              </w:rPr>
            </w:pPr>
            <w:r>
              <w:rPr>
                <w:rFonts w:hint="eastAsia" w:cs="宋体"/>
                <w:kern w:val="0"/>
                <w:szCs w:val="21"/>
              </w:rPr>
              <w:t>不含税单价（元）</w:t>
            </w:r>
          </w:p>
        </w:tc>
        <w:tc>
          <w:tcPr>
            <w:tcW w:w="840"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cs="宋体"/>
                <w:kern w:val="0"/>
                <w:szCs w:val="21"/>
              </w:rPr>
            </w:pPr>
            <w:r>
              <w:rPr>
                <w:rFonts w:hint="eastAsia" w:cs="宋体"/>
                <w:kern w:val="0"/>
                <w:szCs w:val="21"/>
              </w:rPr>
              <w:t>金额（元）</w:t>
            </w:r>
          </w:p>
        </w:tc>
        <w:tc>
          <w:tcPr>
            <w:tcW w:w="1035"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cs="宋体"/>
                <w:kern w:val="0"/>
                <w:szCs w:val="21"/>
              </w:rPr>
            </w:pPr>
            <w:r>
              <w:rPr>
                <w:rFonts w:hint="eastAsia" w:cs="宋体"/>
                <w:kern w:val="0"/>
                <w:szCs w:val="21"/>
              </w:rPr>
              <w:t>增值税税率（%）</w:t>
            </w:r>
          </w:p>
        </w:tc>
        <w:tc>
          <w:tcPr>
            <w:tcW w:w="990"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cs="宋体"/>
                <w:kern w:val="0"/>
                <w:szCs w:val="21"/>
              </w:rPr>
            </w:pPr>
            <w:r>
              <w:rPr>
                <w:rFonts w:hint="eastAsia" w:cs="宋体"/>
                <w:kern w:val="0"/>
                <w:szCs w:val="21"/>
              </w:rPr>
              <w:t>税额（元）</w:t>
            </w:r>
          </w:p>
        </w:tc>
        <w:tc>
          <w:tcPr>
            <w:tcW w:w="1095"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cs="宋体"/>
                <w:kern w:val="0"/>
                <w:szCs w:val="21"/>
              </w:rPr>
            </w:pPr>
            <w:r>
              <w:rPr>
                <w:rFonts w:hint="eastAsia" w:cs="宋体"/>
                <w:kern w:val="0"/>
                <w:szCs w:val="21"/>
              </w:rPr>
              <w:t>价税合计（元）</w:t>
            </w:r>
          </w:p>
        </w:tc>
        <w:tc>
          <w:tcPr>
            <w:tcW w:w="1020"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cs="宋体"/>
                <w:kern w:val="0"/>
                <w:szCs w:val="21"/>
              </w:rPr>
            </w:pPr>
            <w:r>
              <w:rPr>
                <w:rFonts w:hint="eastAsia" w:cs="宋体"/>
                <w:kern w:val="0"/>
                <w:szCs w:val="21"/>
              </w:rPr>
              <w:t>备注</w:t>
            </w:r>
          </w:p>
        </w:tc>
      </w:tr>
      <w:tr>
        <w:tblPrEx>
          <w:tblLayout w:type="fixed"/>
          <w:tblCellMar>
            <w:top w:w="0" w:type="dxa"/>
            <w:left w:w="108" w:type="dxa"/>
            <w:bottom w:w="0" w:type="dxa"/>
            <w:right w:w="108" w:type="dxa"/>
          </w:tblCellMar>
        </w:tblPrEx>
        <w:trPr>
          <w:trHeight w:val="680" w:hRule="atLeast"/>
          <w:jc w:val="center"/>
        </w:trPr>
        <w:tc>
          <w:tcPr>
            <w:tcW w:w="1319" w:type="dxa"/>
            <w:tcBorders>
              <w:top w:val="nil"/>
              <w:left w:val="single" w:color="auto" w:sz="4" w:space="0"/>
              <w:bottom w:val="single" w:color="auto" w:sz="4" w:space="0"/>
              <w:right w:val="single" w:color="auto" w:sz="4" w:space="0"/>
            </w:tcBorders>
            <w:vAlign w:val="center"/>
          </w:tcPr>
          <w:p>
            <w:pPr>
              <w:widowControl/>
              <w:spacing w:line="360" w:lineRule="exact"/>
              <w:jc w:val="center"/>
              <w:rPr>
                <w:rFonts w:cs="宋体"/>
                <w:kern w:val="0"/>
                <w:szCs w:val="21"/>
              </w:rPr>
            </w:pPr>
          </w:p>
        </w:tc>
        <w:tc>
          <w:tcPr>
            <w:tcW w:w="742"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70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27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84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3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9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9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2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r>
      <w:tr>
        <w:tblPrEx>
          <w:tblLayout w:type="fixed"/>
          <w:tblCellMar>
            <w:top w:w="0" w:type="dxa"/>
            <w:left w:w="108" w:type="dxa"/>
            <w:bottom w:w="0" w:type="dxa"/>
            <w:right w:w="108" w:type="dxa"/>
          </w:tblCellMar>
        </w:tblPrEx>
        <w:trPr>
          <w:trHeight w:val="680" w:hRule="atLeast"/>
          <w:jc w:val="center"/>
        </w:trPr>
        <w:tc>
          <w:tcPr>
            <w:tcW w:w="1319" w:type="dxa"/>
            <w:tcBorders>
              <w:top w:val="nil"/>
              <w:left w:val="single" w:color="auto" w:sz="4" w:space="0"/>
              <w:bottom w:val="single" w:color="auto" w:sz="4" w:space="0"/>
              <w:right w:val="single" w:color="auto" w:sz="4" w:space="0"/>
            </w:tcBorders>
            <w:vAlign w:val="center"/>
          </w:tcPr>
          <w:p>
            <w:pPr>
              <w:widowControl/>
              <w:spacing w:line="360" w:lineRule="exact"/>
              <w:jc w:val="center"/>
              <w:rPr>
                <w:rFonts w:cs="宋体"/>
                <w:kern w:val="0"/>
                <w:szCs w:val="21"/>
              </w:rPr>
            </w:pPr>
          </w:p>
        </w:tc>
        <w:tc>
          <w:tcPr>
            <w:tcW w:w="742"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70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27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84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3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9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9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2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r>
      <w:tr>
        <w:tblPrEx>
          <w:tblLayout w:type="fixed"/>
          <w:tblCellMar>
            <w:top w:w="0" w:type="dxa"/>
            <w:left w:w="108" w:type="dxa"/>
            <w:bottom w:w="0" w:type="dxa"/>
            <w:right w:w="108" w:type="dxa"/>
          </w:tblCellMar>
        </w:tblPrEx>
        <w:trPr>
          <w:trHeight w:val="680" w:hRule="atLeast"/>
          <w:jc w:val="center"/>
        </w:trPr>
        <w:tc>
          <w:tcPr>
            <w:tcW w:w="1319" w:type="dxa"/>
            <w:tcBorders>
              <w:top w:val="nil"/>
              <w:left w:val="single" w:color="auto" w:sz="4" w:space="0"/>
              <w:bottom w:val="single" w:color="auto" w:sz="4" w:space="0"/>
              <w:right w:val="single" w:color="auto" w:sz="4" w:space="0"/>
            </w:tcBorders>
            <w:vAlign w:val="center"/>
          </w:tcPr>
          <w:p>
            <w:pPr>
              <w:widowControl/>
              <w:spacing w:line="360" w:lineRule="exact"/>
              <w:jc w:val="center"/>
              <w:rPr>
                <w:rFonts w:cs="宋体"/>
                <w:kern w:val="0"/>
                <w:szCs w:val="21"/>
              </w:rPr>
            </w:pPr>
          </w:p>
        </w:tc>
        <w:tc>
          <w:tcPr>
            <w:tcW w:w="742"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70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27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84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3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9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9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2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r>
      <w:tr>
        <w:tblPrEx>
          <w:tblLayout w:type="fixed"/>
          <w:tblCellMar>
            <w:top w:w="0" w:type="dxa"/>
            <w:left w:w="108" w:type="dxa"/>
            <w:bottom w:w="0" w:type="dxa"/>
            <w:right w:w="108" w:type="dxa"/>
          </w:tblCellMar>
        </w:tblPrEx>
        <w:trPr>
          <w:trHeight w:val="680" w:hRule="atLeast"/>
          <w:jc w:val="center"/>
        </w:trPr>
        <w:tc>
          <w:tcPr>
            <w:tcW w:w="1319" w:type="dxa"/>
            <w:tcBorders>
              <w:top w:val="nil"/>
              <w:left w:val="single" w:color="auto" w:sz="4" w:space="0"/>
              <w:bottom w:val="single" w:color="auto" w:sz="4" w:space="0"/>
              <w:right w:val="single" w:color="auto" w:sz="4" w:space="0"/>
            </w:tcBorders>
            <w:vAlign w:val="center"/>
          </w:tcPr>
          <w:p>
            <w:pPr>
              <w:widowControl/>
              <w:spacing w:line="360" w:lineRule="exact"/>
              <w:jc w:val="center"/>
              <w:rPr>
                <w:rFonts w:cs="宋体"/>
                <w:kern w:val="0"/>
                <w:szCs w:val="21"/>
              </w:rPr>
            </w:pPr>
          </w:p>
        </w:tc>
        <w:tc>
          <w:tcPr>
            <w:tcW w:w="742"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70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27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84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3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9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9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2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r>
      <w:tr>
        <w:tblPrEx>
          <w:tblLayout w:type="fixed"/>
          <w:tblCellMar>
            <w:top w:w="0" w:type="dxa"/>
            <w:left w:w="108" w:type="dxa"/>
            <w:bottom w:w="0" w:type="dxa"/>
            <w:right w:w="108" w:type="dxa"/>
          </w:tblCellMar>
        </w:tblPrEx>
        <w:trPr>
          <w:trHeight w:val="680" w:hRule="atLeast"/>
          <w:jc w:val="center"/>
        </w:trPr>
        <w:tc>
          <w:tcPr>
            <w:tcW w:w="1319" w:type="dxa"/>
            <w:tcBorders>
              <w:top w:val="nil"/>
              <w:left w:val="single" w:color="auto" w:sz="4" w:space="0"/>
              <w:bottom w:val="single" w:color="auto" w:sz="4" w:space="0"/>
              <w:right w:val="single" w:color="auto" w:sz="4" w:space="0"/>
            </w:tcBorders>
            <w:vAlign w:val="center"/>
          </w:tcPr>
          <w:p>
            <w:pPr>
              <w:pStyle w:val="27"/>
              <w:ind w:left="0" w:leftChars="0" w:firstLine="0" w:firstLineChars="0"/>
              <w:jc w:val="center"/>
              <w:rPr>
                <w:rFonts w:ascii="宋体" w:hAnsi="宋体"/>
                <w:szCs w:val="21"/>
              </w:rPr>
            </w:pPr>
          </w:p>
        </w:tc>
        <w:tc>
          <w:tcPr>
            <w:tcW w:w="742"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70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27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84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3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9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9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2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r>
      <w:tr>
        <w:tblPrEx>
          <w:tblLayout w:type="fixed"/>
          <w:tblCellMar>
            <w:top w:w="0" w:type="dxa"/>
            <w:left w:w="108" w:type="dxa"/>
            <w:bottom w:w="0" w:type="dxa"/>
            <w:right w:w="108" w:type="dxa"/>
          </w:tblCellMar>
        </w:tblPrEx>
        <w:trPr>
          <w:trHeight w:val="680" w:hRule="atLeast"/>
          <w:jc w:val="center"/>
        </w:trPr>
        <w:tc>
          <w:tcPr>
            <w:tcW w:w="1319" w:type="dxa"/>
            <w:tcBorders>
              <w:top w:val="nil"/>
              <w:left w:val="single" w:color="auto" w:sz="4" w:space="0"/>
              <w:bottom w:val="single" w:color="auto" w:sz="4" w:space="0"/>
              <w:right w:val="single" w:color="auto" w:sz="4" w:space="0"/>
            </w:tcBorders>
            <w:vAlign w:val="center"/>
          </w:tcPr>
          <w:p>
            <w:pPr>
              <w:widowControl/>
              <w:spacing w:line="360" w:lineRule="exact"/>
              <w:jc w:val="center"/>
              <w:rPr>
                <w:rFonts w:cs="宋体"/>
                <w:kern w:val="0"/>
                <w:szCs w:val="21"/>
              </w:rPr>
            </w:pPr>
          </w:p>
        </w:tc>
        <w:tc>
          <w:tcPr>
            <w:tcW w:w="742"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70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27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84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3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9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9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2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r>
      <w:tr>
        <w:tblPrEx>
          <w:tblLayout w:type="fixed"/>
          <w:tblCellMar>
            <w:top w:w="0" w:type="dxa"/>
            <w:left w:w="108" w:type="dxa"/>
            <w:bottom w:w="0" w:type="dxa"/>
            <w:right w:w="108" w:type="dxa"/>
          </w:tblCellMar>
        </w:tblPrEx>
        <w:trPr>
          <w:trHeight w:val="680" w:hRule="atLeast"/>
          <w:jc w:val="center"/>
        </w:trPr>
        <w:tc>
          <w:tcPr>
            <w:tcW w:w="1319" w:type="dxa"/>
            <w:tcBorders>
              <w:top w:val="nil"/>
              <w:left w:val="single" w:color="auto" w:sz="4" w:space="0"/>
              <w:bottom w:val="single" w:color="auto" w:sz="4" w:space="0"/>
              <w:right w:val="single" w:color="auto" w:sz="4" w:space="0"/>
            </w:tcBorders>
            <w:vAlign w:val="center"/>
          </w:tcPr>
          <w:p>
            <w:pPr>
              <w:widowControl/>
              <w:spacing w:line="360" w:lineRule="exact"/>
              <w:jc w:val="center"/>
              <w:rPr>
                <w:rFonts w:cs="宋体"/>
                <w:kern w:val="0"/>
                <w:szCs w:val="21"/>
              </w:rPr>
            </w:pPr>
          </w:p>
        </w:tc>
        <w:tc>
          <w:tcPr>
            <w:tcW w:w="742"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70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27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84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3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9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9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2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r>
      <w:tr>
        <w:tblPrEx>
          <w:tblLayout w:type="fixed"/>
          <w:tblCellMar>
            <w:top w:w="0" w:type="dxa"/>
            <w:left w:w="108" w:type="dxa"/>
            <w:bottom w:w="0" w:type="dxa"/>
            <w:right w:w="108" w:type="dxa"/>
          </w:tblCellMar>
        </w:tblPrEx>
        <w:trPr>
          <w:trHeight w:val="680" w:hRule="atLeast"/>
          <w:jc w:val="center"/>
        </w:trPr>
        <w:tc>
          <w:tcPr>
            <w:tcW w:w="1319" w:type="dxa"/>
            <w:tcBorders>
              <w:top w:val="nil"/>
              <w:left w:val="single" w:color="auto" w:sz="4" w:space="0"/>
              <w:bottom w:val="single" w:color="auto" w:sz="4" w:space="0"/>
              <w:right w:val="single" w:color="auto" w:sz="4" w:space="0"/>
            </w:tcBorders>
            <w:vAlign w:val="center"/>
          </w:tcPr>
          <w:p>
            <w:pPr>
              <w:widowControl/>
              <w:spacing w:line="360" w:lineRule="exact"/>
              <w:jc w:val="center"/>
              <w:rPr>
                <w:rFonts w:cs="宋体"/>
                <w:kern w:val="0"/>
                <w:szCs w:val="21"/>
              </w:rPr>
            </w:pPr>
          </w:p>
        </w:tc>
        <w:tc>
          <w:tcPr>
            <w:tcW w:w="742"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70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27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84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3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9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9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2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r>
      <w:tr>
        <w:tblPrEx>
          <w:tblLayout w:type="fixed"/>
          <w:tblCellMar>
            <w:top w:w="0" w:type="dxa"/>
            <w:left w:w="108" w:type="dxa"/>
            <w:bottom w:w="0" w:type="dxa"/>
            <w:right w:w="108" w:type="dxa"/>
          </w:tblCellMar>
        </w:tblPrEx>
        <w:trPr>
          <w:trHeight w:val="680" w:hRule="atLeast"/>
          <w:jc w:val="center"/>
        </w:trPr>
        <w:tc>
          <w:tcPr>
            <w:tcW w:w="1319" w:type="dxa"/>
            <w:tcBorders>
              <w:top w:val="nil"/>
              <w:left w:val="single" w:color="auto" w:sz="4" w:space="0"/>
              <w:bottom w:val="single" w:color="auto" w:sz="4" w:space="0"/>
              <w:right w:val="single" w:color="auto" w:sz="4" w:space="0"/>
            </w:tcBorders>
            <w:vAlign w:val="center"/>
          </w:tcPr>
          <w:p>
            <w:pPr>
              <w:widowControl/>
              <w:spacing w:line="360" w:lineRule="exact"/>
              <w:jc w:val="center"/>
              <w:rPr>
                <w:rFonts w:cs="宋体"/>
                <w:kern w:val="0"/>
                <w:szCs w:val="21"/>
              </w:rPr>
            </w:pPr>
            <w:r>
              <w:rPr>
                <w:rFonts w:hint="eastAsia" w:cs="宋体"/>
                <w:kern w:val="0"/>
                <w:szCs w:val="21"/>
              </w:rPr>
              <w:t>合计</w:t>
            </w:r>
          </w:p>
        </w:tc>
        <w:tc>
          <w:tcPr>
            <w:tcW w:w="742"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70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27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84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3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99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95"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c>
          <w:tcPr>
            <w:tcW w:w="1020" w:type="dxa"/>
            <w:tcBorders>
              <w:top w:val="nil"/>
              <w:left w:val="nil"/>
              <w:bottom w:val="single" w:color="auto" w:sz="4" w:space="0"/>
              <w:right w:val="single" w:color="auto" w:sz="4" w:space="0"/>
            </w:tcBorders>
            <w:vAlign w:val="center"/>
          </w:tcPr>
          <w:p>
            <w:pPr>
              <w:widowControl/>
              <w:spacing w:line="360" w:lineRule="exact"/>
              <w:jc w:val="center"/>
              <w:rPr>
                <w:rFonts w:cs="宋体"/>
                <w:kern w:val="0"/>
                <w:szCs w:val="21"/>
              </w:rPr>
            </w:pPr>
          </w:p>
        </w:tc>
      </w:tr>
    </w:tbl>
    <w:p>
      <w:pPr>
        <w:spacing w:line="360" w:lineRule="auto"/>
        <w:ind w:firstLine="480" w:firstLineChars="200"/>
        <w:rPr>
          <w:rFonts w:cs="宋体"/>
          <w:sz w:val="24"/>
          <w:szCs w:val="24"/>
        </w:rPr>
      </w:pPr>
      <w:r>
        <w:rPr>
          <w:rFonts w:hint="eastAsia" w:cs="宋体"/>
          <w:sz w:val="24"/>
          <w:szCs w:val="24"/>
        </w:rPr>
        <w:t>说明：1、上述报价不计入投标报价中，仅供招标人评标时参考，后续设备日常运行中招标人可自行决定供方；</w:t>
      </w:r>
    </w:p>
    <w:p>
      <w:pPr>
        <w:spacing w:line="360" w:lineRule="auto"/>
        <w:ind w:firstLine="1200" w:firstLineChars="500"/>
        <w:rPr>
          <w:rFonts w:cs="宋体"/>
          <w:sz w:val="24"/>
          <w:szCs w:val="24"/>
        </w:rPr>
      </w:pPr>
      <w:r>
        <w:rPr>
          <w:rFonts w:hint="eastAsia" w:cs="宋体"/>
          <w:sz w:val="24"/>
          <w:szCs w:val="24"/>
        </w:rPr>
        <w:t>2、中标人在合同签订后三年内不得对上述报价上浮，在价格下调时也应给招标人同等优惠。</w:t>
      </w:r>
    </w:p>
    <w:p>
      <w:pPr>
        <w:pStyle w:val="17"/>
        <w:ind w:firstLine="482"/>
        <w:rPr>
          <w:rFonts w:cs="宋体"/>
          <w:szCs w:val="21"/>
        </w:rPr>
      </w:pPr>
    </w:p>
    <w:p>
      <w:pPr>
        <w:autoSpaceDE w:val="0"/>
        <w:autoSpaceDN w:val="0"/>
        <w:adjustRightInd w:val="0"/>
        <w:jc w:val="left"/>
        <w:rPr>
          <w:rFonts w:cs="宋体"/>
          <w:kern w:val="0"/>
          <w:sz w:val="28"/>
          <w:szCs w:val="28"/>
        </w:rPr>
      </w:pPr>
    </w:p>
    <w:p>
      <w:pPr>
        <w:snapToGrid w:val="0"/>
        <w:spacing w:line="480" w:lineRule="auto"/>
        <w:ind w:firstLine="420" w:firstLineChars="200"/>
        <w:jc w:val="right"/>
        <w:rPr>
          <w:rFonts w:cs="宋体"/>
          <w:sz w:val="24"/>
          <w:szCs w:val="24"/>
        </w:rPr>
      </w:pPr>
      <w:r>
        <w:rPr>
          <w:rFonts w:hint="eastAsia" w:cs="宋体"/>
        </w:rPr>
        <w:t xml:space="preserve">        </w:t>
      </w:r>
      <w:r>
        <w:rPr>
          <w:rFonts w:hint="eastAsia" w:cs="宋体"/>
          <w:sz w:val="24"/>
        </w:rPr>
        <w:t xml:space="preserve"> </w:t>
      </w:r>
      <w:r>
        <w:rPr>
          <w:rFonts w:hint="eastAsia" w:cs="宋体"/>
          <w:b/>
          <w:bCs/>
          <w:sz w:val="24"/>
        </w:rPr>
        <w:t xml:space="preserve"> </w:t>
      </w:r>
      <w:r>
        <w:rPr>
          <w:rFonts w:hint="eastAsia" w:cs="宋体"/>
          <w:sz w:val="24"/>
          <w:szCs w:val="24"/>
        </w:rPr>
        <w:t>投标人：</w:t>
      </w:r>
      <w:r>
        <w:rPr>
          <w:rFonts w:hint="eastAsia" w:cs="宋体"/>
          <w:sz w:val="24"/>
          <w:szCs w:val="24"/>
          <w:u w:val="single"/>
        </w:rPr>
        <w:t xml:space="preserve">                </w:t>
      </w:r>
      <w:r>
        <w:rPr>
          <w:rFonts w:hint="eastAsia" w:cs="宋体"/>
          <w:sz w:val="24"/>
          <w:szCs w:val="24"/>
        </w:rPr>
        <w:t>（盖单位公章）</w:t>
      </w:r>
    </w:p>
    <w:p>
      <w:pPr>
        <w:autoSpaceDE w:val="0"/>
        <w:autoSpaceDN w:val="0"/>
        <w:adjustRightInd w:val="0"/>
        <w:snapToGrid w:val="0"/>
        <w:spacing w:line="480" w:lineRule="auto"/>
        <w:jc w:val="right"/>
        <w:rPr>
          <w:rFonts w:cs="宋体"/>
          <w:sz w:val="24"/>
          <w:szCs w:val="24"/>
        </w:rPr>
      </w:pPr>
      <w:r>
        <w:rPr>
          <w:rFonts w:hint="eastAsia" w:cs="宋体"/>
          <w:sz w:val="24"/>
          <w:szCs w:val="24"/>
          <w:u w:val="single"/>
          <w:lang w:val="zh-CN" w:bidi="zh-CN"/>
        </w:rPr>
        <w:t xml:space="preserve">         </w:t>
      </w:r>
      <w:r>
        <w:rPr>
          <w:rFonts w:hint="eastAsia" w:cs="宋体"/>
          <w:sz w:val="24"/>
          <w:szCs w:val="24"/>
          <w:lang w:val="zh-CN" w:bidi="zh-CN"/>
        </w:rPr>
        <w:t>年</w:t>
      </w:r>
      <w:r>
        <w:rPr>
          <w:rFonts w:hint="eastAsia" w:cs="宋体"/>
          <w:sz w:val="24"/>
          <w:szCs w:val="24"/>
          <w:u w:val="single"/>
          <w:lang w:val="zh-CN" w:bidi="zh-CN"/>
        </w:rPr>
        <w:t xml:space="preserve">      </w:t>
      </w:r>
      <w:r>
        <w:rPr>
          <w:rFonts w:hint="eastAsia" w:cs="宋体"/>
          <w:sz w:val="24"/>
          <w:szCs w:val="24"/>
          <w:lang w:val="zh-CN" w:bidi="zh-CN"/>
        </w:rPr>
        <w:t>月</w:t>
      </w:r>
      <w:r>
        <w:rPr>
          <w:rFonts w:hint="eastAsia" w:cs="宋体"/>
          <w:sz w:val="24"/>
          <w:szCs w:val="24"/>
          <w:u w:val="single"/>
          <w:lang w:val="zh-CN" w:bidi="zh-CN"/>
        </w:rPr>
        <w:t xml:space="preserve">      </w:t>
      </w:r>
      <w:r>
        <w:rPr>
          <w:rFonts w:hint="eastAsia" w:cs="宋体"/>
          <w:sz w:val="24"/>
          <w:szCs w:val="24"/>
          <w:lang w:val="zh-CN" w:bidi="zh-CN"/>
        </w:rPr>
        <w:t>日</w:t>
      </w:r>
    </w:p>
    <w:p>
      <w:pPr>
        <w:spacing w:line="360" w:lineRule="auto"/>
        <w:jc w:val="center"/>
        <w:rPr>
          <w:rFonts w:cs="宋体"/>
          <w:b/>
          <w:bCs/>
          <w:sz w:val="28"/>
          <w:szCs w:val="28"/>
          <w:lang w:bidi="zh-CN"/>
        </w:rPr>
      </w:pPr>
    </w:p>
    <w:p>
      <w:pPr>
        <w:spacing w:line="360" w:lineRule="auto"/>
        <w:jc w:val="center"/>
        <w:rPr>
          <w:rFonts w:cs="宋体"/>
          <w:b/>
          <w:bCs/>
          <w:sz w:val="28"/>
          <w:szCs w:val="28"/>
          <w:lang w:bidi="zh-CN"/>
        </w:rPr>
      </w:pPr>
    </w:p>
    <w:p>
      <w:pPr>
        <w:spacing w:line="360" w:lineRule="auto"/>
        <w:jc w:val="center"/>
        <w:rPr>
          <w:rFonts w:cs="宋体"/>
          <w:b/>
          <w:bCs/>
          <w:sz w:val="28"/>
          <w:szCs w:val="28"/>
          <w:lang w:bidi="zh-CN"/>
        </w:rPr>
      </w:pPr>
      <w:r>
        <w:rPr>
          <w:rFonts w:hint="eastAsia" w:cs="宋体"/>
          <w:b/>
          <w:bCs/>
          <w:sz w:val="28"/>
          <w:szCs w:val="28"/>
          <w:lang w:bidi="zh-CN"/>
        </w:rPr>
        <w:t>五、其他</w:t>
      </w:r>
    </w:p>
    <w:p>
      <w:pPr>
        <w:spacing w:line="360" w:lineRule="auto"/>
        <w:ind w:firstLine="480" w:firstLineChars="200"/>
        <w:rPr>
          <w:rFonts w:cs="宋体"/>
          <w:sz w:val="24"/>
        </w:rPr>
      </w:pPr>
    </w:p>
    <w:p>
      <w:pPr>
        <w:spacing w:line="360" w:lineRule="auto"/>
        <w:ind w:firstLine="480" w:firstLineChars="200"/>
        <w:rPr>
          <w:rFonts w:cs="宋体"/>
          <w:b/>
          <w:bCs/>
          <w:sz w:val="36"/>
          <w:szCs w:val="36"/>
        </w:rPr>
      </w:pPr>
      <w:r>
        <w:rPr>
          <w:rFonts w:hint="eastAsia" w:cs="宋体"/>
          <w:sz w:val="24"/>
        </w:rPr>
        <w:t>投标人认为应提交的其他材料，可在此附件中提交。</w:t>
      </w:r>
    </w:p>
    <w:p>
      <w:pPr>
        <w:rPr>
          <w:rFonts w:cs="宋体"/>
          <w:sz w:val="28"/>
          <w:szCs w:val="28"/>
        </w:rPr>
      </w:pPr>
      <w:r>
        <w:rPr>
          <w:rFonts w:hint="eastAsia" w:cs="宋体"/>
          <w:sz w:val="28"/>
          <w:szCs w:val="28"/>
        </w:rPr>
        <w:t xml:space="preserve"> </w:t>
      </w:r>
    </w:p>
    <w:p>
      <w:pPr>
        <w:autoSpaceDE w:val="0"/>
        <w:autoSpaceDN w:val="0"/>
        <w:adjustRightInd w:val="0"/>
        <w:jc w:val="left"/>
        <w:rPr>
          <w:rFonts w:cs="宋体"/>
          <w:kern w:val="0"/>
          <w:sz w:val="28"/>
          <w:szCs w:val="28"/>
        </w:rPr>
      </w:pPr>
    </w:p>
    <w:p>
      <w:pPr>
        <w:autoSpaceDE w:val="0"/>
        <w:autoSpaceDN w:val="0"/>
        <w:adjustRightInd w:val="0"/>
        <w:jc w:val="left"/>
        <w:rPr>
          <w:rFonts w:cs="宋体"/>
          <w:kern w:val="0"/>
          <w:sz w:val="28"/>
          <w:szCs w:val="28"/>
        </w:rPr>
      </w:pPr>
    </w:p>
    <w:p>
      <w:pPr>
        <w:snapToGrid w:val="0"/>
        <w:spacing w:line="480" w:lineRule="auto"/>
        <w:ind w:firstLine="420" w:firstLineChars="200"/>
        <w:jc w:val="right"/>
        <w:rPr>
          <w:rFonts w:cs="宋体"/>
          <w:sz w:val="24"/>
          <w:szCs w:val="24"/>
        </w:rPr>
      </w:pPr>
      <w:r>
        <w:rPr>
          <w:rFonts w:hint="eastAsia" w:cs="宋体"/>
        </w:rPr>
        <w:t xml:space="preserve">        </w:t>
      </w:r>
      <w:r>
        <w:rPr>
          <w:rFonts w:hint="eastAsia" w:cs="宋体"/>
          <w:sz w:val="24"/>
        </w:rPr>
        <w:t xml:space="preserve"> </w:t>
      </w:r>
      <w:r>
        <w:rPr>
          <w:rFonts w:hint="eastAsia" w:cs="宋体"/>
          <w:b/>
          <w:bCs/>
          <w:sz w:val="24"/>
        </w:rPr>
        <w:t xml:space="preserve"> </w:t>
      </w:r>
      <w:r>
        <w:rPr>
          <w:rFonts w:hint="eastAsia" w:cs="宋体"/>
          <w:sz w:val="24"/>
          <w:szCs w:val="24"/>
        </w:rPr>
        <w:t>投标人：</w:t>
      </w:r>
      <w:r>
        <w:rPr>
          <w:rFonts w:hint="eastAsia" w:cs="宋体"/>
          <w:sz w:val="24"/>
          <w:szCs w:val="24"/>
          <w:u w:val="single"/>
        </w:rPr>
        <w:t xml:space="preserve">                </w:t>
      </w:r>
      <w:r>
        <w:rPr>
          <w:rFonts w:hint="eastAsia" w:cs="宋体"/>
          <w:sz w:val="24"/>
          <w:szCs w:val="24"/>
        </w:rPr>
        <w:t>（盖单位公章）</w:t>
      </w:r>
    </w:p>
    <w:p>
      <w:pPr>
        <w:autoSpaceDE w:val="0"/>
        <w:autoSpaceDN w:val="0"/>
        <w:adjustRightInd w:val="0"/>
        <w:snapToGrid w:val="0"/>
        <w:spacing w:line="480" w:lineRule="auto"/>
        <w:jc w:val="right"/>
        <w:rPr>
          <w:rFonts w:cs="宋体"/>
          <w:sz w:val="24"/>
          <w:szCs w:val="24"/>
        </w:rPr>
      </w:pPr>
      <w:r>
        <w:rPr>
          <w:rFonts w:hint="eastAsia" w:cs="宋体"/>
          <w:sz w:val="24"/>
          <w:szCs w:val="24"/>
          <w:u w:val="single"/>
          <w:lang w:val="zh-CN" w:bidi="zh-CN"/>
        </w:rPr>
        <w:t xml:space="preserve">         </w:t>
      </w:r>
      <w:r>
        <w:rPr>
          <w:rFonts w:hint="eastAsia" w:cs="宋体"/>
          <w:sz w:val="24"/>
          <w:szCs w:val="24"/>
          <w:lang w:val="zh-CN" w:bidi="zh-CN"/>
        </w:rPr>
        <w:t>年</w:t>
      </w:r>
      <w:r>
        <w:rPr>
          <w:rFonts w:hint="eastAsia" w:cs="宋体"/>
          <w:sz w:val="24"/>
          <w:szCs w:val="24"/>
          <w:u w:val="single"/>
          <w:lang w:val="zh-CN" w:bidi="zh-CN"/>
        </w:rPr>
        <w:t xml:space="preserve">      </w:t>
      </w:r>
      <w:r>
        <w:rPr>
          <w:rFonts w:hint="eastAsia" w:cs="宋体"/>
          <w:sz w:val="24"/>
          <w:szCs w:val="24"/>
          <w:lang w:val="zh-CN" w:bidi="zh-CN"/>
        </w:rPr>
        <w:t>月</w:t>
      </w:r>
      <w:r>
        <w:rPr>
          <w:rFonts w:hint="eastAsia" w:cs="宋体"/>
          <w:sz w:val="24"/>
          <w:szCs w:val="24"/>
          <w:u w:val="single"/>
          <w:lang w:val="zh-CN" w:bidi="zh-CN"/>
        </w:rPr>
        <w:t xml:space="preserve">      </w:t>
      </w:r>
      <w:r>
        <w:rPr>
          <w:rFonts w:hint="eastAsia" w:cs="宋体"/>
          <w:sz w:val="24"/>
          <w:szCs w:val="24"/>
          <w:lang w:val="zh-CN" w:bidi="zh-CN"/>
        </w:rPr>
        <w:t>日</w:t>
      </w:r>
    </w:p>
    <w:p>
      <w:pPr>
        <w:autoSpaceDE w:val="0"/>
        <w:autoSpaceDN w:val="0"/>
        <w:adjustRightInd w:val="0"/>
        <w:snapToGrid w:val="0"/>
        <w:spacing w:line="480" w:lineRule="auto"/>
        <w:rPr>
          <w:rFonts w:cs="宋体"/>
          <w:b/>
          <w:bCs/>
          <w:kern w:val="0"/>
          <w:sz w:val="28"/>
          <w:szCs w:val="28"/>
          <w:lang w:bidi="zh-CN"/>
        </w:rPr>
      </w:pPr>
    </w:p>
    <w:p>
      <w:pPr>
        <w:pStyle w:val="38"/>
        <w:jc w:val="left"/>
        <w:sectPr>
          <w:pgSz w:w="11906" w:h="16838"/>
          <w:pgMar w:top="1440" w:right="1797" w:bottom="1440" w:left="1797" w:header="851" w:footer="992" w:gutter="0"/>
          <w:cols w:space="425" w:num="1"/>
          <w:docGrid w:linePitch="312" w:charSpace="0"/>
        </w:sectPr>
      </w:pPr>
    </w:p>
    <w:p>
      <w:pPr>
        <w:widowControl/>
        <w:kinsoku w:val="0"/>
        <w:autoSpaceDE w:val="0"/>
        <w:autoSpaceDN w:val="0"/>
        <w:adjustRightInd w:val="0"/>
        <w:snapToGrid w:val="0"/>
        <w:spacing w:line="360" w:lineRule="auto"/>
        <w:jc w:val="center"/>
        <w:textAlignment w:val="baseline"/>
        <w:outlineLvl w:val="0"/>
        <w:rPr>
          <w:rFonts w:ascii="仿宋" w:hAnsi="仿宋" w:eastAsia="仿宋" w:cs="仿宋"/>
          <w:sz w:val="32"/>
          <w:szCs w:val="32"/>
        </w:rPr>
      </w:pPr>
      <w:bookmarkStart w:id="981" w:name="_Toc17278"/>
      <w:bookmarkStart w:id="982" w:name="_Toc28336"/>
      <w:bookmarkStart w:id="983" w:name="_Toc18612"/>
      <w:bookmarkStart w:id="984" w:name="_Toc23482"/>
      <w:bookmarkStart w:id="985" w:name="_Toc11685"/>
      <w:bookmarkStart w:id="986" w:name="_Toc19698"/>
      <w:bookmarkStart w:id="987" w:name="_Toc4593"/>
      <w:r>
        <w:rPr>
          <w:rFonts w:hint="eastAsia" w:ascii="仿宋" w:hAnsi="仿宋" w:eastAsia="仿宋" w:cs="仿宋"/>
          <w:b/>
          <w:bCs/>
          <w:sz w:val="44"/>
          <w:szCs w:val="44"/>
          <w:lang w:val="en-US" w:eastAsia="zh-CN"/>
        </w:rPr>
        <w:t>六、</w:t>
      </w:r>
      <w:r>
        <w:rPr>
          <w:rFonts w:hint="eastAsia" w:ascii="仿宋" w:hAnsi="仿宋" w:eastAsia="仿宋" w:cs="仿宋"/>
          <w:b/>
          <w:bCs/>
          <w:sz w:val="44"/>
          <w:szCs w:val="44"/>
        </w:rPr>
        <w:t>廉洁承诺书</w:t>
      </w:r>
      <w:bookmarkEnd w:id="981"/>
      <w:bookmarkEnd w:id="982"/>
      <w:bookmarkEnd w:id="983"/>
      <w:bookmarkEnd w:id="984"/>
      <w:bookmarkEnd w:id="985"/>
      <w:bookmarkEnd w:id="986"/>
      <w:bookmarkEnd w:id="987"/>
    </w:p>
    <w:p>
      <w:pPr>
        <w:widowControl/>
        <w:kinsoku w:val="0"/>
        <w:autoSpaceDE w:val="0"/>
        <w:autoSpaceDN w:val="0"/>
        <w:adjustRightInd w:val="0"/>
        <w:snapToGrid w:val="0"/>
        <w:spacing w:line="360" w:lineRule="auto"/>
        <w:ind w:firstLine="640" w:firstLineChars="200"/>
        <w:textAlignment w:val="baseline"/>
        <w:rPr>
          <w:rFonts w:ascii="仿宋" w:hAnsi="仿宋" w:eastAsia="仿宋" w:cs="仿宋"/>
          <w:sz w:val="32"/>
          <w:szCs w:val="32"/>
        </w:rPr>
      </w:pPr>
      <w:r>
        <w:rPr>
          <w:rFonts w:hint="eastAsia" w:ascii="仿宋" w:hAnsi="仿宋" w:eastAsia="仿宋" w:cs="仿宋"/>
          <w:sz w:val="32"/>
          <w:szCs w:val="32"/>
        </w:rPr>
        <w:t>为落实廉洁自律有关规定，打击贿赂、以权谋私等违法犯罪行为，维护员工职业操守，本单位对参加厦工（三明）重型机器有限公司项目中承诺：</w:t>
      </w:r>
    </w:p>
    <w:p>
      <w:pPr>
        <w:widowControl/>
        <w:kinsoku w:val="0"/>
        <w:autoSpaceDE w:val="0"/>
        <w:autoSpaceDN w:val="0"/>
        <w:adjustRightInd w:val="0"/>
        <w:snapToGrid w:val="0"/>
        <w:spacing w:line="360" w:lineRule="auto"/>
        <w:ind w:firstLine="640" w:firstLineChars="200"/>
        <w:textAlignment w:val="baseline"/>
        <w:rPr>
          <w:rFonts w:ascii="仿宋" w:hAnsi="仿宋" w:eastAsia="仿宋" w:cs="仿宋"/>
          <w:sz w:val="32"/>
          <w:szCs w:val="32"/>
        </w:rPr>
      </w:pPr>
      <w:r>
        <w:rPr>
          <w:rFonts w:hint="eastAsia" w:ascii="仿宋" w:hAnsi="仿宋" w:eastAsia="仿宋" w:cs="仿宋"/>
          <w:sz w:val="32"/>
          <w:szCs w:val="32"/>
        </w:rPr>
        <w:t>一、严格遵守党中央制定的有关廉政建设的条例、规定和国家制定的有关廉政建设的法律、法规，遵守厦工（三明）重型机器有限公司有关廉政建设的各项规定，坚持诚实信用、公平竞争的原则，为项目提供优质服务。</w:t>
      </w:r>
    </w:p>
    <w:p>
      <w:pPr>
        <w:widowControl/>
        <w:kinsoku w:val="0"/>
        <w:autoSpaceDE w:val="0"/>
        <w:autoSpaceDN w:val="0"/>
        <w:adjustRightInd w:val="0"/>
        <w:snapToGrid w:val="0"/>
        <w:spacing w:line="360" w:lineRule="auto"/>
        <w:ind w:firstLine="640" w:firstLineChars="200"/>
        <w:textAlignment w:val="baseline"/>
        <w:rPr>
          <w:rFonts w:ascii="仿宋" w:hAnsi="仿宋" w:eastAsia="仿宋" w:cs="仿宋"/>
          <w:sz w:val="32"/>
          <w:szCs w:val="32"/>
        </w:rPr>
      </w:pPr>
      <w:r>
        <w:rPr>
          <w:rFonts w:hint="eastAsia" w:ascii="仿宋" w:hAnsi="仿宋" w:eastAsia="仿宋" w:cs="仿宋"/>
          <w:sz w:val="32"/>
          <w:szCs w:val="32"/>
        </w:rPr>
        <w:t>二、对我公司人员进行廉政教育、党纪政纪和法律法规教育，在投标中不以向招标人或者评标小组成员行贿的手段谋取中标。在投标过程中不以任何借口和方式向厦工（三明）重型机器有限公司的招标工作人员及其亲属馈赠礼金、礼品（含有价证券）；不向厦工（三明）重型机器有限公司的工作人员提供任何应由其个人支付报酬的劳务（如：建、修住宅等）、其他服务及其费用；不为厦工（三明）重型机器有限公司的工作人员安排可能影响公正进行投标工作的宴请、旅游或变相旅游等一切活动；不为厦工（三明）重型机器有限公司的工作人员报销任何名义的个人消费凭证；不为厦工（三明）重型机器有限公司的工作人员安排违反社会公德的活动；不为厦工（三明）重型机器有限公司的工作人员提供经商、办企业、消费提供特殊便利或优惠等。</w:t>
      </w:r>
    </w:p>
    <w:p>
      <w:pPr>
        <w:widowControl/>
        <w:kinsoku w:val="0"/>
        <w:autoSpaceDE w:val="0"/>
        <w:autoSpaceDN w:val="0"/>
        <w:adjustRightInd w:val="0"/>
        <w:snapToGrid w:val="0"/>
        <w:spacing w:line="360" w:lineRule="auto"/>
        <w:ind w:firstLine="640" w:firstLineChars="200"/>
        <w:textAlignment w:val="baseline"/>
        <w:rPr>
          <w:rFonts w:ascii="仿宋" w:hAnsi="仿宋" w:eastAsia="仿宋" w:cs="仿宋"/>
          <w:sz w:val="32"/>
          <w:szCs w:val="32"/>
        </w:rPr>
      </w:pPr>
      <w:r>
        <w:rPr>
          <w:rFonts w:hint="eastAsia" w:ascii="仿宋" w:hAnsi="仿宋" w:eastAsia="仿宋" w:cs="仿宋"/>
          <w:sz w:val="32"/>
          <w:szCs w:val="32"/>
        </w:rPr>
        <w:t>三、在投标过程中不擅自组织任何可能影响公正进行投标工作的活动，不相互串通投标报价、不排挤其他投标人的公平竞争。</w:t>
      </w:r>
    </w:p>
    <w:p>
      <w:pPr>
        <w:widowControl/>
        <w:kinsoku w:val="0"/>
        <w:autoSpaceDE w:val="0"/>
        <w:autoSpaceDN w:val="0"/>
        <w:adjustRightInd w:val="0"/>
        <w:snapToGrid w:val="0"/>
        <w:spacing w:line="360" w:lineRule="auto"/>
        <w:ind w:firstLine="640" w:firstLineChars="200"/>
        <w:textAlignment w:val="baseline"/>
        <w:rPr>
          <w:rFonts w:ascii="仿宋" w:hAnsi="仿宋" w:eastAsia="仿宋" w:cs="仿宋"/>
          <w:sz w:val="32"/>
          <w:szCs w:val="32"/>
        </w:rPr>
      </w:pPr>
      <w:r>
        <w:rPr>
          <w:rFonts w:hint="eastAsia" w:ascii="仿宋" w:hAnsi="仿宋" w:eastAsia="仿宋" w:cs="仿宋"/>
          <w:sz w:val="32"/>
          <w:szCs w:val="32"/>
        </w:rPr>
        <w:t>四、自觉接受监督，本单位及员工若有违反本承诺书（包括但不限于本承诺书所列举禁止行为的），一经发现，招标人有权取消我公司投标资格，投标结果无效。</w:t>
      </w:r>
    </w:p>
    <w:p>
      <w:pPr>
        <w:widowControl/>
        <w:kinsoku w:val="0"/>
        <w:autoSpaceDE w:val="0"/>
        <w:autoSpaceDN w:val="0"/>
        <w:adjustRightInd w:val="0"/>
        <w:snapToGrid w:val="0"/>
        <w:spacing w:line="360" w:lineRule="auto"/>
        <w:textAlignment w:val="baseline"/>
        <w:rPr>
          <w:rFonts w:ascii="仿宋" w:hAnsi="仿宋" w:eastAsia="仿宋" w:cs="仿宋"/>
          <w:sz w:val="32"/>
          <w:szCs w:val="32"/>
        </w:rPr>
      </w:pPr>
    </w:p>
    <w:p>
      <w:pPr>
        <w:widowControl/>
        <w:kinsoku w:val="0"/>
        <w:autoSpaceDE w:val="0"/>
        <w:autoSpaceDN w:val="0"/>
        <w:adjustRightInd w:val="0"/>
        <w:snapToGrid w:val="0"/>
        <w:spacing w:line="360" w:lineRule="auto"/>
        <w:textAlignment w:val="baseline"/>
        <w:rPr>
          <w:rFonts w:ascii="仿宋" w:hAnsi="仿宋" w:eastAsia="仿宋" w:cs="仿宋"/>
          <w:sz w:val="32"/>
          <w:szCs w:val="32"/>
        </w:rPr>
      </w:pPr>
    </w:p>
    <w:p>
      <w:pPr>
        <w:widowControl/>
        <w:kinsoku w:val="0"/>
        <w:autoSpaceDE w:val="0"/>
        <w:autoSpaceDN w:val="0"/>
        <w:adjustRightInd w:val="0"/>
        <w:snapToGrid w:val="0"/>
        <w:spacing w:line="360" w:lineRule="auto"/>
        <w:ind w:firstLine="640" w:firstLineChars="200"/>
        <w:textAlignment w:val="baseline"/>
        <w:rPr>
          <w:rFonts w:ascii="仿宋" w:hAnsi="仿宋" w:eastAsia="仿宋" w:cs="仿宋"/>
          <w:sz w:val="32"/>
          <w:szCs w:val="32"/>
        </w:rPr>
      </w:pPr>
      <w:r>
        <w:rPr>
          <w:rFonts w:hint="eastAsia" w:ascii="仿宋" w:hAnsi="仿宋" w:eastAsia="仿宋" w:cs="仿宋"/>
          <w:sz w:val="32"/>
          <w:szCs w:val="32"/>
        </w:rPr>
        <w:t xml:space="preserve">投标人名称（盖章）:               </w:t>
      </w:r>
    </w:p>
    <w:p>
      <w:pPr>
        <w:widowControl/>
        <w:kinsoku w:val="0"/>
        <w:autoSpaceDE w:val="0"/>
        <w:autoSpaceDN w:val="0"/>
        <w:adjustRightInd w:val="0"/>
        <w:snapToGrid w:val="0"/>
        <w:spacing w:line="360" w:lineRule="auto"/>
        <w:ind w:left="4478" w:leftChars="304" w:hanging="3840" w:hangingChars="1200"/>
        <w:textAlignment w:val="baseline"/>
        <w:rPr>
          <w:rFonts w:ascii="仿宋" w:hAnsi="仿宋" w:eastAsia="仿宋" w:cs="仿宋"/>
          <w:sz w:val="32"/>
          <w:szCs w:val="32"/>
        </w:rPr>
      </w:pPr>
      <w:r>
        <w:rPr>
          <w:rFonts w:hint="eastAsia" w:ascii="仿宋" w:hAnsi="仿宋" w:eastAsia="仿宋" w:cs="仿宋"/>
          <w:sz w:val="32"/>
          <w:szCs w:val="32"/>
        </w:rPr>
        <w:t>法定代表人（盖章或签字）:</w:t>
      </w:r>
    </w:p>
    <w:p>
      <w:pPr>
        <w:widowControl/>
        <w:kinsoku w:val="0"/>
        <w:autoSpaceDE w:val="0"/>
        <w:autoSpaceDN w:val="0"/>
        <w:adjustRightInd w:val="0"/>
        <w:snapToGrid w:val="0"/>
        <w:spacing w:line="360" w:lineRule="auto"/>
        <w:ind w:left="4478" w:leftChars="304" w:hanging="3840" w:hangingChars="1200"/>
        <w:textAlignment w:val="baseline"/>
        <w:rPr>
          <w:rFonts w:ascii="仿宋" w:hAnsi="仿宋" w:eastAsia="仿宋" w:cs="仿宋"/>
          <w:sz w:val="32"/>
          <w:szCs w:val="32"/>
        </w:rPr>
      </w:pPr>
      <w:r>
        <w:rPr>
          <w:rFonts w:hint="eastAsia" w:ascii="仿宋" w:hAnsi="仿宋" w:eastAsia="仿宋" w:cs="仿宋"/>
          <w:sz w:val="32"/>
          <w:szCs w:val="32"/>
        </w:rPr>
        <w:t xml:space="preserve">联系电话：              </w:t>
      </w:r>
    </w:p>
    <w:p>
      <w:pPr>
        <w:widowControl/>
        <w:kinsoku w:val="0"/>
        <w:autoSpaceDE w:val="0"/>
        <w:autoSpaceDN w:val="0"/>
        <w:adjustRightInd w:val="0"/>
        <w:snapToGrid w:val="0"/>
        <w:spacing w:line="360" w:lineRule="auto"/>
        <w:ind w:firstLine="640" w:firstLineChars="200"/>
        <w:textAlignment w:val="baseline"/>
        <w:rPr>
          <w:rFonts w:ascii="宋体" w:hAnsi="宋体" w:cs="宋体"/>
          <w:sz w:val="32"/>
          <w:szCs w:val="32"/>
        </w:rPr>
      </w:pPr>
      <w:r>
        <w:rPr>
          <w:rFonts w:hint="eastAsia" w:ascii="仿宋" w:hAnsi="仿宋" w:eastAsia="仿宋" w:cs="仿宋"/>
          <w:sz w:val="32"/>
          <w:szCs w:val="32"/>
        </w:rPr>
        <w:t xml:space="preserve">日期：              </w:t>
      </w:r>
    </w:p>
    <w:p>
      <w:pPr>
        <w:pStyle w:val="38"/>
        <w:jc w:val="left"/>
      </w:pPr>
    </w:p>
    <w:bookmarkEnd w:id="988"/>
    <w:sectPr>
      <w:footerReference r:id="rId7" w:type="default"/>
      <w:pgSz w:w="11900" w:h="16838"/>
      <w:pgMar w:top="1440" w:right="1800" w:bottom="1440" w:left="180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五">
    <w:altName w:val="黑体"/>
    <w:panose1 w:val="00000000000000000000"/>
    <w:charset w:val="86"/>
    <w:family w:val="auto"/>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幼圆">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3064606"/>
    </w:sdtPr>
    <w:sdtContent>
      <w:p>
        <w:pPr>
          <w:pStyle w:val="19"/>
          <w:spacing w:after="120"/>
          <w:jc w:val="center"/>
        </w:pPr>
        <w:r>
          <w:fldChar w:fldCharType="begin"/>
        </w:r>
        <w:r>
          <w:instrText xml:space="preserve">PAGE   \* MERGEFORMAT</w:instrText>
        </w:r>
        <w:r>
          <w:fldChar w:fldCharType="separate"/>
        </w:r>
        <w:r>
          <w:rPr>
            <w:lang w:val="zh-CN"/>
          </w:rPr>
          <w:t>45</w:t>
        </w:r>
        <w:r>
          <w:fldChar w:fldCharType="end"/>
        </w:r>
      </w:p>
    </w:sdtContent>
  </w:sdt>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jc w:val="center"/>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92</w:t>
                          </w:r>
                          <w:r>
                            <w:rPr>
                              <w:rFonts w:hint="eastAsia"/>
                            </w:rPr>
                            <w:fldChar w:fldCharType="end"/>
                          </w:r>
                          <w:r>
                            <w:rPr>
                              <w:rFonts w:hint="eastAsia"/>
                            </w:rPr>
                            <w:t xml:space="preserve"> 页 共 </w:t>
                          </w:r>
                          <w:r>
                            <w:fldChar w:fldCharType="begin"/>
                          </w:r>
                          <w:r>
                            <w:instrText xml:space="preserve"> NUMPAGES  \* MERGEFORMAT </w:instrText>
                          </w:r>
                          <w:r>
                            <w:fldChar w:fldCharType="separate"/>
                          </w:r>
                          <w:ins w:id="0" w:author="Administrator" w:date="2025-10-31T15:10:00Z">
                            <w:r>
                              <w:rPr/>
                              <w:t>94</w:t>
                            </w:r>
                          </w:ins>
                          <w:r>
                            <w:fldChar w:fldCharType="end"/>
                          </w:r>
                          <w:r>
                            <w:rPr>
                              <w:rFonts w:hint="eastAsia"/>
                            </w:rP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OqXm5zwAAAAUBAAAPAAAA&#10;AAAAAAEAIAAAACIAAABkcnMvZG93bnJldi54bWxQSwECFAAUAAAACACHTuJAnYw41qwBAABNAwAA&#10;DgAAAAAAAAABACAAAAAeAQAAZHJzL2Uyb0RvYy54bWxQSwUGAAAAAAYABgBZAQAAPAUAAAAA&#10;">
              <v:fill on="f" focussize="0,0"/>
              <v:stroke on="f"/>
              <v:imagedata o:title=""/>
              <o:lock v:ext="edit" aspectratio="f"/>
              <v:textbox inset="0mm,0mm,0mm,0mm" style="mso-fit-shape-to-text:t;">
                <w:txbxContent>
                  <w:p>
                    <w:pPr>
                      <w:pStyle w:val="1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92</w:t>
                    </w:r>
                    <w:r>
                      <w:rPr>
                        <w:rFonts w:hint="eastAsia"/>
                      </w:rPr>
                      <w:fldChar w:fldCharType="end"/>
                    </w:r>
                    <w:r>
                      <w:rPr>
                        <w:rFonts w:hint="eastAsia"/>
                      </w:rPr>
                      <w:t xml:space="preserve"> 页 共 </w:t>
                    </w:r>
                    <w:r>
                      <w:fldChar w:fldCharType="begin"/>
                    </w:r>
                    <w:r>
                      <w:instrText xml:space="preserve"> NUMPAGES  \* MERGEFORMAT </w:instrText>
                    </w:r>
                    <w:r>
                      <w:fldChar w:fldCharType="separate"/>
                    </w:r>
                    <w:ins w:id="1" w:author="Administrator" w:date="2025-10-31T15:10:00Z">
                      <w:r>
                        <w:rPr/>
                        <w:t>94</w:t>
                      </w:r>
                    </w:ins>
                    <w:r>
                      <w:fldChar w:fldCharType="end"/>
                    </w:r>
                    <w:r>
                      <w:rPr>
                        <w:rFonts w:hint="eastAsia"/>
                      </w:rPr>
                      <w:t xml:space="preserve"> 页</w:t>
                    </w:r>
                  </w:p>
                </w:txbxContent>
              </v:textbox>
            </v:shape>
          </w:pict>
        </mc:Fallback>
      </mc:AlternateContent>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5908E8"/>
    <w:multiLevelType w:val="singleLevel"/>
    <w:tmpl w:val="CB5908E8"/>
    <w:lvl w:ilvl="0" w:tentative="0">
      <w:start w:val="1"/>
      <w:numFmt w:val="decimal"/>
      <w:suff w:val="nothing"/>
      <w:lvlText w:val="%1、"/>
      <w:lvlJc w:val="left"/>
    </w:lvl>
  </w:abstractNum>
  <w:abstractNum w:abstractNumId="1">
    <w:nsid w:val="E57ACA92"/>
    <w:multiLevelType w:val="singleLevel"/>
    <w:tmpl w:val="E57ACA92"/>
    <w:lvl w:ilvl="0" w:tentative="0">
      <w:start w:val="2"/>
      <w:numFmt w:val="chineseCounting"/>
      <w:suff w:val="nothing"/>
      <w:lvlText w:val="（%1）"/>
      <w:lvlJc w:val="left"/>
      <w:rPr>
        <w:rFonts w:hint="eastAsia"/>
      </w:rPr>
    </w:lvl>
  </w:abstractNum>
  <w:abstractNum w:abstractNumId="2">
    <w:nsid w:val="EBC2B33F"/>
    <w:multiLevelType w:val="singleLevel"/>
    <w:tmpl w:val="EBC2B33F"/>
    <w:lvl w:ilvl="0" w:tentative="0">
      <w:start w:val="1"/>
      <w:numFmt w:val="decimal"/>
      <w:lvlText w:val="%1."/>
      <w:lvlJc w:val="left"/>
      <w:pPr>
        <w:tabs>
          <w:tab w:val="left" w:pos="312"/>
        </w:tabs>
      </w:pPr>
    </w:lvl>
  </w:abstractNum>
  <w:abstractNum w:abstractNumId="3">
    <w:nsid w:val="07544C16"/>
    <w:multiLevelType w:val="multilevel"/>
    <w:tmpl w:val="07544C16"/>
    <w:lvl w:ilvl="0" w:tentative="0">
      <w:start w:val="1"/>
      <w:numFmt w:val="decimal"/>
      <w:lvlText w:val="%1)"/>
      <w:lvlJc w:val="left"/>
      <w:pPr>
        <w:tabs>
          <w:tab w:val="left" w:pos="900"/>
        </w:tabs>
        <w:ind w:left="900" w:hanging="420"/>
      </w:pPr>
      <w:rPr>
        <w:rFonts w:hint="default" w:ascii="宋体" w:hAnsi="宋体" w:eastAsia="宋体" w:cs="宋体"/>
      </w:rPr>
    </w:lvl>
    <w:lvl w:ilvl="1" w:tentative="0">
      <w:start w:val="1"/>
      <w:numFmt w:val="lowerLetter"/>
      <w:lvlText w:val="%2)"/>
      <w:lvlJc w:val="left"/>
      <w:pPr>
        <w:tabs>
          <w:tab w:val="left" w:pos="1320"/>
        </w:tabs>
        <w:ind w:left="1320" w:hanging="420"/>
      </w:pPr>
      <w:rPr>
        <w:rFonts w:hint="default" w:ascii="Times New Roman" w:hAnsi="Times New Roman" w:cs="Times New Roman"/>
      </w:rPr>
    </w:lvl>
    <w:lvl w:ilvl="2" w:tentative="0">
      <w:start w:val="1"/>
      <w:numFmt w:val="lowerRoman"/>
      <w:lvlText w:val="%3."/>
      <w:lvlJc w:val="right"/>
      <w:pPr>
        <w:tabs>
          <w:tab w:val="left" w:pos="1740"/>
        </w:tabs>
        <w:ind w:left="1740" w:hanging="420"/>
      </w:pPr>
      <w:rPr>
        <w:rFonts w:hint="default" w:ascii="Times New Roman" w:hAnsi="Times New Roman" w:cs="Times New Roman"/>
      </w:rPr>
    </w:lvl>
    <w:lvl w:ilvl="3" w:tentative="0">
      <w:start w:val="1"/>
      <w:numFmt w:val="decimal"/>
      <w:lvlText w:val="%4."/>
      <w:lvlJc w:val="left"/>
      <w:pPr>
        <w:tabs>
          <w:tab w:val="left" w:pos="2160"/>
        </w:tabs>
        <w:ind w:left="2160" w:hanging="420"/>
      </w:pPr>
      <w:rPr>
        <w:rFonts w:hint="default" w:ascii="Times New Roman" w:hAnsi="Times New Roman" w:cs="Times New Roman"/>
      </w:rPr>
    </w:lvl>
    <w:lvl w:ilvl="4" w:tentative="0">
      <w:start w:val="1"/>
      <w:numFmt w:val="lowerLetter"/>
      <w:lvlText w:val="%5)"/>
      <w:lvlJc w:val="left"/>
      <w:pPr>
        <w:tabs>
          <w:tab w:val="left" w:pos="2580"/>
        </w:tabs>
        <w:ind w:left="2580" w:hanging="420"/>
      </w:pPr>
      <w:rPr>
        <w:rFonts w:hint="default" w:ascii="Times New Roman" w:hAnsi="Times New Roman" w:cs="Times New Roman"/>
      </w:rPr>
    </w:lvl>
    <w:lvl w:ilvl="5" w:tentative="0">
      <w:start w:val="1"/>
      <w:numFmt w:val="lowerRoman"/>
      <w:lvlText w:val="%6."/>
      <w:lvlJc w:val="right"/>
      <w:pPr>
        <w:tabs>
          <w:tab w:val="left" w:pos="3000"/>
        </w:tabs>
        <w:ind w:left="3000" w:hanging="420"/>
      </w:pPr>
      <w:rPr>
        <w:rFonts w:hint="default" w:ascii="Times New Roman" w:hAnsi="Times New Roman" w:cs="Times New Roman"/>
      </w:rPr>
    </w:lvl>
    <w:lvl w:ilvl="6" w:tentative="0">
      <w:start w:val="1"/>
      <w:numFmt w:val="decimal"/>
      <w:lvlText w:val="%7."/>
      <w:lvlJc w:val="left"/>
      <w:pPr>
        <w:tabs>
          <w:tab w:val="left" w:pos="3420"/>
        </w:tabs>
        <w:ind w:left="3420" w:hanging="420"/>
      </w:pPr>
      <w:rPr>
        <w:rFonts w:hint="default" w:ascii="Times New Roman" w:hAnsi="Times New Roman" w:cs="Times New Roman"/>
      </w:rPr>
    </w:lvl>
    <w:lvl w:ilvl="7" w:tentative="0">
      <w:start w:val="1"/>
      <w:numFmt w:val="lowerLetter"/>
      <w:lvlText w:val="%8)"/>
      <w:lvlJc w:val="left"/>
      <w:pPr>
        <w:tabs>
          <w:tab w:val="left" w:pos="3840"/>
        </w:tabs>
        <w:ind w:left="3840" w:hanging="420"/>
      </w:pPr>
      <w:rPr>
        <w:rFonts w:hint="default" w:ascii="Times New Roman" w:hAnsi="Times New Roman" w:cs="Times New Roman"/>
      </w:rPr>
    </w:lvl>
    <w:lvl w:ilvl="8" w:tentative="0">
      <w:start w:val="1"/>
      <w:numFmt w:val="lowerRoman"/>
      <w:lvlText w:val="%9."/>
      <w:lvlJc w:val="right"/>
      <w:pPr>
        <w:tabs>
          <w:tab w:val="left" w:pos="4260"/>
        </w:tabs>
        <w:ind w:left="4260" w:hanging="420"/>
      </w:pPr>
      <w:rPr>
        <w:rFonts w:hint="default" w:ascii="Times New Roman" w:hAnsi="Times New Roman" w:cs="Times New Roman"/>
      </w:rPr>
    </w:lvl>
  </w:abstractNum>
  <w:abstractNum w:abstractNumId="4">
    <w:nsid w:val="08D2698D"/>
    <w:multiLevelType w:val="singleLevel"/>
    <w:tmpl w:val="08D2698D"/>
    <w:lvl w:ilvl="0" w:tentative="0">
      <w:start w:val="1"/>
      <w:numFmt w:val="chineseCounting"/>
      <w:suff w:val="nothing"/>
      <w:lvlText w:val="%1、"/>
      <w:lvlJc w:val="left"/>
      <w:rPr>
        <w:rFonts w:hint="eastAsia"/>
      </w:rPr>
    </w:lvl>
  </w:abstractNum>
  <w:abstractNum w:abstractNumId="5">
    <w:nsid w:val="2B673BA4"/>
    <w:multiLevelType w:val="multilevel"/>
    <w:tmpl w:val="2B673BA4"/>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964"/>
        </w:tabs>
        <w:ind w:left="0" w:firstLine="425"/>
      </w:pPr>
      <w:rPr>
        <w:rFonts w:hint="eastAsia" w:ascii="宋体" w:hAnsi="宋体" w:eastAsia="宋体"/>
      </w:rPr>
    </w:lvl>
    <w:lvl w:ilvl="2" w:tentative="0">
      <w:start w:val="1"/>
      <w:numFmt w:val="decimal"/>
      <w:lvlText w:val="%1.%2.%3"/>
      <w:lvlJc w:val="left"/>
      <w:pPr>
        <w:tabs>
          <w:tab w:val="left" w:pos="964"/>
        </w:tabs>
        <w:ind w:left="0" w:firstLine="425"/>
      </w:pPr>
      <w:rPr>
        <w:rFonts w:hint="default" w:ascii="宋体" w:hAnsi="宋体" w:eastAsia="宋体"/>
        <w:sz w:val="20"/>
        <w:szCs w:val="20"/>
      </w:rPr>
    </w:lvl>
    <w:lvl w:ilvl="3" w:tentative="0">
      <w:start w:val="1"/>
      <w:numFmt w:val="decimal"/>
      <w:lvlText w:val="%1.%2.%3.%4"/>
      <w:lvlJc w:val="left"/>
      <w:pPr>
        <w:tabs>
          <w:tab w:val="left" w:pos="964"/>
        </w:tabs>
        <w:ind w:left="113" w:firstLine="312"/>
      </w:pPr>
      <w:rPr>
        <w:rFonts w:hint="eastAsia" w:ascii="宋体" w:hAnsi="宋体" w:eastAsia="宋体"/>
      </w:rPr>
    </w:lvl>
    <w:lvl w:ilvl="4" w:tentative="0">
      <w:start w:val="1"/>
      <w:numFmt w:val="decimal"/>
      <w:lvlText w:val="%1.%2.%3.%4.%5"/>
      <w:lvlJc w:val="left"/>
      <w:pPr>
        <w:tabs>
          <w:tab w:val="left" w:pos="3141"/>
        </w:tabs>
        <w:ind w:left="2551" w:hanging="850"/>
      </w:pPr>
      <w:rPr>
        <w:rFonts w:hint="eastAsia" w:ascii="宋体" w:hAnsi="宋体" w:eastAsia="宋体"/>
      </w:rPr>
    </w:lvl>
    <w:lvl w:ilvl="5" w:tentative="0">
      <w:start w:val="1"/>
      <w:numFmt w:val="decimal"/>
      <w:lvlText w:val="%1.%2.%3.%4.%5.%6"/>
      <w:lvlJc w:val="left"/>
      <w:pPr>
        <w:tabs>
          <w:tab w:val="left" w:pos="3566"/>
        </w:tabs>
        <w:ind w:left="3260" w:hanging="1134"/>
      </w:pPr>
      <w:rPr>
        <w:rFonts w:hint="eastAsia" w:ascii="宋体" w:hAnsi="宋体" w:eastAsia="宋体"/>
      </w:rPr>
    </w:lvl>
    <w:lvl w:ilvl="6" w:tentative="0">
      <w:start w:val="1"/>
      <w:numFmt w:val="decimal"/>
      <w:lvlText w:val="%1.%2.%3.%4.%5.%6.%7"/>
      <w:lvlJc w:val="left"/>
      <w:pPr>
        <w:tabs>
          <w:tab w:val="left" w:pos="4351"/>
        </w:tabs>
        <w:ind w:left="3827" w:hanging="1276"/>
      </w:pPr>
      <w:rPr>
        <w:rFonts w:hint="eastAsia" w:ascii="宋体" w:hAnsi="宋体" w:eastAsia="宋体"/>
      </w:rPr>
    </w:lvl>
    <w:lvl w:ilvl="7" w:tentative="0">
      <w:start w:val="1"/>
      <w:numFmt w:val="decimal"/>
      <w:lvlText w:val="%1.%2.%3.%4.%5.%6.%7.%8"/>
      <w:lvlJc w:val="left"/>
      <w:pPr>
        <w:tabs>
          <w:tab w:val="left" w:pos="5136"/>
        </w:tabs>
        <w:ind w:left="4394" w:hanging="1418"/>
      </w:pPr>
      <w:rPr>
        <w:rFonts w:hint="eastAsia" w:ascii="宋体" w:hAnsi="宋体" w:eastAsia="宋体"/>
      </w:rPr>
    </w:lvl>
    <w:lvl w:ilvl="8" w:tentative="0">
      <w:start w:val="1"/>
      <w:numFmt w:val="decimal"/>
      <w:lvlText w:val="%1.%2.%3.%4.%5.%6.%7.%8.%9"/>
      <w:lvlJc w:val="left"/>
      <w:pPr>
        <w:tabs>
          <w:tab w:val="left" w:pos="5562"/>
        </w:tabs>
        <w:ind w:left="5102" w:hanging="1700"/>
      </w:pPr>
      <w:rPr>
        <w:rFonts w:hint="eastAsia" w:ascii="宋体" w:hAnsi="宋体" w:eastAsia="宋体"/>
      </w:rPr>
    </w:lvl>
  </w:abstractNum>
  <w:abstractNum w:abstractNumId="6">
    <w:nsid w:val="597B3712"/>
    <w:multiLevelType w:val="singleLevel"/>
    <w:tmpl w:val="597B3712"/>
    <w:lvl w:ilvl="0" w:tentative="0">
      <w:start w:val="1"/>
      <w:numFmt w:val="decimal"/>
      <w:suff w:val="nothing"/>
      <w:lvlText w:val="（%1）"/>
      <w:lvlJc w:val="left"/>
    </w:lvl>
  </w:abstractNum>
  <w:abstractNum w:abstractNumId="7">
    <w:nsid w:val="7F0C3462"/>
    <w:multiLevelType w:val="multilevel"/>
    <w:tmpl w:val="7F0C3462"/>
    <w:lvl w:ilvl="0" w:tentative="0">
      <w:start w:val="1"/>
      <w:numFmt w:val="japaneseCounting"/>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 w:numId="6">
    <w:abstractNumId w:val="1"/>
  </w:num>
  <w:num w:numId="7">
    <w:abstractNumId w:val="2"/>
  </w:num>
  <w:num w:numId="8">
    <w:abstractNumId w:val="7"/>
  </w:num>
  <w:num w:numId="9">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JlNDY1YzUwNDZiMDk3YjE2YmMyZjBjOTA5YjUxNmEifQ=="/>
  </w:docVars>
  <w:rsids>
    <w:rsidRoot w:val="005B291A"/>
    <w:rsid w:val="00001673"/>
    <w:rsid w:val="00003B34"/>
    <w:rsid w:val="00006666"/>
    <w:rsid w:val="00006733"/>
    <w:rsid w:val="00012A1A"/>
    <w:rsid w:val="00017EC3"/>
    <w:rsid w:val="00021761"/>
    <w:rsid w:val="00024909"/>
    <w:rsid w:val="00024C20"/>
    <w:rsid w:val="000267C8"/>
    <w:rsid w:val="00032DA2"/>
    <w:rsid w:val="00034DAF"/>
    <w:rsid w:val="00035996"/>
    <w:rsid w:val="00037102"/>
    <w:rsid w:val="00037F4E"/>
    <w:rsid w:val="0004095F"/>
    <w:rsid w:val="000422F6"/>
    <w:rsid w:val="00042908"/>
    <w:rsid w:val="00053F56"/>
    <w:rsid w:val="000544C5"/>
    <w:rsid w:val="000673B9"/>
    <w:rsid w:val="0006747A"/>
    <w:rsid w:val="00070B67"/>
    <w:rsid w:val="00070DA6"/>
    <w:rsid w:val="00074E09"/>
    <w:rsid w:val="0007730F"/>
    <w:rsid w:val="00080CFD"/>
    <w:rsid w:val="000817E6"/>
    <w:rsid w:val="00084052"/>
    <w:rsid w:val="000864B2"/>
    <w:rsid w:val="00087B35"/>
    <w:rsid w:val="00090127"/>
    <w:rsid w:val="00095829"/>
    <w:rsid w:val="000A68B1"/>
    <w:rsid w:val="000B3A03"/>
    <w:rsid w:val="000D11ED"/>
    <w:rsid w:val="000D194C"/>
    <w:rsid w:val="000D76A1"/>
    <w:rsid w:val="000E2BAF"/>
    <w:rsid w:val="000E2C51"/>
    <w:rsid w:val="000E3E4F"/>
    <w:rsid w:val="000E480B"/>
    <w:rsid w:val="000E6C68"/>
    <w:rsid w:val="000E777F"/>
    <w:rsid w:val="000F1201"/>
    <w:rsid w:val="000F5080"/>
    <w:rsid w:val="000F7FBB"/>
    <w:rsid w:val="001029FE"/>
    <w:rsid w:val="00105A1A"/>
    <w:rsid w:val="00112757"/>
    <w:rsid w:val="001168F5"/>
    <w:rsid w:val="00126812"/>
    <w:rsid w:val="00130580"/>
    <w:rsid w:val="001345AA"/>
    <w:rsid w:val="00134CC3"/>
    <w:rsid w:val="00136961"/>
    <w:rsid w:val="001474CD"/>
    <w:rsid w:val="001567E2"/>
    <w:rsid w:val="00160960"/>
    <w:rsid w:val="00163DDD"/>
    <w:rsid w:val="00166E1F"/>
    <w:rsid w:val="00170B67"/>
    <w:rsid w:val="00171EC9"/>
    <w:rsid w:val="0017240F"/>
    <w:rsid w:val="001768AC"/>
    <w:rsid w:val="001777F1"/>
    <w:rsid w:val="00180D18"/>
    <w:rsid w:val="00180DDC"/>
    <w:rsid w:val="0018280D"/>
    <w:rsid w:val="0018388E"/>
    <w:rsid w:val="0018458F"/>
    <w:rsid w:val="00185F11"/>
    <w:rsid w:val="00197BA2"/>
    <w:rsid w:val="001A0208"/>
    <w:rsid w:val="001A1574"/>
    <w:rsid w:val="001A3D26"/>
    <w:rsid w:val="001B0ACC"/>
    <w:rsid w:val="001B1204"/>
    <w:rsid w:val="001B2032"/>
    <w:rsid w:val="001C21B6"/>
    <w:rsid w:val="001C45F6"/>
    <w:rsid w:val="001D062E"/>
    <w:rsid w:val="001D21B2"/>
    <w:rsid w:val="001D422E"/>
    <w:rsid w:val="001D4FD8"/>
    <w:rsid w:val="001D5265"/>
    <w:rsid w:val="001E0538"/>
    <w:rsid w:val="001E0D89"/>
    <w:rsid w:val="001E6A3D"/>
    <w:rsid w:val="001F0221"/>
    <w:rsid w:val="001F128E"/>
    <w:rsid w:val="001F2328"/>
    <w:rsid w:val="001F37B9"/>
    <w:rsid w:val="001F7E1C"/>
    <w:rsid w:val="00200351"/>
    <w:rsid w:val="002044DB"/>
    <w:rsid w:val="00205EBE"/>
    <w:rsid w:val="00232A4D"/>
    <w:rsid w:val="0023469A"/>
    <w:rsid w:val="00234C79"/>
    <w:rsid w:val="00246878"/>
    <w:rsid w:val="002475A8"/>
    <w:rsid w:val="00251D97"/>
    <w:rsid w:val="00252476"/>
    <w:rsid w:val="0025407F"/>
    <w:rsid w:val="002718DF"/>
    <w:rsid w:val="00271F86"/>
    <w:rsid w:val="00277E63"/>
    <w:rsid w:val="002819AA"/>
    <w:rsid w:val="00286B99"/>
    <w:rsid w:val="00290607"/>
    <w:rsid w:val="002924A2"/>
    <w:rsid w:val="00296C12"/>
    <w:rsid w:val="0029717E"/>
    <w:rsid w:val="0029796A"/>
    <w:rsid w:val="002C3785"/>
    <w:rsid w:val="002D691A"/>
    <w:rsid w:val="002E2684"/>
    <w:rsid w:val="002F0547"/>
    <w:rsid w:val="002F51B1"/>
    <w:rsid w:val="002F525A"/>
    <w:rsid w:val="002F7D75"/>
    <w:rsid w:val="003042D0"/>
    <w:rsid w:val="00307B55"/>
    <w:rsid w:val="00307D21"/>
    <w:rsid w:val="003134A5"/>
    <w:rsid w:val="003144D0"/>
    <w:rsid w:val="00314767"/>
    <w:rsid w:val="00315FEA"/>
    <w:rsid w:val="003217DA"/>
    <w:rsid w:val="00321EF2"/>
    <w:rsid w:val="0032568B"/>
    <w:rsid w:val="003274CA"/>
    <w:rsid w:val="0033240D"/>
    <w:rsid w:val="0033542E"/>
    <w:rsid w:val="0033676E"/>
    <w:rsid w:val="00337847"/>
    <w:rsid w:val="003408B9"/>
    <w:rsid w:val="00343E1D"/>
    <w:rsid w:val="0034618F"/>
    <w:rsid w:val="00351597"/>
    <w:rsid w:val="00356D88"/>
    <w:rsid w:val="00365121"/>
    <w:rsid w:val="003722B5"/>
    <w:rsid w:val="003808DF"/>
    <w:rsid w:val="00382EB7"/>
    <w:rsid w:val="00385247"/>
    <w:rsid w:val="00394719"/>
    <w:rsid w:val="00396227"/>
    <w:rsid w:val="003A02FA"/>
    <w:rsid w:val="003A2081"/>
    <w:rsid w:val="003A5BC7"/>
    <w:rsid w:val="003A5DFE"/>
    <w:rsid w:val="003A7AC3"/>
    <w:rsid w:val="003A7FB5"/>
    <w:rsid w:val="003B0484"/>
    <w:rsid w:val="003B1345"/>
    <w:rsid w:val="003B5D19"/>
    <w:rsid w:val="003C2E68"/>
    <w:rsid w:val="003C4E38"/>
    <w:rsid w:val="003C6171"/>
    <w:rsid w:val="003C736A"/>
    <w:rsid w:val="003D178F"/>
    <w:rsid w:val="003E22A5"/>
    <w:rsid w:val="003E2525"/>
    <w:rsid w:val="003E3CDB"/>
    <w:rsid w:val="003E5889"/>
    <w:rsid w:val="003E5DF6"/>
    <w:rsid w:val="003E60E6"/>
    <w:rsid w:val="003E6D3F"/>
    <w:rsid w:val="003E7D77"/>
    <w:rsid w:val="003F0091"/>
    <w:rsid w:val="003F02A0"/>
    <w:rsid w:val="003F2AD3"/>
    <w:rsid w:val="003F3BF0"/>
    <w:rsid w:val="003F642A"/>
    <w:rsid w:val="0040513C"/>
    <w:rsid w:val="0040589E"/>
    <w:rsid w:val="00407F46"/>
    <w:rsid w:val="0041209D"/>
    <w:rsid w:val="004162F7"/>
    <w:rsid w:val="0041759C"/>
    <w:rsid w:val="0042041F"/>
    <w:rsid w:val="00420597"/>
    <w:rsid w:val="00421A8D"/>
    <w:rsid w:val="00425F27"/>
    <w:rsid w:val="004359A0"/>
    <w:rsid w:val="00437C20"/>
    <w:rsid w:val="00441DEA"/>
    <w:rsid w:val="00443852"/>
    <w:rsid w:val="004457E1"/>
    <w:rsid w:val="00460E3A"/>
    <w:rsid w:val="00475BBA"/>
    <w:rsid w:val="004818EC"/>
    <w:rsid w:val="00487067"/>
    <w:rsid w:val="004872B6"/>
    <w:rsid w:val="00494005"/>
    <w:rsid w:val="0049421F"/>
    <w:rsid w:val="00495BE8"/>
    <w:rsid w:val="00496E94"/>
    <w:rsid w:val="0049722D"/>
    <w:rsid w:val="0049761D"/>
    <w:rsid w:val="004A49F9"/>
    <w:rsid w:val="004A4EE5"/>
    <w:rsid w:val="004B61B1"/>
    <w:rsid w:val="004B672F"/>
    <w:rsid w:val="004D4E88"/>
    <w:rsid w:val="004D7A2D"/>
    <w:rsid w:val="004E4001"/>
    <w:rsid w:val="004E4F62"/>
    <w:rsid w:val="004E67CD"/>
    <w:rsid w:val="004F0C25"/>
    <w:rsid w:val="004F326D"/>
    <w:rsid w:val="004F405A"/>
    <w:rsid w:val="004F6EE9"/>
    <w:rsid w:val="004F7531"/>
    <w:rsid w:val="00500209"/>
    <w:rsid w:val="00503454"/>
    <w:rsid w:val="0050369B"/>
    <w:rsid w:val="005040A1"/>
    <w:rsid w:val="005050C1"/>
    <w:rsid w:val="00506C0F"/>
    <w:rsid w:val="00507726"/>
    <w:rsid w:val="005155C5"/>
    <w:rsid w:val="005169B6"/>
    <w:rsid w:val="00517E96"/>
    <w:rsid w:val="00517F52"/>
    <w:rsid w:val="00524BD8"/>
    <w:rsid w:val="00527C2B"/>
    <w:rsid w:val="00530EA4"/>
    <w:rsid w:val="00531023"/>
    <w:rsid w:val="00537C35"/>
    <w:rsid w:val="005408D0"/>
    <w:rsid w:val="00544DFC"/>
    <w:rsid w:val="00546005"/>
    <w:rsid w:val="0054689D"/>
    <w:rsid w:val="00547307"/>
    <w:rsid w:val="00550CA1"/>
    <w:rsid w:val="0055125A"/>
    <w:rsid w:val="00553481"/>
    <w:rsid w:val="00560475"/>
    <w:rsid w:val="00562A24"/>
    <w:rsid w:val="00572A11"/>
    <w:rsid w:val="00573F7B"/>
    <w:rsid w:val="00574DBF"/>
    <w:rsid w:val="00575D26"/>
    <w:rsid w:val="0057605A"/>
    <w:rsid w:val="0058041C"/>
    <w:rsid w:val="00582E4D"/>
    <w:rsid w:val="00585DF4"/>
    <w:rsid w:val="00592674"/>
    <w:rsid w:val="00597DDF"/>
    <w:rsid w:val="005A03F5"/>
    <w:rsid w:val="005A1DC4"/>
    <w:rsid w:val="005A3775"/>
    <w:rsid w:val="005A38F2"/>
    <w:rsid w:val="005A42F7"/>
    <w:rsid w:val="005A4900"/>
    <w:rsid w:val="005A5DA6"/>
    <w:rsid w:val="005B10D0"/>
    <w:rsid w:val="005B291A"/>
    <w:rsid w:val="005C13A0"/>
    <w:rsid w:val="005C2806"/>
    <w:rsid w:val="005C348D"/>
    <w:rsid w:val="005D33E0"/>
    <w:rsid w:val="005D34D6"/>
    <w:rsid w:val="005D3751"/>
    <w:rsid w:val="005E57ED"/>
    <w:rsid w:val="005F0BAA"/>
    <w:rsid w:val="005F122D"/>
    <w:rsid w:val="005F20B2"/>
    <w:rsid w:val="005F2CAA"/>
    <w:rsid w:val="006008C2"/>
    <w:rsid w:val="00600992"/>
    <w:rsid w:val="00606D51"/>
    <w:rsid w:val="006114A1"/>
    <w:rsid w:val="0061484F"/>
    <w:rsid w:val="00622E0A"/>
    <w:rsid w:val="00625259"/>
    <w:rsid w:val="00626FC0"/>
    <w:rsid w:val="00627673"/>
    <w:rsid w:val="00637C5F"/>
    <w:rsid w:val="0064084A"/>
    <w:rsid w:val="00643906"/>
    <w:rsid w:val="00654B9E"/>
    <w:rsid w:val="00655254"/>
    <w:rsid w:val="0065794B"/>
    <w:rsid w:val="00664AA2"/>
    <w:rsid w:val="00665C7F"/>
    <w:rsid w:val="00666EBF"/>
    <w:rsid w:val="0066788C"/>
    <w:rsid w:val="006724A4"/>
    <w:rsid w:val="0067303B"/>
    <w:rsid w:val="006776DE"/>
    <w:rsid w:val="00684BC9"/>
    <w:rsid w:val="0069314E"/>
    <w:rsid w:val="00694A3C"/>
    <w:rsid w:val="006971F9"/>
    <w:rsid w:val="006A4633"/>
    <w:rsid w:val="006A669D"/>
    <w:rsid w:val="006A6EE6"/>
    <w:rsid w:val="006B05CE"/>
    <w:rsid w:val="006B25CB"/>
    <w:rsid w:val="006B2FAD"/>
    <w:rsid w:val="006B324F"/>
    <w:rsid w:val="006B4DA8"/>
    <w:rsid w:val="006C16AE"/>
    <w:rsid w:val="006C51FF"/>
    <w:rsid w:val="006C5FA3"/>
    <w:rsid w:val="006C7F39"/>
    <w:rsid w:val="006C7F7A"/>
    <w:rsid w:val="006D2112"/>
    <w:rsid w:val="006D4EC3"/>
    <w:rsid w:val="006D6594"/>
    <w:rsid w:val="006D72E0"/>
    <w:rsid w:val="006E204E"/>
    <w:rsid w:val="006E6D80"/>
    <w:rsid w:val="006F1BBE"/>
    <w:rsid w:val="006F2B0E"/>
    <w:rsid w:val="006F2EB3"/>
    <w:rsid w:val="006F326E"/>
    <w:rsid w:val="006F456F"/>
    <w:rsid w:val="006F4579"/>
    <w:rsid w:val="006F5D09"/>
    <w:rsid w:val="006F6001"/>
    <w:rsid w:val="006F733B"/>
    <w:rsid w:val="00700397"/>
    <w:rsid w:val="00700A5A"/>
    <w:rsid w:val="0070390B"/>
    <w:rsid w:val="007054BC"/>
    <w:rsid w:val="00705881"/>
    <w:rsid w:val="00705CAF"/>
    <w:rsid w:val="00706AF0"/>
    <w:rsid w:val="00713C1B"/>
    <w:rsid w:val="00716295"/>
    <w:rsid w:val="00722C14"/>
    <w:rsid w:val="007269F5"/>
    <w:rsid w:val="0072777B"/>
    <w:rsid w:val="007344D3"/>
    <w:rsid w:val="00735732"/>
    <w:rsid w:val="00736840"/>
    <w:rsid w:val="0073694A"/>
    <w:rsid w:val="007426DA"/>
    <w:rsid w:val="00744CE5"/>
    <w:rsid w:val="00751F54"/>
    <w:rsid w:val="007535E4"/>
    <w:rsid w:val="00760055"/>
    <w:rsid w:val="00762480"/>
    <w:rsid w:val="00766D9F"/>
    <w:rsid w:val="00772FAB"/>
    <w:rsid w:val="0077375D"/>
    <w:rsid w:val="00774CC6"/>
    <w:rsid w:val="00785400"/>
    <w:rsid w:val="00792EC9"/>
    <w:rsid w:val="0079320D"/>
    <w:rsid w:val="00793A6C"/>
    <w:rsid w:val="0079535E"/>
    <w:rsid w:val="007975FA"/>
    <w:rsid w:val="00797D5B"/>
    <w:rsid w:val="007A194C"/>
    <w:rsid w:val="007A1AB4"/>
    <w:rsid w:val="007A2225"/>
    <w:rsid w:val="007A3B62"/>
    <w:rsid w:val="007A5D46"/>
    <w:rsid w:val="007C05F1"/>
    <w:rsid w:val="007C3B5F"/>
    <w:rsid w:val="007C7805"/>
    <w:rsid w:val="007D3514"/>
    <w:rsid w:val="007D3728"/>
    <w:rsid w:val="007D423C"/>
    <w:rsid w:val="007E0A63"/>
    <w:rsid w:val="007E1AC0"/>
    <w:rsid w:val="007E3F6F"/>
    <w:rsid w:val="007E48FE"/>
    <w:rsid w:val="007E5E55"/>
    <w:rsid w:val="007E68EC"/>
    <w:rsid w:val="007E7B40"/>
    <w:rsid w:val="007F536B"/>
    <w:rsid w:val="007F6139"/>
    <w:rsid w:val="00804A16"/>
    <w:rsid w:val="00811907"/>
    <w:rsid w:val="00820D01"/>
    <w:rsid w:val="008311BC"/>
    <w:rsid w:val="008329E2"/>
    <w:rsid w:val="00836733"/>
    <w:rsid w:val="00837FD3"/>
    <w:rsid w:val="00845F60"/>
    <w:rsid w:val="008462B4"/>
    <w:rsid w:val="00846D0F"/>
    <w:rsid w:val="008578FA"/>
    <w:rsid w:val="00860F3A"/>
    <w:rsid w:val="00863641"/>
    <w:rsid w:val="008732F9"/>
    <w:rsid w:val="00876B18"/>
    <w:rsid w:val="008829D2"/>
    <w:rsid w:val="008866DF"/>
    <w:rsid w:val="008927DD"/>
    <w:rsid w:val="0089538A"/>
    <w:rsid w:val="008A033A"/>
    <w:rsid w:val="008A1EE4"/>
    <w:rsid w:val="008A1F84"/>
    <w:rsid w:val="008A30B4"/>
    <w:rsid w:val="008B1319"/>
    <w:rsid w:val="008B1C91"/>
    <w:rsid w:val="008C2BC6"/>
    <w:rsid w:val="008C45B7"/>
    <w:rsid w:val="008C4E05"/>
    <w:rsid w:val="008C68D1"/>
    <w:rsid w:val="008C6DD4"/>
    <w:rsid w:val="008C7636"/>
    <w:rsid w:val="008D1735"/>
    <w:rsid w:val="008D2599"/>
    <w:rsid w:val="008D6D53"/>
    <w:rsid w:val="008E0118"/>
    <w:rsid w:val="008E4B68"/>
    <w:rsid w:val="008E540F"/>
    <w:rsid w:val="008E6541"/>
    <w:rsid w:val="008E718B"/>
    <w:rsid w:val="00900E62"/>
    <w:rsid w:val="00903A5C"/>
    <w:rsid w:val="00906703"/>
    <w:rsid w:val="00906B6C"/>
    <w:rsid w:val="009131D7"/>
    <w:rsid w:val="009172BD"/>
    <w:rsid w:val="00917F6D"/>
    <w:rsid w:val="0092166A"/>
    <w:rsid w:val="00922BAD"/>
    <w:rsid w:val="00940ECF"/>
    <w:rsid w:val="009410E6"/>
    <w:rsid w:val="00943A10"/>
    <w:rsid w:val="00945036"/>
    <w:rsid w:val="00945AA6"/>
    <w:rsid w:val="00951CA0"/>
    <w:rsid w:val="00953214"/>
    <w:rsid w:val="00961E92"/>
    <w:rsid w:val="0096276A"/>
    <w:rsid w:val="00963634"/>
    <w:rsid w:val="009742D3"/>
    <w:rsid w:val="00974F0E"/>
    <w:rsid w:val="00981A15"/>
    <w:rsid w:val="00987328"/>
    <w:rsid w:val="00987859"/>
    <w:rsid w:val="009932AD"/>
    <w:rsid w:val="00993BB0"/>
    <w:rsid w:val="009A1FA7"/>
    <w:rsid w:val="009A2A61"/>
    <w:rsid w:val="009A368A"/>
    <w:rsid w:val="009A3F60"/>
    <w:rsid w:val="009A5B64"/>
    <w:rsid w:val="009B3EC7"/>
    <w:rsid w:val="009B5118"/>
    <w:rsid w:val="009B6A3C"/>
    <w:rsid w:val="009C2FDE"/>
    <w:rsid w:val="009C39FC"/>
    <w:rsid w:val="009C3E97"/>
    <w:rsid w:val="009C4F57"/>
    <w:rsid w:val="009C7A17"/>
    <w:rsid w:val="009D1471"/>
    <w:rsid w:val="009D1500"/>
    <w:rsid w:val="009D2584"/>
    <w:rsid w:val="009D7D7C"/>
    <w:rsid w:val="009E06D5"/>
    <w:rsid w:val="009E1C9C"/>
    <w:rsid w:val="009E33FF"/>
    <w:rsid w:val="009E34C0"/>
    <w:rsid w:val="009E3980"/>
    <w:rsid w:val="009E5BBA"/>
    <w:rsid w:val="009F2046"/>
    <w:rsid w:val="009F23C1"/>
    <w:rsid w:val="00A01369"/>
    <w:rsid w:val="00A04A05"/>
    <w:rsid w:val="00A07D73"/>
    <w:rsid w:val="00A22635"/>
    <w:rsid w:val="00A269AA"/>
    <w:rsid w:val="00A2748F"/>
    <w:rsid w:val="00A276EC"/>
    <w:rsid w:val="00A279AA"/>
    <w:rsid w:val="00A35361"/>
    <w:rsid w:val="00A35D3C"/>
    <w:rsid w:val="00A408D8"/>
    <w:rsid w:val="00A41EB8"/>
    <w:rsid w:val="00A44B6F"/>
    <w:rsid w:val="00A553B8"/>
    <w:rsid w:val="00A55E9D"/>
    <w:rsid w:val="00A74689"/>
    <w:rsid w:val="00A75902"/>
    <w:rsid w:val="00A76F5A"/>
    <w:rsid w:val="00A77858"/>
    <w:rsid w:val="00A82A1D"/>
    <w:rsid w:val="00A8390F"/>
    <w:rsid w:val="00A83F50"/>
    <w:rsid w:val="00A8448C"/>
    <w:rsid w:val="00A900C6"/>
    <w:rsid w:val="00A93E01"/>
    <w:rsid w:val="00A9654F"/>
    <w:rsid w:val="00A96754"/>
    <w:rsid w:val="00AA26C5"/>
    <w:rsid w:val="00AA3996"/>
    <w:rsid w:val="00AA41AD"/>
    <w:rsid w:val="00AA50D8"/>
    <w:rsid w:val="00AB0773"/>
    <w:rsid w:val="00AB38DB"/>
    <w:rsid w:val="00AB45FB"/>
    <w:rsid w:val="00AB5344"/>
    <w:rsid w:val="00AB7DAC"/>
    <w:rsid w:val="00AC0568"/>
    <w:rsid w:val="00AC0CC1"/>
    <w:rsid w:val="00AD00F9"/>
    <w:rsid w:val="00AD6BF0"/>
    <w:rsid w:val="00AE0705"/>
    <w:rsid w:val="00AE2115"/>
    <w:rsid w:val="00AE4DD7"/>
    <w:rsid w:val="00AF31AE"/>
    <w:rsid w:val="00AF398E"/>
    <w:rsid w:val="00AF5883"/>
    <w:rsid w:val="00B013D5"/>
    <w:rsid w:val="00B0488A"/>
    <w:rsid w:val="00B06701"/>
    <w:rsid w:val="00B121FA"/>
    <w:rsid w:val="00B139A7"/>
    <w:rsid w:val="00B175C7"/>
    <w:rsid w:val="00B23228"/>
    <w:rsid w:val="00B25D32"/>
    <w:rsid w:val="00B30435"/>
    <w:rsid w:val="00B307CD"/>
    <w:rsid w:val="00B33753"/>
    <w:rsid w:val="00B41E60"/>
    <w:rsid w:val="00B433E9"/>
    <w:rsid w:val="00B5458B"/>
    <w:rsid w:val="00B57068"/>
    <w:rsid w:val="00B61BEB"/>
    <w:rsid w:val="00B61EB5"/>
    <w:rsid w:val="00B7271C"/>
    <w:rsid w:val="00B75147"/>
    <w:rsid w:val="00B77326"/>
    <w:rsid w:val="00B902ED"/>
    <w:rsid w:val="00B94398"/>
    <w:rsid w:val="00B947E5"/>
    <w:rsid w:val="00B95520"/>
    <w:rsid w:val="00B958D3"/>
    <w:rsid w:val="00B968D6"/>
    <w:rsid w:val="00B97783"/>
    <w:rsid w:val="00BA6FA1"/>
    <w:rsid w:val="00BB038A"/>
    <w:rsid w:val="00BB0726"/>
    <w:rsid w:val="00BB0BE7"/>
    <w:rsid w:val="00BB3C3D"/>
    <w:rsid w:val="00BB5D98"/>
    <w:rsid w:val="00BC42B1"/>
    <w:rsid w:val="00BC7092"/>
    <w:rsid w:val="00BD4E7E"/>
    <w:rsid w:val="00BD52C1"/>
    <w:rsid w:val="00BD704D"/>
    <w:rsid w:val="00BE58FD"/>
    <w:rsid w:val="00BE6D93"/>
    <w:rsid w:val="00BF698E"/>
    <w:rsid w:val="00BF7167"/>
    <w:rsid w:val="00C00A68"/>
    <w:rsid w:val="00C00FD4"/>
    <w:rsid w:val="00C0289D"/>
    <w:rsid w:val="00C03632"/>
    <w:rsid w:val="00C04F18"/>
    <w:rsid w:val="00C17525"/>
    <w:rsid w:val="00C24476"/>
    <w:rsid w:val="00C25513"/>
    <w:rsid w:val="00C25E65"/>
    <w:rsid w:val="00C368A5"/>
    <w:rsid w:val="00C36A45"/>
    <w:rsid w:val="00C36F43"/>
    <w:rsid w:val="00C404AF"/>
    <w:rsid w:val="00C45720"/>
    <w:rsid w:val="00C4583A"/>
    <w:rsid w:val="00C46C1E"/>
    <w:rsid w:val="00C51E9C"/>
    <w:rsid w:val="00C61163"/>
    <w:rsid w:val="00C61CA6"/>
    <w:rsid w:val="00C64025"/>
    <w:rsid w:val="00C706E8"/>
    <w:rsid w:val="00C72465"/>
    <w:rsid w:val="00C75F8E"/>
    <w:rsid w:val="00C768FF"/>
    <w:rsid w:val="00C77B36"/>
    <w:rsid w:val="00C869C1"/>
    <w:rsid w:val="00C878AD"/>
    <w:rsid w:val="00C92A1F"/>
    <w:rsid w:val="00C93DDA"/>
    <w:rsid w:val="00C96CB6"/>
    <w:rsid w:val="00CA48F4"/>
    <w:rsid w:val="00CA5075"/>
    <w:rsid w:val="00CA7828"/>
    <w:rsid w:val="00CB1CC6"/>
    <w:rsid w:val="00CC06D1"/>
    <w:rsid w:val="00CC1BF5"/>
    <w:rsid w:val="00CC3ADC"/>
    <w:rsid w:val="00CC6FDF"/>
    <w:rsid w:val="00CC701E"/>
    <w:rsid w:val="00CD29AD"/>
    <w:rsid w:val="00CD3498"/>
    <w:rsid w:val="00CD39D1"/>
    <w:rsid w:val="00CE3103"/>
    <w:rsid w:val="00CE3C79"/>
    <w:rsid w:val="00CF208B"/>
    <w:rsid w:val="00CF3B58"/>
    <w:rsid w:val="00D034A9"/>
    <w:rsid w:val="00D03571"/>
    <w:rsid w:val="00D04AFA"/>
    <w:rsid w:val="00D05416"/>
    <w:rsid w:val="00D0646A"/>
    <w:rsid w:val="00D103B0"/>
    <w:rsid w:val="00D164F5"/>
    <w:rsid w:val="00D2052F"/>
    <w:rsid w:val="00D25EC8"/>
    <w:rsid w:val="00D45428"/>
    <w:rsid w:val="00D61112"/>
    <w:rsid w:val="00D64785"/>
    <w:rsid w:val="00D653CD"/>
    <w:rsid w:val="00D70B19"/>
    <w:rsid w:val="00D75FB5"/>
    <w:rsid w:val="00D862C9"/>
    <w:rsid w:val="00D86F7F"/>
    <w:rsid w:val="00D87EE1"/>
    <w:rsid w:val="00D92D37"/>
    <w:rsid w:val="00D95AF0"/>
    <w:rsid w:val="00DA1B16"/>
    <w:rsid w:val="00DB2688"/>
    <w:rsid w:val="00DB5071"/>
    <w:rsid w:val="00DB7BF9"/>
    <w:rsid w:val="00DC0656"/>
    <w:rsid w:val="00DC2862"/>
    <w:rsid w:val="00DD1698"/>
    <w:rsid w:val="00DD6BA0"/>
    <w:rsid w:val="00DE1141"/>
    <w:rsid w:val="00DE48B4"/>
    <w:rsid w:val="00DE76D1"/>
    <w:rsid w:val="00DE7BE5"/>
    <w:rsid w:val="00DF4264"/>
    <w:rsid w:val="00DF5113"/>
    <w:rsid w:val="00E0020F"/>
    <w:rsid w:val="00E042B1"/>
    <w:rsid w:val="00E04B4F"/>
    <w:rsid w:val="00E110D1"/>
    <w:rsid w:val="00E1580C"/>
    <w:rsid w:val="00E2060F"/>
    <w:rsid w:val="00E2282F"/>
    <w:rsid w:val="00E23563"/>
    <w:rsid w:val="00E2794A"/>
    <w:rsid w:val="00E3010C"/>
    <w:rsid w:val="00E31407"/>
    <w:rsid w:val="00E328CA"/>
    <w:rsid w:val="00E334C8"/>
    <w:rsid w:val="00E3369A"/>
    <w:rsid w:val="00E34C6E"/>
    <w:rsid w:val="00E34D58"/>
    <w:rsid w:val="00E37542"/>
    <w:rsid w:val="00E4353D"/>
    <w:rsid w:val="00E4548F"/>
    <w:rsid w:val="00E477AE"/>
    <w:rsid w:val="00E51C5F"/>
    <w:rsid w:val="00E5372F"/>
    <w:rsid w:val="00E60C87"/>
    <w:rsid w:val="00E621BD"/>
    <w:rsid w:val="00E64DF5"/>
    <w:rsid w:val="00E6583C"/>
    <w:rsid w:val="00E6668E"/>
    <w:rsid w:val="00E71AFB"/>
    <w:rsid w:val="00E7206C"/>
    <w:rsid w:val="00E745D3"/>
    <w:rsid w:val="00E77BD1"/>
    <w:rsid w:val="00E83710"/>
    <w:rsid w:val="00E85D2F"/>
    <w:rsid w:val="00E85D56"/>
    <w:rsid w:val="00E9142D"/>
    <w:rsid w:val="00E944D3"/>
    <w:rsid w:val="00E946F1"/>
    <w:rsid w:val="00E95D42"/>
    <w:rsid w:val="00E95F61"/>
    <w:rsid w:val="00EA11C0"/>
    <w:rsid w:val="00EA43F2"/>
    <w:rsid w:val="00EA47EA"/>
    <w:rsid w:val="00EA7B5D"/>
    <w:rsid w:val="00EA7F01"/>
    <w:rsid w:val="00EB1110"/>
    <w:rsid w:val="00EB383B"/>
    <w:rsid w:val="00EB3BF7"/>
    <w:rsid w:val="00EB79FE"/>
    <w:rsid w:val="00EC38A8"/>
    <w:rsid w:val="00EC5F75"/>
    <w:rsid w:val="00EC668B"/>
    <w:rsid w:val="00EC72EE"/>
    <w:rsid w:val="00ED05CF"/>
    <w:rsid w:val="00ED72BC"/>
    <w:rsid w:val="00EE0BAA"/>
    <w:rsid w:val="00EE1217"/>
    <w:rsid w:val="00EE5CB6"/>
    <w:rsid w:val="00EE751D"/>
    <w:rsid w:val="00EF1AE4"/>
    <w:rsid w:val="00EF7661"/>
    <w:rsid w:val="00F00ADC"/>
    <w:rsid w:val="00F01AC5"/>
    <w:rsid w:val="00F04870"/>
    <w:rsid w:val="00F10B86"/>
    <w:rsid w:val="00F120E9"/>
    <w:rsid w:val="00F15C05"/>
    <w:rsid w:val="00F20066"/>
    <w:rsid w:val="00F2294F"/>
    <w:rsid w:val="00F25986"/>
    <w:rsid w:val="00F25FE3"/>
    <w:rsid w:val="00F3160B"/>
    <w:rsid w:val="00F31C7C"/>
    <w:rsid w:val="00F32CD7"/>
    <w:rsid w:val="00F32D4C"/>
    <w:rsid w:val="00F35B01"/>
    <w:rsid w:val="00F378C0"/>
    <w:rsid w:val="00F46040"/>
    <w:rsid w:val="00F473E1"/>
    <w:rsid w:val="00F50057"/>
    <w:rsid w:val="00F54F82"/>
    <w:rsid w:val="00F6145A"/>
    <w:rsid w:val="00F6270D"/>
    <w:rsid w:val="00F649AD"/>
    <w:rsid w:val="00F70488"/>
    <w:rsid w:val="00F71103"/>
    <w:rsid w:val="00F71871"/>
    <w:rsid w:val="00F7527E"/>
    <w:rsid w:val="00F8148B"/>
    <w:rsid w:val="00F827D4"/>
    <w:rsid w:val="00F845F2"/>
    <w:rsid w:val="00F91D67"/>
    <w:rsid w:val="00F9288A"/>
    <w:rsid w:val="00F96F69"/>
    <w:rsid w:val="00F97318"/>
    <w:rsid w:val="00FA053C"/>
    <w:rsid w:val="00FA1FD7"/>
    <w:rsid w:val="00FA2694"/>
    <w:rsid w:val="00FA5F78"/>
    <w:rsid w:val="00FA63E1"/>
    <w:rsid w:val="00FA6F02"/>
    <w:rsid w:val="00FB394A"/>
    <w:rsid w:val="00FC09D0"/>
    <w:rsid w:val="00FC2BE6"/>
    <w:rsid w:val="00FC44BF"/>
    <w:rsid w:val="00FD0AFB"/>
    <w:rsid w:val="00FD3984"/>
    <w:rsid w:val="00FE2FB3"/>
    <w:rsid w:val="00FE30B3"/>
    <w:rsid w:val="00FF0FBA"/>
    <w:rsid w:val="00FF7D58"/>
    <w:rsid w:val="04392086"/>
    <w:rsid w:val="04525916"/>
    <w:rsid w:val="0459169F"/>
    <w:rsid w:val="04F52AF1"/>
    <w:rsid w:val="05222391"/>
    <w:rsid w:val="05D06704"/>
    <w:rsid w:val="06C168CE"/>
    <w:rsid w:val="087E6D38"/>
    <w:rsid w:val="091D0C9E"/>
    <w:rsid w:val="09464599"/>
    <w:rsid w:val="09801CE3"/>
    <w:rsid w:val="0A362B2B"/>
    <w:rsid w:val="0ACF0FC7"/>
    <w:rsid w:val="0BA652B6"/>
    <w:rsid w:val="0BFD30ED"/>
    <w:rsid w:val="0DF341CF"/>
    <w:rsid w:val="0E847087"/>
    <w:rsid w:val="11394ECD"/>
    <w:rsid w:val="11506BAF"/>
    <w:rsid w:val="116704C3"/>
    <w:rsid w:val="11C90689"/>
    <w:rsid w:val="121B29F9"/>
    <w:rsid w:val="12EF1866"/>
    <w:rsid w:val="1398797E"/>
    <w:rsid w:val="1519209B"/>
    <w:rsid w:val="15E84CCC"/>
    <w:rsid w:val="16367CF2"/>
    <w:rsid w:val="167917B3"/>
    <w:rsid w:val="17460098"/>
    <w:rsid w:val="19042BD4"/>
    <w:rsid w:val="19B77EB6"/>
    <w:rsid w:val="1A254E74"/>
    <w:rsid w:val="1A433C48"/>
    <w:rsid w:val="1A9D4700"/>
    <w:rsid w:val="1ACE16AA"/>
    <w:rsid w:val="1C072BC1"/>
    <w:rsid w:val="1CBD7607"/>
    <w:rsid w:val="1D904578"/>
    <w:rsid w:val="1DAF7278"/>
    <w:rsid w:val="1E7670D3"/>
    <w:rsid w:val="1E804A41"/>
    <w:rsid w:val="1EAA6455"/>
    <w:rsid w:val="1F9038EF"/>
    <w:rsid w:val="20643745"/>
    <w:rsid w:val="20D87472"/>
    <w:rsid w:val="21153EA4"/>
    <w:rsid w:val="214766FC"/>
    <w:rsid w:val="21F12A4C"/>
    <w:rsid w:val="22726AB7"/>
    <w:rsid w:val="2323430D"/>
    <w:rsid w:val="26A74146"/>
    <w:rsid w:val="26B2258E"/>
    <w:rsid w:val="26C63564"/>
    <w:rsid w:val="26CB1D6F"/>
    <w:rsid w:val="26EB2DD6"/>
    <w:rsid w:val="273137D1"/>
    <w:rsid w:val="27AE6A3A"/>
    <w:rsid w:val="285012CF"/>
    <w:rsid w:val="288B6689"/>
    <w:rsid w:val="28B60244"/>
    <w:rsid w:val="2959062C"/>
    <w:rsid w:val="2A574499"/>
    <w:rsid w:val="2A7C3768"/>
    <w:rsid w:val="2C0A469E"/>
    <w:rsid w:val="2C1C32D9"/>
    <w:rsid w:val="2CB00AAD"/>
    <w:rsid w:val="2CBA06D5"/>
    <w:rsid w:val="2D4069E7"/>
    <w:rsid w:val="2D737DAE"/>
    <w:rsid w:val="2F513AD9"/>
    <w:rsid w:val="2F823A02"/>
    <w:rsid w:val="3020498C"/>
    <w:rsid w:val="3157472A"/>
    <w:rsid w:val="32DE3B39"/>
    <w:rsid w:val="32F3632F"/>
    <w:rsid w:val="332D3ADB"/>
    <w:rsid w:val="33D07D2A"/>
    <w:rsid w:val="340F683D"/>
    <w:rsid w:val="355C0AD5"/>
    <w:rsid w:val="35B467F1"/>
    <w:rsid w:val="37B4488E"/>
    <w:rsid w:val="37B81E60"/>
    <w:rsid w:val="38F11583"/>
    <w:rsid w:val="391B59BA"/>
    <w:rsid w:val="396B27FF"/>
    <w:rsid w:val="3A8801E4"/>
    <w:rsid w:val="3A9E530C"/>
    <w:rsid w:val="3D89408A"/>
    <w:rsid w:val="3E1916D5"/>
    <w:rsid w:val="3F037764"/>
    <w:rsid w:val="413771BF"/>
    <w:rsid w:val="41662D45"/>
    <w:rsid w:val="429452A6"/>
    <w:rsid w:val="42DD2F74"/>
    <w:rsid w:val="44DC20F1"/>
    <w:rsid w:val="46CE43B3"/>
    <w:rsid w:val="471F21B9"/>
    <w:rsid w:val="487B4F06"/>
    <w:rsid w:val="49484C1A"/>
    <w:rsid w:val="496500B9"/>
    <w:rsid w:val="496A7695"/>
    <w:rsid w:val="4AD77F7E"/>
    <w:rsid w:val="4BE369BB"/>
    <w:rsid w:val="4C2B7EB6"/>
    <w:rsid w:val="4C901BEF"/>
    <w:rsid w:val="4DAF66E5"/>
    <w:rsid w:val="4EE945C5"/>
    <w:rsid w:val="50F91D44"/>
    <w:rsid w:val="51CC5170"/>
    <w:rsid w:val="51EB5087"/>
    <w:rsid w:val="528075D0"/>
    <w:rsid w:val="52836EF8"/>
    <w:rsid w:val="53876141"/>
    <w:rsid w:val="550B5AC9"/>
    <w:rsid w:val="55B70031"/>
    <w:rsid w:val="55E20909"/>
    <w:rsid w:val="56EC12AE"/>
    <w:rsid w:val="576A01A0"/>
    <w:rsid w:val="57D5690F"/>
    <w:rsid w:val="588A274D"/>
    <w:rsid w:val="58C14358"/>
    <w:rsid w:val="59976AFA"/>
    <w:rsid w:val="5B522080"/>
    <w:rsid w:val="5B687515"/>
    <w:rsid w:val="5E367A09"/>
    <w:rsid w:val="5FA432D5"/>
    <w:rsid w:val="5FCB7CE8"/>
    <w:rsid w:val="5FCE68A8"/>
    <w:rsid w:val="603A6137"/>
    <w:rsid w:val="60873494"/>
    <w:rsid w:val="61396ECC"/>
    <w:rsid w:val="61FE7804"/>
    <w:rsid w:val="63921F13"/>
    <w:rsid w:val="642645EA"/>
    <w:rsid w:val="656055FA"/>
    <w:rsid w:val="65FC1B98"/>
    <w:rsid w:val="66B30AD9"/>
    <w:rsid w:val="66D72231"/>
    <w:rsid w:val="66E83C0D"/>
    <w:rsid w:val="67557EAB"/>
    <w:rsid w:val="6823708F"/>
    <w:rsid w:val="690177C4"/>
    <w:rsid w:val="6A223D69"/>
    <w:rsid w:val="6A2A361C"/>
    <w:rsid w:val="6A354D46"/>
    <w:rsid w:val="6C6D2CBF"/>
    <w:rsid w:val="6CA22EF8"/>
    <w:rsid w:val="6CF94FF3"/>
    <w:rsid w:val="6E173081"/>
    <w:rsid w:val="6EED49C0"/>
    <w:rsid w:val="6F856037"/>
    <w:rsid w:val="70C2021B"/>
    <w:rsid w:val="71461D70"/>
    <w:rsid w:val="722A46F4"/>
    <w:rsid w:val="72470A13"/>
    <w:rsid w:val="72494D61"/>
    <w:rsid w:val="72A92280"/>
    <w:rsid w:val="7365502F"/>
    <w:rsid w:val="74C56B4A"/>
    <w:rsid w:val="74D518DA"/>
    <w:rsid w:val="75E93AC3"/>
    <w:rsid w:val="762531FE"/>
    <w:rsid w:val="76970600"/>
    <w:rsid w:val="77006CD5"/>
    <w:rsid w:val="776F3FF8"/>
    <w:rsid w:val="78314C4E"/>
    <w:rsid w:val="786A17DA"/>
    <w:rsid w:val="78BE5413"/>
    <w:rsid w:val="79A55865"/>
    <w:rsid w:val="7AC2515E"/>
    <w:rsid w:val="7C6441AC"/>
    <w:rsid w:val="7CC0123F"/>
    <w:rsid w:val="7E9344CF"/>
    <w:rsid w:val="7EA906C4"/>
    <w:rsid w:val="7FF23EAA"/>
    <w:rsid w:val="7FF640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iPriority="99" w:name="Body Text First Indent"/>
    <w:lsdException w:qFormat="1" w:uiPriority="99" w:semiHidden="0" w:name="Body Text First Indent 2"/>
    <w:lsdException w:uiPriority="99" w:name="Note Heading"/>
    <w:lsdException w:uiPriority="99" w:name="Body Text 2"/>
    <w:lsdException w:qFormat="1" w:uiPriority="0"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jc w:val="both"/>
    </w:pPr>
    <w:rPr>
      <w:rFonts w:ascii="Times New Roman" w:hAnsi="Times New Roman" w:eastAsia="宋体" w:cs="Times New Roman"/>
      <w:kern w:val="2"/>
      <w:sz w:val="21"/>
      <w:lang w:val="en-US" w:eastAsia="zh-CN" w:bidi="ar-SA"/>
    </w:rPr>
  </w:style>
  <w:style w:type="paragraph" w:styleId="3">
    <w:name w:val="heading 1"/>
    <w:basedOn w:val="1"/>
    <w:next w:val="1"/>
    <w:link w:val="34"/>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5"/>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7"/>
    <w:unhideWhenUsed/>
    <w:qFormat/>
    <w:uiPriority w:val="9"/>
    <w:pPr>
      <w:keepNext/>
      <w:keepLines/>
      <w:spacing w:before="280" w:after="290" w:line="376" w:lineRule="auto"/>
      <w:outlineLvl w:val="3"/>
    </w:pPr>
    <w:rPr>
      <w:rFonts w:asciiTheme="majorHAnsi" w:hAnsiTheme="majorHAnsi" w:eastAsiaTheme="majorEastAsia" w:cstheme="majorBidi"/>
      <w:b/>
      <w:bCs/>
    </w:rPr>
  </w:style>
  <w:style w:type="paragraph" w:styleId="6">
    <w:name w:val="heading 5"/>
    <w:basedOn w:val="1"/>
    <w:next w:val="1"/>
    <w:link w:val="56"/>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57"/>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60"/>
    <w:unhideWhenUsed/>
    <w:qFormat/>
    <w:uiPriority w:val="9"/>
    <w:pPr>
      <w:keepNext/>
      <w:keepLines/>
      <w:spacing w:before="240" w:after="64" w:line="320" w:lineRule="auto"/>
      <w:outlineLvl w:val="6"/>
    </w:pPr>
    <w:rPr>
      <w:b/>
      <w:bCs/>
      <w:sz w:val="24"/>
      <w:szCs w:val="24"/>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Layout w:type="fixed"/>
      <w:tblCellMar>
        <w:top w:w="0" w:type="dxa"/>
        <w:left w:w="108" w:type="dxa"/>
        <w:bottom w:w="0" w:type="dxa"/>
        <w:right w:w="108" w:type="dxa"/>
      </w:tblCellMar>
    </w:tblPr>
  </w:style>
  <w:style w:type="paragraph" w:styleId="9">
    <w:name w:val="Normal Indent"/>
    <w:basedOn w:val="1"/>
    <w:qFormat/>
    <w:uiPriority w:val="99"/>
    <w:pPr>
      <w:ind w:firstLine="420"/>
    </w:pPr>
  </w:style>
  <w:style w:type="paragraph" w:styleId="10">
    <w:name w:val="annotation text"/>
    <w:basedOn w:val="1"/>
    <w:link w:val="62"/>
    <w:qFormat/>
    <w:uiPriority w:val="0"/>
    <w:pPr>
      <w:jc w:val="left"/>
    </w:pPr>
    <w:rPr>
      <w:kern w:val="0"/>
      <w:sz w:val="20"/>
    </w:rPr>
  </w:style>
  <w:style w:type="paragraph" w:styleId="11">
    <w:name w:val="Body Text 3"/>
    <w:link w:val="63"/>
    <w:unhideWhenUsed/>
    <w:qFormat/>
    <w:uiPriority w:val="0"/>
    <w:pPr>
      <w:widowControl w:val="0"/>
      <w:spacing w:after="120" w:line="278" w:lineRule="auto"/>
      <w:jc w:val="both"/>
    </w:pPr>
    <w:rPr>
      <w:rFonts w:ascii="Calibri" w:hAnsi="Calibri" w:eastAsia="宋体" w:cs="Times New Roman"/>
      <w:kern w:val="2"/>
      <w:sz w:val="16"/>
      <w:szCs w:val="16"/>
      <w:lang w:val="en-US" w:eastAsia="zh-CN" w:bidi="ar-SA"/>
    </w:rPr>
  </w:style>
  <w:style w:type="paragraph" w:styleId="12">
    <w:name w:val="Body Text"/>
    <w:basedOn w:val="1"/>
    <w:link w:val="61"/>
    <w:semiHidden/>
    <w:unhideWhenUsed/>
    <w:qFormat/>
    <w:uiPriority w:val="99"/>
    <w:pPr>
      <w:spacing w:after="120"/>
    </w:pPr>
  </w:style>
  <w:style w:type="paragraph" w:styleId="13">
    <w:name w:val="Body Text Indent"/>
    <w:basedOn w:val="1"/>
    <w:qFormat/>
    <w:uiPriority w:val="0"/>
    <w:pPr>
      <w:spacing w:after="120"/>
      <w:ind w:left="420" w:leftChars="200"/>
    </w:pPr>
    <w:rPr>
      <w:lang w:val="zh-CN"/>
    </w:rPr>
  </w:style>
  <w:style w:type="paragraph" w:styleId="14">
    <w:name w:val="toc 3"/>
    <w:basedOn w:val="1"/>
    <w:next w:val="1"/>
    <w:unhideWhenUsed/>
    <w:qFormat/>
    <w:uiPriority w:val="39"/>
    <w:pPr>
      <w:ind w:left="840" w:leftChars="400"/>
    </w:pPr>
  </w:style>
  <w:style w:type="paragraph" w:styleId="15">
    <w:name w:val="Plain Text"/>
    <w:basedOn w:val="1"/>
    <w:link w:val="44"/>
    <w:unhideWhenUsed/>
    <w:qFormat/>
    <w:uiPriority w:val="99"/>
    <w:pPr>
      <w:spacing w:line="400" w:lineRule="atLeast"/>
    </w:pPr>
    <w:rPr>
      <w:rFonts w:ascii="宋体" w:hAnsi="Courier New" w:eastAsiaTheme="minorEastAsia" w:cstheme="minorBidi"/>
      <w:szCs w:val="28"/>
    </w:rPr>
  </w:style>
  <w:style w:type="paragraph" w:styleId="16">
    <w:name w:val="Date"/>
    <w:basedOn w:val="1"/>
    <w:next w:val="1"/>
    <w:link w:val="41"/>
    <w:unhideWhenUsed/>
    <w:qFormat/>
    <w:uiPriority w:val="0"/>
    <w:pPr>
      <w:spacing w:line="400" w:lineRule="atLeast"/>
    </w:pPr>
    <w:rPr>
      <w:rFonts w:asciiTheme="minorEastAsia" w:hAnsiTheme="minorHAnsi" w:eastAsiaTheme="minorEastAsia" w:cstheme="minorBidi"/>
      <w:sz w:val="24"/>
      <w:szCs w:val="28"/>
    </w:rPr>
  </w:style>
  <w:style w:type="paragraph" w:styleId="17">
    <w:name w:val="Body Text Indent 2"/>
    <w:basedOn w:val="1"/>
    <w:next w:val="1"/>
    <w:link w:val="48"/>
    <w:qFormat/>
    <w:uiPriority w:val="0"/>
    <w:pPr>
      <w:ind w:firstLine="480" w:firstLineChars="200"/>
    </w:pPr>
    <w:rPr>
      <w:rFonts w:ascii="仿宋_GB2312" w:hAnsi="华文中宋" w:eastAsia="仿宋_GB2312"/>
      <w:b/>
      <w:bCs/>
      <w:sz w:val="24"/>
    </w:rPr>
  </w:style>
  <w:style w:type="paragraph" w:styleId="18">
    <w:name w:val="Balloon Text"/>
    <w:basedOn w:val="1"/>
    <w:link w:val="49"/>
    <w:semiHidden/>
    <w:unhideWhenUsed/>
    <w:qFormat/>
    <w:uiPriority w:val="99"/>
    <w:rPr>
      <w:sz w:val="18"/>
      <w:szCs w:val="18"/>
    </w:rPr>
  </w:style>
  <w:style w:type="paragraph" w:styleId="19">
    <w:name w:val="footer"/>
    <w:basedOn w:val="1"/>
    <w:link w:val="40"/>
    <w:unhideWhenUsed/>
    <w:qFormat/>
    <w:uiPriority w:val="99"/>
    <w:pPr>
      <w:tabs>
        <w:tab w:val="center" w:pos="4153"/>
        <w:tab w:val="right" w:pos="8306"/>
      </w:tabs>
      <w:snapToGrid w:val="0"/>
      <w:jc w:val="left"/>
    </w:pPr>
    <w:rPr>
      <w:sz w:val="18"/>
      <w:szCs w:val="18"/>
    </w:rPr>
  </w:style>
  <w:style w:type="paragraph" w:styleId="20">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style>
  <w:style w:type="paragraph" w:styleId="22">
    <w:name w:val="Subtitle"/>
    <w:basedOn w:val="1"/>
    <w:next w:val="1"/>
    <w:link w:val="58"/>
    <w:qFormat/>
    <w:uiPriority w:val="11"/>
    <w:pPr>
      <w:spacing w:before="240" w:after="60" w:line="312" w:lineRule="auto"/>
      <w:jc w:val="left"/>
      <w:outlineLvl w:val="1"/>
    </w:pPr>
    <w:rPr>
      <w:rFonts w:asciiTheme="minorHAnsi" w:hAnsiTheme="minorHAnsi" w:cstheme="minorBidi"/>
      <w:b/>
      <w:bCs/>
      <w:kern w:val="28"/>
      <w:sz w:val="28"/>
      <w:szCs w:val="32"/>
    </w:rPr>
  </w:style>
  <w:style w:type="paragraph" w:styleId="23">
    <w:name w:val="toc 2"/>
    <w:basedOn w:val="1"/>
    <w:next w:val="1"/>
    <w:unhideWhenUsed/>
    <w:qFormat/>
    <w:uiPriority w:val="39"/>
    <w:pPr>
      <w:ind w:left="420" w:leftChars="200"/>
    </w:pPr>
  </w:style>
  <w:style w:type="paragraph" w:styleId="2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5">
    <w:name w:val="Title"/>
    <w:basedOn w:val="1"/>
    <w:next w:val="1"/>
    <w:link w:val="55"/>
    <w:qFormat/>
    <w:uiPriority w:val="10"/>
    <w:pPr>
      <w:spacing w:before="240" w:after="60"/>
      <w:jc w:val="center"/>
      <w:outlineLvl w:val="0"/>
    </w:pPr>
    <w:rPr>
      <w:rFonts w:asciiTheme="majorHAnsi" w:hAnsiTheme="majorHAnsi" w:cstheme="majorBidi"/>
      <w:b/>
      <w:bCs/>
      <w:sz w:val="36"/>
      <w:szCs w:val="32"/>
    </w:rPr>
  </w:style>
  <w:style w:type="paragraph" w:styleId="26">
    <w:name w:val="Body Text First Indent"/>
    <w:basedOn w:val="12"/>
    <w:link w:val="67"/>
    <w:semiHidden/>
    <w:unhideWhenUsed/>
    <w:qFormat/>
    <w:uiPriority w:val="99"/>
    <w:pPr>
      <w:ind w:firstLine="420" w:firstLineChars="100"/>
    </w:pPr>
  </w:style>
  <w:style w:type="paragraph" w:styleId="27">
    <w:name w:val="Body Text First Indent 2"/>
    <w:basedOn w:val="13"/>
    <w:next w:val="17"/>
    <w:unhideWhenUsed/>
    <w:qFormat/>
    <w:uiPriority w:val="99"/>
    <w:pPr>
      <w:ind w:firstLine="420" w:firstLineChars="200"/>
    </w:pPr>
    <w:rPr>
      <w:rFonts w:ascii="Calibri" w:hAnsi="Calibri"/>
    </w:rPr>
  </w:style>
  <w:style w:type="table" w:styleId="29">
    <w:name w:val="Table Grid"/>
    <w:basedOn w:val="28"/>
    <w:qFormat/>
    <w:uiPriority w:val="39"/>
    <w:pPr>
      <w:widowControl w:val="0"/>
      <w:jc w:val="both"/>
    </w:pPr>
    <w:rPr>
      <w:rFonts w:ascii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31">
    <w:name w:val="page number"/>
    <w:basedOn w:val="30"/>
    <w:qFormat/>
    <w:uiPriority w:val="0"/>
  </w:style>
  <w:style w:type="character" w:styleId="32">
    <w:name w:val="Hyperlink"/>
    <w:basedOn w:val="30"/>
    <w:unhideWhenUsed/>
    <w:qFormat/>
    <w:uiPriority w:val="99"/>
    <w:rPr>
      <w:color w:val="0563C1" w:themeColor="hyperlink"/>
      <w:u w:val="single"/>
      <w14:textFill>
        <w14:solidFill>
          <w14:schemeClr w14:val="hlink"/>
        </w14:solidFill>
      </w14:textFill>
    </w:rPr>
  </w:style>
  <w:style w:type="character" w:styleId="33">
    <w:name w:val="annotation reference"/>
    <w:qFormat/>
    <w:uiPriority w:val="0"/>
    <w:rPr>
      <w:sz w:val="21"/>
      <w:szCs w:val="21"/>
    </w:rPr>
  </w:style>
  <w:style w:type="character" w:customStyle="1" w:styleId="34">
    <w:name w:val="标题 1 Char"/>
    <w:basedOn w:val="30"/>
    <w:link w:val="3"/>
    <w:qFormat/>
    <w:uiPriority w:val="0"/>
    <w:rPr>
      <w:b/>
      <w:bCs/>
      <w:kern w:val="44"/>
      <w:sz w:val="44"/>
      <w:szCs w:val="44"/>
    </w:rPr>
  </w:style>
  <w:style w:type="character" w:customStyle="1" w:styleId="35">
    <w:name w:val="标题 2 Char"/>
    <w:basedOn w:val="30"/>
    <w:link w:val="2"/>
    <w:qFormat/>
    <w:uiPriority w:val="9"/>
    <w:rPr>
      <w:rFonts w:asciiTheme="majorHAnsi" w:hAnsiTheme="majorHAnsi" w:eastAsiaTheme="majorEastAsia" w:cstheme="majorBidi"/>
      <w:b/>
      <w:bCs/>
      <w:sz w:val="32"/>
      <w:szCs w:val="32"/>
    </w:rPr>
  </w:style>
  <w:style w:type="character" w:customStyle="1" w:styleId="36">
    <w:name w:val="标题 3 Char"/>
    <w:basedOn w:val="30"/>
    <w:link w:val="4"/>
    <w:qFormat/>
    <w:uiPriority w:val="9"/>
    <w:rPr>
      <w:b/>
      <w:bCs/>
      <w:sz w:val="32"/>
      <w:szCs w:val="32"/>
    </w:rPr>
  </w:style>
  <w:style w:type="character" w:customStyle="1" w:styleId="37">
    <w:name w:val="标题 4 Char"/>
    <w:basedOn w:val="30"/>
    <w:link w:val="5"/>
    <w:qFormat/>
    <w:uiPriority w:val="9"/>
    <w:rPr>
      <w:rFonts w:asciiTheme="majorHAnsi" w:hAnsiTheme="majorHAnsi" w:eastAsiaTheme="majorEastAsia" w:cstheme="majorBidi"/>
      <w:b/>
      <w:bCs/>
      <w:sz w:val="28"/>
      <w:szCs w:val="28"/>
    </w:rPr>
  </w:style>
  <w:style w:type="paragraph" w:styleId="38">
    <w:name w:val="No Spacing"/>
    <w:qFormat/>
    <w:uiPriority w:val="1"/>
    <w:pPr>
      <w:widowControl w:val="0"/>
      <w:spacing w:after="160" w:line="278" w:lineRule="auto"/>
      <w:jc w:val="both"/>
    </w:pPr>
    <w:rPr>
      <w:rFonts w:asciiTheme="minorEastAsia" w:hAnsiTheme="minorHAnsi" w:eastAsiaTheme="minorEastAsia" w:cstheme="minorBidi"/>
      <w:sz w:val="28"/>
      <w:szCs w:val="28"/>
      <w:lang w:val="en-US" w:eastAsia="zh-CN" w:bidi="ar-SA"/>
    </w:rPr>
  </w:style>
  <w:style w:type="character" w:customStyle="1" w:styleId="39">
    <w:name w:val="页眉 Char"/>
    <w:basedOn w:val="30"/>
    <w:link w:val="20"/>
    <w:qFormat/>
    <w:uiPriority w:val="99"/>
    <w:rPr>
      <w:sz w:val="18"/>
      <w:szCs w:val="18"/>
    </w:rPr>
  </w:style>
  <w:style w:type="character" w:customStyle="1" w:styleId="40">
    <w:name w:val="页脚 Char"/>
    <w:basedOn w:val="30"/>
    <w:link w:val="19"/>
    <w:qFormat/>
    <w:uiPriority w:val="99"/>
    <w:rPr>
      <w:sz w:val="18"/>
      <w:szCs w:val="18"/>
    </w:rPr>
  </w:style>
  <w:style w:type="character" w:customStyle="1" w:styleId="41">
    <w:name w:val="日期 Char"/>
    <w:link w:val="16"/>
    <w:qFormat/>
    <w:uiPriority w:val="0"/>
    <w:rPr>
      <w:kern w:val="2"/>
      <w:sz w:val="24"/>
    </w:rPr>
  </w:style>
  <w:style w:type="character" w:customStyle="1" w:styleId="42">
    <w:name w:val="Style0 Char"/>
    <w:link w:val="43"/>
    <w:qFormat/>
    <w:uiPriority w:val="0"/>
    <w:rPr>
      <w:rFonts w:ascii="五" w:eastAsia="五"/>
      <w:sz w:val="24"/>
    </w:rPr>
  </w:style>
  <w:style w:type="paragraph" w:customStyle="1" w:styleId="43">
    <w:name w:val="Style0"/>
    <w:link w:val="42"/>
    <w:qFormat/>
    <w:uiPriority w:val="0"/>
    <w:pPr>
      <w:widowControl w:val="0"/>
      <w:autoSpaceDE w:val="0"/>
      <w:autoSpaceDN w:val="0"/>
      <w:adjustRightInd w:val="0"/>
      <w:spacing w:after="160" w:line="400" w:lineRule="atLeast"/>
      <w:jc w:val="center"/>
    </w:pPr>
    <w:rPr>
      <w:rFonts w:ascii="五" w:eastAsia="五" w:hAnsiTheme="minorHAnsi" w:cstheme="minorBidi"/>
      <w:sz w:val="24"/>
      <w:szCs w:val="28"/>
      <w:lang w:val="en-US" w:eastAsia="zh-CN" w:bidi="ar-SA"/>
    </w:rPr>
  </w:style>
  <w:style w:type="character" w:customStyle="1" w:styleId="44">
    <w:name w:val="纯文本 Char"/>
    <w:link w:val="15"/>
    <w:qFormat/>
    <w:locked/>
    <w:uiPriority w:val="0"/>
    <w:rPr>
      <w:rFonts w:ascii="宋体" w:hAnsi="Courier New"/>
      <w:kern w:val="2"/>
      <w:sz w:val="21"/>
    </w:rPr>
  </w:style>
  <w:style w:type="character" w:customStyle="1" w:styleId="45">
    <w:name w:val="日期 Char1"/>
    <w:basedOn w:val="30"/>
    <w:semiHidden/>
    <w:qFormat/>
    <w:uiPriority w:val="99"/>
    <w:rPr>
      <w:rFonts w:ascii="Times New Roman" w:hAnsi="Times New Roman" w:eastAsia="宋体" w:cs="Times New Roman"/>
      <w:kern w:val="2"/>
      <w:sz w:val="21"/>
      <w:szCs w:val="20"/>
    </w:rPr>
  </w:style>
  <w:style w:type="character" w:customStyle="1" w:styleId="46">
    <w:name w:val="纯文本 Char1"/>
    <w:basedOn w:val="30"/>
    <w:semiHidden/>
    <w:qFormat/>
    <w:uiPriority w:val="99"/>
    <w:rPr>
      <w:rFonts w:ascii="宋体" w:hAnsi="Courier New" w:eastAsia="宋体" w:cs="Courier New"/>
      <w:kern w:val="2"/>
      <w:sz w:val="21"/>
      <w:szCs w:val="21"/>
    </w:rPr>
  </w:style>
  <w:style w:type="character" w:customStyle="1" w:styleId="47">
    <w:name w:val="font11"/>
    <w:basedOn w:val="30"/>
    <w:qFormat/>
    <w:uiPriority w:val="0"/>
    <w:rPr>
      <w:rFonts w:hint="eastAsia" w:ascii="宋体" w:hAnsi="宋体" w:eastAsia="宋体" w:cs="宋体"/>
      <w:color w:val="000000"/>
      <w:sz w:val="20"/>
      <w:szCs w:val="20"/>
      <w:u w:val="none"/>
    </w:rPr>
  </w:style>
  <w:style w:type="character" w:customStyle="1" w:styleId="48">
    <w:name w:val="正文文本缩进 2 Char"/>
    <w:basedOn w:val="30"/>
    <w:link w:val="17"/>
    <w:qFormat/>
    <w:uiPriority w:val="0"/>
    <w:rPr>
      <w:rFonts w:ascii="仿宋_GB2312" w:hAnsi="华文中宋" w:eastAsia="仿宋_GB2312" w:cs="Times New Roman"/>
      <w:b/>
      <w:bCs/>
      <w:kern w:val="2"/>
      <w:sz w:val="24"/>
      <w:szCs w:val="20"/>
    </w:rPr>
  </w:style>
  <w:style w:type="character" w:customStyle="1" w:styleId="49">
    <w:name w:val="批注框文本 Char"/>
    <w:basedOn w:val="30"/>
    <w:link w:val="18"/>
    <w:semiHidden/>
    <w:qFormat/>
    <w:uiPriority w:val="99"/>
    <w:rPr>
      <w:rFonts w:ascii="Times New Roman" w:hAnsi="Times New Roman" w:eastAsia="宋体" w:cs="Times New Roman"/>
      <w:kern w:val="2"/>
      <w:sz w:val="18"/>
      <w:szCs w:val="18"/>
    </w:rPr>
  </w:style>
  <w:style w:type="paragraph" w:styleId="50">
    <w:name w:val="List Paragraph"/>
    <w:basedOn w:val="1"/>
    <w:unhideWhenUsed/>
    <w:qFormat/>
    <w:uiPriority w:val="34"/>
    <w:pPr>
      <w:ind w:firstLine="420" w:firstLineChars="200"/>
    </w:pPr>
    <w:rPr>
      <w:rFonts w:asciiTheme="minorHAnsi" w:hAnsiTheme="minorHAnsi" w:eastAsiaTheme="minorEastAsia" w:cstheme="minorBidi"/>
      <w:szCs w:val="24"/>
    </w:rPr>
  </w:style>
  <w:style w:type="paragraph" w:customStyle="1" w:styleId="51">
    <w:name w:val="1"/>
    <w:basedOn w:val="1"/>
    <w:qFormat/>
    <w:uiPriority w:val="0"/>
    <w:pPr>
      <w:spacing w:afterLines="50" w:line="360" w:lineRule="auto"/>
      <w:jc w:val="center"/>
    </w:pPr>
    <w:rPr>
      <w:rFonts w:ascii="宋体" w:hAnsi="宋体"/>
      <w:b/>
      <w:sz w:val="32"/>
      <w:szCs w:val="32"/>
    </w:rPr>
  </w:style>
  <w:style w:type="paragraph" w:customStyle="1" w:styleId="52">
    <w:name w:val="Table Paragraph"/>
    <w:basedOn w:val="1"/>
    <w:qFormat/>
    <w:uiPriority w:val="1"/>
    <w:pPr>
      <w:autoSpaceDE w:val="0"/>
      <w:autoSpaceDN w:val="0"/>
      <w:spacing w:before="81"/>
      <w:jc w:val="left"/>
    </w:pPr>
    <w:rPr>
      <w:rFonts w:ascii="宋体" w:hAnsi="宋体" w:cs="宋体"/>
      <w:kern w:val="0"/>
      <w:sz w:val="22"/>
      <w:szCs w:val="22"/>
    </w:rPr>
  </w:style>
  <w:style w:type="paragraph" w:customStyle="1" w:styleId="53">
    <w:name w:val="列出段落1"/>
    <w:basedOn w:val="1"/>
    <w:qFormat/>
    <w:uiPriority w:val="34"/>
    <w:pPr>
      <w:ind w:firstLine="420" w:firstLineChars="200"/>
    </w:pPr>
    <w:rPr>
      <w:rFonts w:ascii="Calibri" w:hAnsi="Calibri"/>
    </w:rPr>
  </w:style>
  <w:style w:type="paragraph" w:customStyle="1" w:styleId="54">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5">
    <w:name w:val="标题 Char"/>
    <w:basedOn w:val="30"/>
    <w:link w:val="25"/>
    <w:qFormat/>
    <w:uiPriority w:val="10"/>
    <w:rPr>
      <w:rFonts w:eastAsia="宋体" w:asciiTheme="majorHAnsi" w:hAnsiTheme="majorHAnsi" w:cstheme="majorBidi"/>
      <w:b/>
      <w:bCs/>
      <w:kern w:val="2"/>
      <w:sz w:val="36"/>
      <w:szCs w:val="32"/>
    </w:rPr>
  </w:style>
  <w:style w:type="character" w:customStyle="1" w:styleId="56">
    <w:name w:val="标题 5 Char"/>
    <w:basedOn w:val="30"/>
    <w:link w:val="6"/>
    <w:qFormat/>
    <w:uiPriority w:val="9"/>
    <w:rPr>
      <w:rFonts w:ascii="Times New Roman" w:hAnsi="Times New Roman" w:eastAsia="宋体" w:cs="Times New Roman"/>
      <w:b/>
      <w:bCs/>
      <w:kern w:val="2"/>
      <w:sz w:val="28"/>
      <w:szCs w:val="28"/>
    </w:rPr>
  </w:style>
  <w:style w:type="character" w:customStyle="1" w:styleId="57">
    <w:name w:val="标题 6 Char"/>
    <w:basedOn w:val="30"/>
    <w:link w:val="7"/>
    <w:qFormat/>
    <w:uiPriority w:val="9"/>
    <w:rPr>
      <w:rFonts w:asciiTheme="majorHAnsi" w:hAnsiTheme="majorHAnsi" w:eastAsiaTheme="majorEastAsia" w:cstheme="majorBidi"/>
      <w:b/>
      <w:bCs/>
      <w:kern w:val="2"/>
      <w:sz w:val="24"/>
      <w:szCs w:val="24"/>
    </w:rPr>
  </w:style>
  <w:style w:type="character" w:customStyle="1" w:styleId="58">
    <w:name w:val="副标题 Char"/>
    <w:basedOn w:val="30"/>
    <w:link w:val="22"/>
    <w:qFormat/>
    <w:uiPriority w:val="11"/>
    <w:rPr>
      <w:rFonts w:eastAsia="宋体" w:asciiTheme="minorHAnsi"/>
      <w:b/>
      <w:bCs/>
      <w:kern w:val="28"/>
      <w:sz w:val="28"/>
      <w:szCs w:val="32"/>
    </w:rPr>
  </w:style>
  <w:style w:type="character" w:customStyle="1" w:styleId="59">
    <w:name w:val="书籍标题1"/>
    <w:basedOn w:val="30"/>
    <w:qFormat/>
    <w:uiPriority w:val="33"/>
    <w:rPr>
      <w:b/>
      <w:bCs/>
      <w:i/>
      <w:iCs/>
      <w:spacing w:val="5"/>
    </w:rPr>
  </w:style>
  <w:style w:type="character" w:customStyle="1" w:styleId="60">
    <w:name w:val="标题 7 Char"/>
    <w:basedOn w:val="30"/>
    <w:link w:val="8"/>
    <w:qFormat/>
    <w:uiPriority w:val="9"/>
    <w:rPr>
      <w:rFonts w:ascii="Times New Roman" w:hAnsi="Times New Roman" w:eastAsia="宋体" w:cs="Times New Roman"/>
      <w:b/>
      <w:bCs/>
      <w:kern w:val="2"/>
      <w:sz w:val="24"/>
      <w:szCs w:val="24"/>
    </w:rPr>
  </w:style>
  <w:style w:type="character" w:customStyle="1" w:styleId="61">
    <w:name w:val="正文文本 Char"/>
    <w:basedOn w:val="30"/>
    <w:link w:val="12"/>
    <w:semiHidden/>
    <w:qFormat/>
    <w:uiPriority w:val="99"/>
    <w:rPr>
      <w:rFonts w:ascii="Times New Roman" w:hAnsi="Times New Roman" w:eastAsia="宋体" w:cs="Times New Roman"/>
      <w:kern w:val="2"/>
      <w:sz w:val="21"/>
    </w:rPr>
  </w:style>
  <w:style w:type="character" w:customStyle="1" w:styleId="62">
    <w:name w:val="批注文字 Char"/>
    <w:basedOn w:val="30"/>
    <w:link w:val="10"/>
    <w:qFormat/>
    <w:uiPriority w:val="0"/>
    <w:rPr>
      <w:rFonts w:ascii="Times New Roman" w:hAnsi="Times New Roman" w:eastAsia="宋体" w:cs="Times New Roman"/>
    </w:rPr>
  </w:style>
  <w:style w:type="character" w:customStyle="1" w:styleId="63">
    <w:name w:val="正文文本 3 Char"/>
    <w:basedOn w:val="30"/>
    <w:link w:val="11"/>
    <w:qFormat/>
    <w:uiPriority w:val="0"/>
    <w:rPr>
      <w:rFonts w:ascii="Calibri" w:hAnsi="Calibri" w:eastAsia="宋体" w:cs="Times New Roman"/>
      <w:kern w:val="2"/>
      <w:sz w:val="16"/>
      <w:szCs w:val="16"/>
    </w:rPr>
  </w:style>
  <w:style w:type="paragraph" w:customStyle="1" w:styleId="64">
    <w:name w:val="Fließtext"/>
    <w:basedOn w:val="1"/>
    <w:qFormat/>
    <w:uiPriority w:val="0"/>
    <w:pPr>
      <w:overflowPunct w:val="0"/>
      <w:autoSpaceDE w:val="0"/>
      <w:autoSpaceDN w:val="0"/>
      <w:adjustRightInd w:val="0"/>
      <w:textAlignment w:val="baseline"/>
    </w:pPr>
    <w:rPr>
      <w:rFonts w:ascii="宋体" w:hAnsi="宋体"/>
      <w:kern w:val="28"/>
    </w:rPr>
  </w:style>
  <w:style w:type="paragraph" w:customStyle="1" w:styleId="65">
    <w:name w:val="Default"/>
    <w:basedOn w:val="1"/>
    <w:qFormat/>
    <w:uiPriority w:val="0"/>
    <w:pPr>
      <w:autoSpaceDE w:val="0"/>
      <w:autoSpaceDN w:val="0"/>
      <w:adjustRightInd w:val="0"/>
      <w:jc w:val="left"/>
    </w:pPr>
    <w:rPr>
      <w:rFonts w:ascii="宋体" w:hAnsi="宋体" w:cs="宋体"/>
      <w:color w:val="000000"/>
      <w:kern w:val="0"/>
      <w:sz w:val="24"/>
      <w:szCs w:val="24"/>
    </w:rPr>
  </w:style>
  <w:style w:type="paragraph" w:customStyle="1" w:styleId="66">
    <w:name w:val="表格文字"/>
    <w:basedOn w:val="26"/>
    <w:next w:val="12"/>
    <w:qFormat/>
    <w:uiPriority w:val="0"/>
    <w:pPr>
      <w:widowControl/>
      <w:spacing w:before="25" w:after="25"/>
      <w:jc w:val="left"/>
    </w:pPr>
    <w:rPr>
      <w:rFonts w:ascii="Times" w:hAnsi="Times" w:eastAsia="幼圆" w:cs="宋体"/>
      <w:b/>
      <w:bCs/>
      <w:spacing w:val="10"/>
      <w:kern w:val="0"/>
      <w:sz w:val="24"/>
      <w:szCs w:val="24"/>
    </w:rPr>
  </w:style>
  <w:style w:type="character" w:customStyle="1" w:styleId="67">
    <w:name w:val="正文首行缩进 Char"/>
    <w:basedOn w:val="61"/>
    <w:link w:val="26"/>
    <w:semiHidden/>
    <w:qFormat/>
    <w:uiPriority w:val="99"/>
    <w:rPr>
      <w:rFonts w:ascii="Times New Roman" w:hAnsi="Times New Roman" w:eastAsia="宋体" w:cs="Times New Roman"/>
      <w:kern w:val="2"/>
      <w:sz w:val="21"/>
    </w:rPr>
  </w:style>
  <w:style w:type="paragraph" w:customStyle="1" w:styleId="68">
    <w:name w:val="修订1"/>
    <w:hidden/>
    <w:unhideWhenUsed/>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67A425-C838-4011-A5E3-5FD866D0575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94</Pages>
  <Words>32385</Words>
  <Characters>10747</Characters>
  <Lines>89</Lines>
  <Paragraphs>86</Paragraphs>
  <TotalTime>0</TotalTime>
  <ScaleCrop>false</ScaleCrop>
  <LinksUpToDate>false</LinksUpToDate>
  <CharactersWithSpaces>43046</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2025-10-24T08:09:00Z</dcterms:created>
  <dc:creator>AutoBVT</dc:creator>
  <cp:lastModifiedBy>陈</cp:lastModifiedBy>
  <dcterms:modified xsi:type="dcterms:W3CDTF">2025-12-01T00:46:11Z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0A192491C3114CADB0B03D3E7D87C080_13</vt:lpwstr>
  </property>
  <property fmtid="{D5CDD505-2E9C-101B-9397-08002B2CF9AE}" pid="4" name="KSOTemplateDocerSaveRecord">
    <vt:lpwstr>eyJoZGlkIjoiZjFmZWIzNDg2MmIzZjExOTIzMmViNTBmYTMwYTk0ZWYiLCJ1c2VySWQiOiIzNDg0ODE5MjgifQ==</vt:lpwstr>
  </property>
</Properties>
</file>