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rPr>
        <w:t>：</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w:t>
            </w:r>
            <w:r>
              <w:rPr>
                <w:rFonts w:hint="eastAsia" w:ascii="仿宋" w:hAnsi="仿宋" w:eastAsia="仿宋" w:cs="仿宋"/>
                <w:color w:val="000000"/>
                <w:kern w:val="0"/>
                <w:sz w:val="21"/>
                <w:szCs w:val="21"/>
                <w:highlight w:val="none"/>
              </w:rPr>
              <w:t>（含租金优惠期）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w:t>
      </w:r>
      <w:r>
        <w:rPr>
          <w:rFonts w:hint="eastAsia" w:ascii="仿宋" w:hAnsi="仿宋" w:eastAsia="仿宋" w:cs="仿宋"/>
          <w:highlight w:val="none"/>
        </w:rPr>
        <w:t>，超出部分人民币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w:t>
      </w:r>
      <w:r>
        <w:rPr>
          <w:rFonts w:hint="eastAsia" w:ascii="仿宋" w:hAnsi="仿宋" w:eastAsia="仿宋" w:cs="仿宋"/>
          <w:color w:val="000000"/>
          <w:highlight w:val="none"/>
        </w:rPr>
        <w:t>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w:t>
      </w:r>
      <w:r>
        <w:rPr>
          <w:rFonts w:hint="eastAsia" w:ascii="仿宋" w:hAnsi="仿宋" w:eastAsia="仿宋" w:cs="仿宋"/>
          <w:b/>
          <w:color w:val="000000"/>
          <w:highlight w:val="none"/>
        </w:rPr>
        <w:t>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bookmarkEnd w:id="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52A6391E"/>
    <w:rsid w:val="54202BF5"/>
    <w:rsid w:val="61241984"/>
    <w:rsid w:val="635754F6"/>
    <w:rsid w:val="64E04862"/>
    <w:rsid w:val="668D761B"/>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1515</Words>
  <Characters>8639</Characters>
  <Lines>71</Lines>
  <Paragraphs>20</Paragraphs>
  <TotalTime>1</TotalTime>
  <ScaleCrop>false</ScaleCrop>
  <LinksUpToDate>false</LinksUpToDate>
  <CharactersWithSpaces>10134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2022-09-26T06:38:00Z</dcterms:created>
  <dc:creator>李艺</dc:creator>
  <cp:lastModifiedBy>林淑燕</cp:lastModifiedBy>
  <cp:lastPrinted>2017-11-29T17:44:00Z</cp:lastPrinted>
  <dcterms:modified xsi:type="dcterms:W3CDTF">2025-11-25T09:05:12Z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9FDD55BA22B44AB8B6294276F532057A_12</vt:lpwstr>
  </property>
</Properties>
</file>