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B001D">
      <w:pPr>
        <w:spacing w:line="360" w:lineRule="auto"/>
        <w:jc w:val="center"/>
        <w:rPr>
          <w:rFonts w:hint="eastAsia" w:ascii="宋体" w:hAnsi="宋体"/>
          <w:b/>
          <w:sz w:val="48"/>
          <w:szCs w:val="48"/>
        </w:rPr>
      </w:pPr>
      <w:bookmarkStart w:id="0" w:name="_Toc176509506"/>
      <w:bookmarkStart w:id="1" w:name="_Toc176516242"/>
      <w:r>
        <w:rPr>
          <w:rFonts w:hint="eastAsia" w:ascii="宋体" w:hAnsi="宋体"/>
          <w:b/>
          <w:sz w:val="48"/>
          <w:szCs w:val="48"/>
        </w:rPr>
        <w:t>厦工（三明）重型机器有限公司</w:t>
      </w:r>
    </w:p>
    <w:p w14:paraId="7B905E34">
      <w:pPr>
        <w:spacing w:line="360" w:lineRule="auto"/>
        <w:jc w:val="center"/>
        <w:rPr>
          <w:rFonts w:hint="eastAsia" w:ascii="宋体" w:hAnsi="宋体"/>
          <w:b/>
          <w:bCs/>
          <w:sz w:val="48"/>
          <w:szCs w:val="48"/>
        </w:rPr>
      </w:pPr>
      <w:r>
        <w:rPr>
          <w:rFonts w:hint="eastAsia" w:ascii="宋体" w:hAnsi="宋体"/>
          <w:b/>
          <w:bCs/>
          <w:sz w:val="48"/>
          <w:szCs w:val="48"/>
        </w:rPr>
        <w:t>下料管理系统采购</w:t>
      </w:r>
    </w:p>
    <w:p w14:paraId="6C7AF2E4">
      <w:pPr>
        <w:spacing w:line="360" w:lineRule="auto"/>
        <w:jc w:val="center"/>
        <w:rPr>
          <w:rFonts w:ascii="黑体" w:eastAsia="黑体"/>
          <w:bCs/>
          <w:w w:val="90"/>
          <w:sz w:val="84"/>
          <w:szCs w:val="84"/>
        </w:rPr>
      </w:pPr>
      <w:r>
        <w:rPr>
          <w:rFonts w:hint="eastAsia" w:ascii="黑体" w:eastAsia="黑体"/>
          <w:bCs/>
          <w:w w:val="90"/>
          <w:sz w:val="84"/>
          <w:szCs w:val="84"/>
        </w:rPr>
        <w:t>招</w:t>
      </w:r>
    </w:p>
    <w:p w14:paraId="43C4F45D">
      <w:pPr>
        <w:tabs>
          <w:tab w:val="center" w:pos="4156"/>
          <w:tab w:val="left" w:pos="5035"/>
        </w:tabs>
        <w:spacing w:line="360" w:lineRule="auto"/>
        <w:jc w:val="left"/>
        <w:rPr>
          <w:rFonts w:ascii="黑体" w:eastAsia="黑体"/>
          <w:bCs/>
          <w:w w:val="90"/>
          <w:sz w:val="84"/>
          <w:szCs w:val="84"/>
        </w:rPr>
      </w:pPr>
      <w:r>
        <w:rPr>
          <w:rFonts w:ascii="黑体" w:eastAsia="黑体"/>
          <w:bCs/>
          <w:w w:val="90"/>
          <w:sz w:val="84"/>
          <w:szCs w:val="84"/>
        </w:rPr>
        <w:tab/>
      </w:r>
      <w:r>
        <w:rPr>
          <w:rFonts w:hint="eastAsia" w:ascii="黑体" w:eastAsia="黑体"/>
          <w:bCs/>
          <w:w w:val="90"/>
          <w:sz w:val="84"/>
          <w:szCs w:val="84"/>
        </w:rPr>
        <w:t>标</w:t>
      </w:r>
      <w:r>
        <w:rPr>
          <w:rFonts w:ascii="黑体" w:eastAsia="黑体"/>
          <w:bCs/>
          <w:w w:val="90"/>
          <w:sz w:val="84"/>
          <w:szCs w:val="84"/>
        </w:rPr>
        <w:tab/>
      </w:r>
    </w:p>
    <w:p w14:paraId="75DF5E09">
      <w:pPr>
        <w:spacing w:line="360" w:lineRule="auto"/>
        <w:jc w:val="center"/>
        <w:rPr>
          <w:rFonts w:ascii="黑体" w:eastAsia="黑体"/>
          <w:bCs/>
          <w:w w:val="90"/>
          <w:sz w:val="84"/>
          <w:szCs w:val="84"/>
        </w:rPr>
      </w:pPr>
      <w:r>
        <w:rPr>
          <w:rFonts w:hint="eastAsia" w:ascii="黑体" w:eastAsia="黑体"/>
          <w:bCs/>
          <w:w w:val="90"/>
          <w:sz w:val="84"/>
          <w:szCs w:val="84"/>
        </w:rPr>
        <w:t>文</w:t>
      </w:r>
    </w:p>
    <w:p w14:paraId="15277FB3">
      <w:pPr>
        <w:spacing w:line="360" w:lineRule="auto"/>
        <w:jc w:val="center"/>
        <w:rPr>
          <w:rFonts w:ascii="黑体" w:eastAsia="黑体"/>
          <w:bCs/>
          <w:w w:val="90"/>
          <w:sz w:val="84"/>
          <w:szCs w:val="84"/>
        </w:rPr>
      </w:pPr>
      <w:r>
        <w:rPr>
          <w:rFonts w:hint="eastAsia" w:ascii="黑体" w:eastAsia="黑体"/>
          <w:bCs/>
          <w:w w:val="90"/>
          <w:sz w:val="84"/>
          <w:szCs w:val="84"/>
        </w:rPr>
        <w:t>件</w:t>
      </w:r>
    </w:p>
    <w:p w14:paraId="275AB665">
      <w:pPr>
        <w:spacing w:line="360" w:lineRule="auto"/>
        <w:jc w:val="center"/>
        <w:rPr>
          <w:rFonts w:ascii="黑体" w:eastAsia="黑体"/>
          <w:bCs/>
          <w:w w:val="90"/>
          <w:sz w:val="32"/>
          <w:szCs w:val="32"/>
        </w:rPr>
      </w:pPr>
    </w:p>
    <w:p w14:paraId="5E13F54A">
      <w:pPr>
        <w:spacing w:before="100" w:beforeAutospacing="1" w:after="100" w:afterAutospacing="1"/>
        <w:ind w:firstLine="1084" w:firstLineChars="300"/>
        <w:rPr>
          <w:rFonts w:hint="default" w:ascii="宋体" w:hAnsi="宋体" w:eastAsia="宋体"/>
          <w:b/>
          <w:bCs/>
          <w:color w:val="FF0000"/>
          <w:sz w:val="36"/>
          <w:szCs w:val="36"/>
          <w:u w:val="single"/>
          <w:lang w:val="en-US" w:eastAsia="zh-CN"/>
        </w:rPr>
      </w:pPr>
      <w:bookmarkStart w:id="2" w:name="_Toc30469"/>
      <w:r>
        <w:rPr>
          <w:rFonts w:hint="eastAsia" w:ascii="宋体" w:hAnsi="宋体"/>
          <w:b/>
          <w:bCs/>
          <w:sz w:val="36"/>
          <w:szCs w:val="36"/>
        </w:rPr>
        <w:t>项目编号：XGSZ-</w:t>
      </w:r>
      <w:bookmarkEnd w:id="2"/>
      <w:r>
        <w:rPr>
          <w:rFonts w:hint="eastAsia" w:ascii="宋体" w:hAnsi="宋体"/>
          <w:b/>
          <w:bCs/>
          <w:sz w:val="36"/>
          <w:szCs w:val="36"/>
          <w:lang w:val="en-US" w:eastAsia="zh-CN"/>
        </w:rPr>
        <w:t>QT-20260706-02-JS</w:t>
      </w:r>
    </w:p>
    <w:p w14:paraId="3EB6055A">
      <w:pPr>
        <w:spacing w:before="100" w:beforeAutospacing="1" w:after="100" w:afterAutospacing="1"/>
        <w:rPr>
          <w:rFonts w:hint="eastAsia" w:ascii="宋体" w:hAnsi="宋体"/>
          <w:b/>
          <w:bCs/>
          <w:sz w:val="36"/>
          <w:szCs w:val="36"/>
        </w:rPr>
      </w:pPr>
      <w:r>
        <w:rPr>
          <w:rFonts w:hint="eastAsia" w:ascii="宋体" w:hAnsi="宋体"/>
          <w:b/>
          <w:bCs/>
          <w:sz w:val="36"/>
          <w:szCs w:val="36"/>
        </w:rPr>
        <w:t xml:space="preserve">      </w:t>
      </w:r>
      <w:bookmarkStart w:id="3" w:name="_Toc8481"/>
      <w:r>
        <w:rPr>
          <w:rFonts w:hint="eastAsia" w:ascii="宋体" w:hAnsi="宋体"/>
          <w:b/>
          <w:bCs/>
          <w:sz w:val="36"/>
          <w:szCs w:val="36"/>
        </w:rPr>
        <w:t>项目名称：</w:t>
      </w:r>
      <w:bookmarkEnd w:id="3"/>
      <w:r>
        <w:rPr>
          <w:rFonts w:hint="eastAsia" w:ascii="宋体" w:hAnsi="宋体"/>
          <w:b/>
          <w:bCs/>
          <w:sz w:val="36"/>
          <w:szCs w:val="36"/>
        </w:rPr>
        <w:t>下料管理系统采购</w:t>
      </w:r>
    </w:p>
    <w:p w14:paraId="67F835FE">
      <w:pPr>
        <w:spacing w:before="100" w:beforeAutospacing="1" w:after="100" w:afterAutospacing="1"/>
        <w:jc w:val="center"/>
        <w:rPr>
          <w:rFonts w:hint="eastAsia" w:ascii="宋体" w:hAnsi="宋体"/>
          <w:b/>
          <w:bCs/>
          <w:sz w:val="36"/>
          <w:szCs w:val="36"/>
        </w:rPr>
      </w:pPr>
      <w:bookmarkStart w:id="4" w:name="_Toc25448"/>
      <w:r>
        <w:rPr>
          <w:rFonts w:hint="eastAsia" w:ascii="宋体" w:hAnsi="宋体"/>
          <w:b/>
          <w:bCs/>
          <w:sz w:val="36"/>
          <w:szCs w:val="36"/>
          <w:lang w:val="en-US" w:eastAsia="zh-CN"/>
        </w:rPr>
        <w:t>2026</w:t>
      </w:r>
      <w:r>
        <w:rPr>
          <w:rFonts w:hint="eastAsia" w:ascii="宋体" w:hAnsi="宋体"/>
          <w:b/>
          <w:bCs/>
          <w:sz w:val="36"/>
          <w:szCs w:val="36"/>
        </w:rPr>
        <w:t>年</w:t>
      </w:r>
      <w:r>
        <w:rPr>
          <w:rFonts w:hint="eastAsia" w:ascii="宋体" w:hAnsi="宋体"/>
          <w:b/>
          <w:bCs/>
          <w:sz w:val="36"/>
          <w:szCs w:val="36"/>
          <w:lang w:val="en-US" w:eastAsia="zh-CN"/>
        </w:rPr>
        <w:t>7</w:t>
      </w:r>
      <w:r>
        <w:rPr>
          <w:rFonts w:hint="eastAsia" w:ascii="宋体" w:hAnsi="宋体"/>
          <w:b/>
          <w:bCs/>
          <w:sz w:val="36"/>
          <w:szCs w:val="36"/>
        </w:rPr>
        <w:t>月</w:t>
      </w:r>
      <w:bookmarkEnd w:id="4"/>
    </w:p>
    <w:bookmarkEnd w:id="0"/>
    <w:bookmarkEnd w:id="1"/>
    <w:p w14:paraId="383C4B7B">
      <w:pPr>
        <w:pStyle w:val="25"/>
        <w:jc w:val="both"/>
        <w:outlineLvl w:val="9"/>
        <w:rPr>
          <w:rFonts w:hint="eastAsia" w:ascii="黑体" w:hAnsi="黑体" w:eastAsia="黑体"/>
          <w:sz w:val="52"/>
          <w:szCs w:val="52"/>
        </w:rPr>
      </w:pPr>
    </w:p>
    <w:sdt>
      <w:sdtPr>
        <w:rPr>
          <w:lang w:val="zh-CN"/>
        </w:rPr>
        <w:id w:val="-1809468319"/>
        <w:docPartObj>
          <w:docPartGallery w:val="Table of Contents"/>
          <w:docPartUnique/>
        </w:docPartObj>
      </w:sdtPr>
      <w:sdtEndPr>
        <w:rPr>
          <w:b/>
          <w:bCs/>
          <w:lang w:val="zh-CN"/>
        </w:rPr>
      </w:sdtEndPr>
      <w:sdtContent>
        <w:p w14:paraId="7C289156">
          <w:pPr>
            <w:spacing w:after="0" w:line="240" w:lineRule="auto"/>
            <w:jc w:val="center"/>
          </w:pPr>
          <w:r>
            <w:rPr>
              <w:rFonts w:ascii="宋体" w:hAnsi="宋体"/>
            </w:rPr>
            <w:t>目录</w:t>
          </w:r>
        </w:p>
        <w:p w14:paraId="57EE073E">
          <w:pPr>
            <w:pStyle w:val="21"/>
            <w:tabs>
              <w:tab w:val="right" w:leader="dot" w:pos="8312"/>
            </w:tabs>
          </w:pPr>
          <w:r>
            <w:fldChar w:fldCharType="begin"/>
          </w:r>
          <w:r>
            <w:instrText xml:space="preserve"> TOC \o "1-3" \h \z \u </w:instrText>
          </w:r>
          <w:r>
            <w:fldChar w:fldCharType="separate"/>
          </w:r>
          <w:r>
            <w:fldChar w:fldCharType="begin"/>
          </w:r>
          <w:r>
            <w:instrText xml:space="preserve"> HYPERLINK \l _Toc7774 </w:instrText>
          </w:r>
          <w:r>
            <w:fldChar w:fldCharType="separate"/>
          </w:r>
          <w:r>
            <w:rPr>
              <w:rFonts w:hint="eastAsia" w:hAnsi="宋体" w:eastAsia="宋体" w:cs="宋体"/>
              <w:bCs/>
              <w:szCs w:val="36"/>
            </w:rPr>
            <w:t>第一章  投标邀请</w:t>
          </w:r>
          <w:r>
            <w:tab/>
          </w:r>
          <w:r>
            <w:fldChar w:fldCharType="begin"/>
          </w:r>
          <w:r>
            <w:instrText xml:space="preserve"> PAGEREF _Toc7774 \h </w:instrText>
          </w:r>
          <w:r>
            <w:fldChar w:fldCharType="separate"/>
          </w:r>
          <w:r>
            <w:t>5</w:t>
          </w:r>
          <w:r>
            <w:fldChar w:fldCharType="end"/>
          </w:r>
          <w:r>
            <w:fldChar w:fldCharType="end"/>
          </w:r>
        </w:p>
        <w:p w14:paraId="589A3077">
          <w:pPr>
            <w:pStyle w:val="23"/>
            <w:tabs>
              <w:tab w:val="right" w:leader="dot" w:pos="8312"/>
            </w:tabs>
          </w:pPr>
          <w:r>
            <w:rPr>
              <w:bCs/>
              <w:lang w:val="zh-CN"/>
            </w:rPr>
            <w:fldChar w:fldCharType="begin"/>
          </w:r>
          <w:r>
            <w:rPr>
              <w:bCs/>
              <w:lang w:val="zh-CN"/>
            </w:rPr>
            <w:instrText xml:space="preserve"> HYPERLINK \l _Toc4445 </w:instrText>
          </w:r>
          <w:r>
            <w:rPr>
              <w:bCs/>
              <w:lang w:val="zh-CN"/>
            </w:rPr>
            <w:fldChar w:fldCharType="separate"/>
          </w:r>
          <w:r>
            <w:rPr>
              <w:rFonts w:hint="eastAsia" w:ascii="宋体" w:hAnsi="宋体"/>
              <w:szCs w:val="28"/>
            </w:rPr>
            <w:t>附：招标项目一览表</w:t>
          </w:r>
          <w:r>
            <w:tab/>
          </w:r>
          <w:r>
            <w:fldChar w:fldCharType="begin"/>
          </w:r>
          <w:r>
            <w:instrText xml:space="preserve"> PAGEREF _Toc4445 \h </w:instrText>
          </w:r>
          <w:r>
            <w:fldChar w:fldCharType="separate"/>
          </w:r>
          <w:r>
            <w:t>6</w:t>
          </w:r>
          <w:r>
            <w:fldChar w:fldCharType="end"/>
          </w:r>
          <w:r>
            <w:rPr>
              <w:bCs/>
              <w:lang w:val="zh-CN"/>
            </w:rPr>
            <w:fldChar w:fldCharType="end"/>
          </w:r>
        </w:p>
        <w:p w14:paraId="275E464D">
          <w:pPr>
            <w:pStyle w:val="21"/>
            <w:tabs>
              <w:tab w:val="right" w:leader="dot" w:pos="8312"/>
            </w:tabs>
          </w:pPr>
          <w:r>
            <w:rPr>
              <w:bCs/>
              <w:lang w:val="zh-CN"/>
            </w:rPr>
            <w:fldChar w:fldCharType="begin"/>
          </w:r>
          <w:r>
            <w:rPr>
              <w:bCs/>
              <w:lang w:val="zh-CN"/>
            </w:rPr>
            <w:instrText xml:space="preserve"> HYPERLINK \l _Toc15366 </w:instrText>
          </w:r>
          <w:r>
            <w:rPr>
              <w:bCs/>
              <w:lang w:val="zh-CN"/>
            </w:rPr>
            <w:fldChar w:fldCharType="separate"/>
          </w:r>
          <w:r>
            <w:rPr>
              <w:rFonts w:hint="eastAsia" w:hAnsi="宋体"/>
              <w:bCs/>
              <w:szCs w:val="36"/>
            </w:rPr>
            <w:t>第二章  投标人须知</w:t>
          </w:r>
          <w:r>
            <w:tab/>
          </w:r>
          <w:r>
            <w:fldChar w:fldCharType="begin"/>
          </w:r>
          <w:r>
            <w:instrText xml:space="preserve"> PAGEREF _Toc15366 \h </w:instrText>
          </w:r>
          <w:r>
            <w:fldChar w:fldCharType="separate"/>
          </w:r>
          <w:r>
            <w:t>7</w:t>
          </w:r>
          <w:r>
            <w:fldChar w:fldCharType="end"/>
          </w:r>
          <w:r>
            <w:rPr>
              <w:bCs/>
              <w:lang w:val="zh-CN"/>
            </w:rPr>
            <w:fldChar w:fldCharType="end"/>
          </w:r>
        </w:p>
        <w:p w14:paraId="02DC24CF">
          <w:pPr>
            <w:pStyle w:val="23"/>
            <w:tabs>
              <w:tab w:val="right" w:leader="dot" w:pos="8312"/>
            </w:tabs>
          </w:pPr>
          <w:r>
            <w:rPr>
              <w:bCs/>
              <w:lang w:val="zh-CN"/>
            </w:rPr>
            <w:fldChar w:fldCharType="begin"/>
          </w:r>
          <w:r>
            <w:rPr>
              <w:bCs/>
              <w:lang w:val="zh-CN"/>
            </w:rPr>
            <w:instrText xml:space="preserve"> HYPERLINK \l _Toc16713 </w:instrText>
          </w:r>
          <w:r>
            <w:rPr>
              <w:bCs/>
              <w:lang w:val="zh-CN"/>
            </w:rPr>
            <w:fldChar w:fldCharType="separate"/>
          </w:r>
          <w:r>
            <w:rPr>
              <w:rFonts w:hint="eastAsia" w:ascii="宋体" w:hAnsi="宋体"/>
              <w:szCs w:val="28"/>
            </w:rPr>
            <w:t>投标人须知前附表</w:t>
          </w:r>
          <w:r>
            <w:tab/>
          </w:r>
          <w:r>
            <w:fldChar w:fldCharType="begin"/>
          </w:r>
          <w:r>
            <w:instrText xml:space="preserve"> PAGEREF _Toc16713 \h </w:instrText>
          </w:r>
          <w:r>
            <w:fldChar w:fldCharType="separate"/>
          </w:r>
          <w:r>
            <w:t>7</w:t>
          </w:r>
          <w:r>
            <w:fldChar w:fldCharType="end"/>
          </w:r>
          <w:r>
            <w:rPr>
              <w:bCs/>
              <w:lang w:val="zh-CN"/>
            </w:rPr>
            <w:fldChar w:fldCharType="end"/>
          </w:r>
        </w:p>
        <w:p w14:paraId="101514CE">
          <w:pPr>
            <w:pStyle w:val="23"/>
            <w:tabs>
              <w:tab w:val="right" w:leader="dot" w:pos="8312"/>
            </w:tabs>
          </w:pPr>
          <w:r>
            <w:rPr>
              <w:bCs/>
              <w:lang w:val="zh-CN"/>
            </w:rPr>
            <w:fldChar w:fldCharType="begin"/>
          </w:r>
          <w:r>
            <w:rPr>
              <w:bCs/>
              <w:lang w:val="zh-CN"/>
            </w:rPr>
            <w:instrText xml:space="preserve"> HYPERLINK \l _Toc12600 </w:instrText>
          </w:r>
          <w:r>
            <w:rPr>
              <w:bCs/>
              <w:lang w:val="zh-CN"/>
            </w:rPr>
            <w:fldChar w:fldCharType="separate"/>
          </w:r>
          <w:r>
            <w:rPr>
              <w:rFonts w:hint="eastAsia" w:ascii="宋体" w:hAnsi="宋体"/>
              <w:szCs w:val="28"/>
            </w:rPr>
            <w:t>第一节  说  明</w:t>
          </w:r>
          <w:r>
            <w:tab/>
          </w:r>
          <w:r>
            <w:fldChar w:fldCharType="begin"/>
          </w:r>
          <w:r>
            <w:instrText xml:space="preserve"> PAGEREF _Toc12600 \h </w:instrText>
          </w:r>
          <w:r>
            <w:fldChar w:fldCharType="separate"/>
          </w:r>
          <w:r>
            <w:t>11</w:t>
          </w:r>
          <w:r>
            <w:fldChar w:fldCharType="end"/>
          </w:r>
          <w:r>
            <w:rPr>
              <w:bCs/>
              <w:lang w:val="zh-CN"/>
            </w:rPr>
            <w:fldChar w:fldCharType="end"/>
          </w:r>
        </w:p>
        <w:p w14:paraId="14595458">
          <w:pPr>
            <w:pStyle w:val="14"/>
            <w:tabs>
              <w:tab w:val="right" w:leader="dot" w:pos="8312"/>
            </w:tabs>
          </w:pPr>
          <w:r>
            <w:rPr>
              <w:bCs/>
              <w:lang w:val="zh-CN"/>
            </w:rPr>
            <w:fldChar w:fldCharType="begin"/>
          </w:r>
          <w:r>
            <w:rPr>
              <w:bCs/>
              <w:lang w:val="zh-CN"/>
            </w:rPr>
            <w:instrText xml:space="preserve"> HYPERLINK \l _Toc29682 </w:instrText>
          </w:r>
          <w:r>
            <w:rPr>
              <w:bCs/>
              <w:lang w:val="zh-CN"/>
            </w:rPr>
            <w:fldChar w:fldCharType="separate"/>
          </w:r>
          <w:r>
            <w:rPr>
              <w:rFonts w:hint="eastAsia" w:ascii="宋体" w:hAnsi="宋体" w:eastAsia="宋体" w:cs="宋体"/>
              <w:szCs w:val="24"/>
            </w:rPr>
            <w:t xml:space="preserve">1、 </w:t>
          </w:r>
          <w:r>
            <w:rPr>
              <w:rFonts w:hint="eastAsia" w:ascii="宋体" w:hAnsi="宋体" w:cs="宋体"/>
              <w:szCs w:val="24"/>
            </w:rPr>
            <w:t>适用范围</w:t>
          </w:r>
          <w:r>
            <w:tab/>
          </w:r>
          <w:r>
            <w:fldChar w:fldCharType="begin"/>
          </w:r>
          <w:r>
            <w:instrText xml:space="preserve"> PAGEREF _Toc29682 \h </w:instrText>
          </w:r>
          <w:r>
            <w:fldChar w:fldCharType="separate"/>
          </w:r>
          <w:r>
            <w:t>11</w:t>
          </w:r>
          <w:r>
            <w:fldChar w:fldCharType="end"/>
          </w:r>
          <w:r>
            <w:rPr>
              <w:bCs/>
              <w:lang w:val="zh-CN"/>
            </w:rPr>
            <w:fldChar w:fldCharType="end"/>
          </w:r>
        </w:p>
        <w:p w14:paraId="57785CE4">
          <w:pPr>
            <w:pStyle w:val="14"/>
            <w:tabs>
              <w:tab w:val="right" w:leader="dot" w:pos="8312"/>
            </w:tabs>
          </w:pPr>
          <w:r>
            <w:rPr>
              <w:bCs/>
              <w:lang w:val="zh-CN"/>
            </w:rPr>
            <w:fldChar w:fldCharType="begin"/>
          </w:r>
          <w:r>
            <w:rPr>
              <w:bCs/>
              <w:lang w:val="zh-CN"/>
            </w:rPr>
            <w:instrText xml:space="preserve"> HYPERLINK \l _Toc32545 </w:instrText>
          </w:r>
          <w:r>
            <w:rPr>
              <w:bCs/>
              <w:lang w:val="zh-CN"/>
            </w:rPr>
            <w:fldChar w:fldCharType="separate"/>
          </w:r>
          <w:r>
            <w:rPr>
              <w:rFonts w:hint="eastAsia" w:ascii="宋体" w:hAnsi="宋体" w:eastAsia="宋体" w:cs="宋体"/>
              <w:szCs w:val="24"/>
            </w:rPr>
            <w:t xml:space="preserve">2、 </w:t>
          </w:r>
          <w:r>
            <w:rPr>
              <w:rFonts w:hint="eastAsia" w:ascii="宋体" w:hAnsi="宋体" w:cs="宋体"/>
              <w:szCs w:val="24"/>
            </w:rPr>
            <w:t>定义</w:t>
          </w:r>
          <w:r>
            <w:tab/>
          </w:r>
          <w:r>
            <w:fldChar w:fldCharType="begin"/>
          </w:r>
          <w:r>
            <w:instrText xml:space="preserve"> PAGEREF _Toc32545 \h </w:instrText>
          </w:r>
          <w:r>
            <w:fldChar w:fldCharType="separate"/>
          </w:r>
          <w:r>
            <w:t>11</w:t>
          </w:r>
          <w:r>
            <w:fldChar w:fldCharType="end"/>
          </w:r>
          <w:r>
            <w:rPr>
              <w:bCs/>
              <w:lang w:val="zh-CN"/>
            </w:rPr>
            <w:fldChar w:fldCharType="end"/>
          </w:r>
        </w:p>
        <w:p w14:paraId="40380D4A">
          <w:pPr>
            <w:pStyle w:val="14"/>
            <w:tabs>
              <w:tab w:val="right" w:leader="dot" w:pos="8312"/>
            </w:tabs>
          </w:pPr>
          <w:r>
            <w:rPr>
              <w:bCs/>
              <w:lang w:val="zh-CN"/>
            </w:rPr>
            <w:fldChar w:fldCharType="begin"/>
          </w:r>
          <w:r>
            <w:rPr>
              <w:bCs/>
              <w:lang w:val="zh-CN"/>
            </w:rPr>
            <w:instrText xml:space="preserve"> HYPERLINK \l _Toc682 </w:instrText>
          </w:r>
          <w:r>
            <w:rPr>
              <w:bCs/>
              <w:lang w:val="zh-CN"/>
            </w:rPr>
            <w:fldChar w:fldCharType="separate"/>
          </w:r>
          <w:r>
            <w:rPr>
              <w:rFonts w:hint="eastAsia" w:ascii="宋体" w:hAnsi="宋体" w:eastAsia="宋体" w:cs="宋体"/>
              <w:szCs w:val="24"/>
            </w:rPr>
            <w:t xml:space="preserve">3、 </w:t>
          </w:r>
          <w:r>
            <w:rPr>
              <w:rFonts w:hint="eastAsia" w:ascii="宋体" w:hAnsi="宋体" w:cs="宋体"/>
              <w:szCs w:val="24"/>
            </w:rPr>
            <w:t>合格的投标人</w:t>
          </w:r>
          <w:r>
            <w:tab/>
          </w:r>
          <w:r>
            <w:fldChar w:fldCharType="begin"/>
          </w:r>
          <w:r>
            <w:instrText xml:space="preserve"> PAGEREF _Toc682 \h </w:instrText>
          </w:r>
          <w:r>
            <w:fldChar w:fldCharType="separate"/>
          </w:r>
          <w:r>
            <w:t>11</w:t>
          </w:r>
          <w:r>
            <w:fldChar w:fldCharType="end"/>
          </w:r>
          <w:r>
            <w:rPr>
              <w:bCs/>
              <w:lang w:val="zh-CN"/>
            </w:rPr>
            <w:fldChar w:fldCharType="end"/>
          </w:r>
        </w:p>
        <w:p w14:paraId="23BB7E16">
          <w:pPr>
            <w:pStyle w:val="14"/>
            <w:tabs>
              <w:tab w:val="right" w:leader="dot" w:pos="8312"/>
            </w:tabs>
          </w:pPr>
          <w:r>
            <w:rPr>
              <w:bCs/>
              <w:lang w:val="zh-CN"/>
            </w:rPr>
            <w:fldChar w:fldCharType="begin"/>
          </w:r>
          <w:r>
            <w:rPr>
              <w:bCs/>
              <w:lang w:val="zh-CN"/>
            </w:rPr>
            <w:instrText xml:space="preserve"> HYPERLINK \l _Toc27455 </w:instrText>
          </w:r>
          <w:r>
            <w:rPr>
              <w:bCs/>
              <w:lang w:val="zh-CN"/>
            </w:rPr>
            <w:fldChar w:fldCharType="separate"/>
          </w:r>
          <w:r>
            <w:rPr>
              <w:rFonts w:hint="eastAsia" w:ascii="宋体" w:hAnsi="宋体" w:eastAsia="宋体" w:cs="宋体"/>
              <w:szCs w:val="24"/>
            </w:rPr>
            <w:t xml:space="preserve">4、 </w:t>
          </w:r>
          <w:r>
            <w:rPr>
              <w:rFonts w:hint="eastAsia" w:ascii="宋体" w:hAnsi="宋体" w:cs="宋体"/>
              <w:szCs w:val="24"/>
            </w:rPr>
            <w:t>投标费用</w:t>
          </w:r>
          <w:r>
            <w:tab/>
          </w:r>
          <w:r>
            <w:fldChar w:fldCharType="begin"/>
          </w:r>
          <w:r>
            <w:instrText xml:space="preserve"> PAGEREF _Toc27455 \h </w:instrText>
          </w:r>
          <w:r>
            <w:fldChar w:fldCharType="separate"/>
          </w:r>
          <w:r>
            <w:t>14</w:t>
          </w:r>
          <w:r>
            <w:fldChar w:fldCharType="end"/>
          </w:r>
          <w:r>
            <w:rPr>
              <w:bCs/>
              <w:lang w:val="zh-CN"/>
            </w:rPr>
            <w:fldChar w:fldCharType="end"/>
          </w:r>
        </w:p>
        <w:p w14:paraId="3A6C0257">
          <w:pPr>
            <w:pStyle w:val="23"/>
            <w:tabs>
              <w:tab w:val="right" w:leader="dot" w:pos="8312"/>
            </w:tabs>
          </w:pPr>
          <w:r>
            <w:rPr>
              <w:bCs/>
              <w:lang w:val="zh-CN"/>
            </w:rPr>
            <w:fldChar w:fldCharType="begin"/>
          </w:r>
          <w:r>
            <w:rPr>
              <w:bCs/>
              <w:lang w:val="zh-CN"/>
            </w:rPr>
            <w:instrText xml:space="preserve"> HYPERLINK \l _Toc28835 </w:instrText>
          </w:r>
          <w:r>
            <w:rPr>
              <w:bCs/>
              <w:lang w:val="zh-CN"/>
            </w:rPr>
            <w:fldChar w:fldCharType="separate"/>
          </w:r>
          <w:r>
            <w:rPr>
              <w:rFonts w:hint="eastAsia" w:ascii="宋体" w:hAnsi="宋体"/>
              <w:szCs w:val="28"/>
            </w:rPr>
            <w:t>第二节  招标文件</w:t>
          </w:r>
          <w:r>
            <w:tab/>
          </w:r>
          <w:r>
            <w:fldChar w:fldCharType="begin"/>
          </w:r>
          <w:r>
            <w:instrText xml:space="preserve"> PAGEREF _Toc28835 \h </w:instrText>
          </w:r>
          <w:r>
            <w:fldChar w:fldCharType="separate"/>
          </w:r>
          <w:r>
            <w:t>14</w:t>
          </w:r>
          <w:r>
            <w:fldChar w:fldCharType="end"/>
          </w:r>
          <w:r>
            <w:rPr>
              <w:bCs/>
              <w:lang w:val="zh-CN"/>
            </w:rPr>
            <w:fldChar w:fldCharType="end"/>
          </w:r>
        </w:p>
        <w:p w14:paraId="6D2AA72F">
          <w:pPr>
            <w:pStyle w:val="14"/>
            <w:tabs>
              <w:tab w:val="right" w:leader="dot" w:pos="8312"/>
            </w:tabs>
          </w:pPr>
          <w:r>
            <w:rPr>
              <w:bCs/>
              <w:lang w:val="zh-CN"/>
            </w:rPr>
            <w:fldChar w:fldCharType="begin"/>
          </w:r>
          <w:r>
            <w:rPr>
              <w:bCs/>
              <w:lang w:val="zh-CN"/>
            </w:rPr>
            <w:instrText xml:space="preserve"> HYPERLINK \l _Toc6394 </w:instrText>
          </w:r>
          <w:r>
            <w:rPr>
              <w:bCs/>
              <w:lang w:val="zh-CN"/>
            </w:rPr>
            <w:fldChar w:fldCharType="separate"/>
          </w:r>
          <w:r>
            <w:rPr>
              <w:rFonts w:hint="eastAsia" w:ascii="宋体" w:hAnsi="宋体" w:eastAsia="宋体" w:cs="宋体"/>
              <w:szCs w:val="24"/>
            </w:rPr>
            <w:t xml:space="preserve">5、 </w:t>
          </w:r>
          <w:r>
            <w:rPr>
              <w:rFonts w:hint="eastAsia" w:ascii="宋体" w:hAnsi="宋体" w:cs="宋体"/>
              <w:szCs w:val="24"/>
            </w:rPr>
            <w:t>招标文件的组成</w:t>
          </w:r>
          <w:r>
            <w:tab/>
          </w:r>
          <w:r>
            <w:fldChar w:fldCharType="begin"/>
          </w:r>
          <w:r>
            <w:instrText xml:space="preserve"> PAGEREF _Toc6394 \h </w:instrText>
          </w:r>
          <w:r>
            <w:fldChar w:fldCharType="separate"/>
          </w:r>
          <w:r>
            <w:t>14</w:t>
          </w:r>
          <w:r>
            <w:fldChar w:fldCharType="end"/>
          </w:r>
          <w:r>
            <w:rPr>
              <w:bCs/>
              <w:lang w:val="zh-CN"/>
            </w:rPr>
            <w:fldChar w:fldCharType="end"/>
          </w:r>
        </w:p>
        <w:p w14:paraId="6FC8A320">
          <w:pPr>
            <w:pStyle w:val="14"/>
            <w:tabs>
              <w:tab w:val="right" w:leader="dot" w:pos="8312"/>
            </w:tabs>
          </w:pPr>
          <w:r>
            <w:rPr>
              <w:bCs/>
              <w:lang w:val="zh-CN"/>
            </w:rPr>
            <w:fldChar w:fldCharType="begin"/>
          </w:r>
          <w:r>
            <w:rPr>
              <w:bCs/>
              <w:lang w:val="zh-CN"/>
            </w:rPr>
            <w:instrText xml:space="preserve"> HYPERLINK \l _Toc21665 </w:instrText>
          </w:r>
          <w:r>
            <w:rPr>
              <w:bCs/>
              <w:lang w:val="zh-CN"/>
            </w:rPr>
            <w:fldChar w:fldCharType="separate"/>
          </w:r>
          <w:r>
            <w:rPr>
              <w:rFonts w:hint="eastAsia" w:ascii="宋体" w:hAnsi="宋体" w:eastAsia="宋体" w:cs="宋体"/>
              <w:szCs w:val="24"/>
            </w:rPr>
            <w:t xml:space="preserve">6、 </w:t>
          </w:r>
          <w:r>
            <w:rPr>
              <w:rFonts w:hint="eastAsia" w:ascii="宋体" w:hAnsi="宋体" w:cs="宋体"/>
              <w:szCs w:val="24"/>
            </w:rPr>
            <w:t>招标文件的澄清</w:t>
          </w:r>
          <w:r>
            <w:tab/>
          </w:r>
          <w:r>
            <w:fldChar w:fldCharType="begin"/>
          </w:r>
          <w:r>
            <w:instrText xml:space="preserve"> PAGEREF _Toc21665 \h </w:instrText>
          </w:r>
          <w:r>
            <w:fldChar w:fldCharType="separate"/>
          </w:r>
          <w:r>
            <w:t>14</w:t>
          </w:r>
          <w:r>
            <w:fldChar w:fldCharType="end"/>
          </w:r>
          <w:r>
            <w:rPr>
              <w:bCs/>
              <w:lang w:val="zh-CN"/>
            </w:rPr>
            <w:fldChar w:fldCharType="end"/>
          </w:r>
        </w:p>
        <w:p w14:paraId="64E00E0E">
          <w:pPr>
            <w:pStyle w:val="14"/>
            <w:tabs>
              <w:tab w:val="right" w:leader="dot" w:pos="8312"/>
            </w:tabs>
          </w:pPr>
          <w:r>
            <w:rPr>
              <w:bCs/>
              <w:lang w:val="zh-CN"/>
            </w:rPr>
            <w:fldChar w:fldCharType="begin"/>
          </w:r>
          <w:r>
            <w:rPr>
              <w:bCs/>
              <w:lang w:val="zh-CN"/>
            </w:rPr>
            <w:instrText xml:space="preserve"> HYPERLINK \l _Toc10524 </w:instrText>
          </w:r>
          <w:r>
            <w:rPr>
              <w:bCs/>
              <w:lang w:val="zh-CN"/>
            </w:rPr>
            <w:fldChar w:fldCharType="separate"/>
          </w:r>
          <w:r>
            <w:rPr>
              <w:rFonts w:hint="eastAsia" w:ascii="宋体" w:hAnsi="宋体" w:eastAsia="宋体" w:cs="宋体"/>
              <w:szCs w:val="24"/>
            </w:rPr>
            <w:t xml:space="preserve">7、 </w:t>
          </w:r>
          <w:r>
            <w:rPr>
              <w:rFonts w:hint="eastAsia" w:ascii="宋体" w:hAnsi="宋体" w:cs="宋体"/>
              <w:szCs w:val="24"/>
            </w:rPr>
            <w:t>招标文件的修改</w:t>
          </w:r>
          <w:r>
            <w:tab/>
          </w:r>
          <w:r>
            <w:fldChar w:fldCharType="begin"/>
          </w:r>
          <w:r>
            <w:instrText xml:space="preserve"> PAGEREF _Toc10524 \h </w:instrText>
          </w:r>
          <w:r>
            <w:fldChar w:fldCharType="separate"/>
          </w:r>
          <w:r>
            <w:t>15</w:t>
          </w:r>
          <w:r>
            <w:fldChar w:fldCharType="end"/>
          </w:r>
          <w:r>
            <w:rPr>
              <w:bCs/>
              <w:lang w:val="zh-CN"/>
            </w:rPr>
            <w:fldChar w:fldCharType="end"/>
          </w:r>
        </w:p>
        <w:p w14:paraId="1F2F887D">
          <w:pPr>
            <w:pStyle w:val="23"/>
            <w:tabs>
              <w:tab w:val="right" w:leader="dot" w:pos="8312"/>
            </w:tabs>
          </w:pPr>
          <w:r>
            <w:rPr>
              <w:bCs/>
              <w:lang w:val="zh-CN"/>
            </w:rPr>
            <w:fldChar w:fldCharType="begin"/>
          </w:r>
          <w:r>
            <w:rPr>
              <w:bCs/>
              <w:lang w:val="zh-CN"/>
            </w:rPr>
            <w:instrText xml:space="preserve"> HYPERLINK \l _Toc25865 </w:instrText>
          </w:r>
          <w:r>
            <w:rPr>
              <w:bCs/>
              <w:lang w:val="zh-CN"/>
            </w:rPr>
            <w:fldChar w:fldCharType="separate"/>
          </w:r>
          <w:r>
            <w:rPr>
              <w:rFonts w:hint="eastAsia" w:ascii="宋体" w:hAnsi="宋体"/>
              <w:szCs w:val="28"/>
            </w:rPr>
            <w:t>第三节  投标文件的编写</w:t>
          </w:r>
          <w:r>
            <w:tab/>
          </w:r>
          <w:r>
            <w:fldChar w:fldCharType="begin"/>
          </w:r>
          <w:r>
            <w:instrText xml:space="preserve"> PAGEREF _Toc25865 \h </w:instrText>
          </w:r>
          <w:r>
            <w:fldChar w:fldCharType="separate"/>
          </w:r>
          <w:r>
            <w:t>15</w:t>
          </w:r>
          <w:r>
            <w:fldChar w:fldCharType="end"/>
          </w:r>
          <w:r>
            <w:rPr>
              <w:bCs/>
              <w:lang w:val="zh-CN"/>
            </w:rPr>
            <w:fldChar w:fldCharType="end"/>
          </w:r>
        </w:p>
        <w:p w14:paraId="78DC604E">
          <w:pPr>
            <w:pStyle w:val="14"/>
            <w:tabs>
              <w:tab w:val="right" w:leader="dot" w:pos="8312"/>
            </w:tabs>
          </w:pPr>
          <w:r>
            <w:rPr>
              <w:bCs/>
              <w:lang w:val="zh-CN"/>
            </w:rPr>
            <w:fldChar w:fldCharType="begin"/>
          </w:r>
          <w:r>
            <w:rPr>
              <w:bCs/>
              <w:lang w:val="zh-CN"/>
            </w:rPr>
            <w:instrText xml:space="preserve"> HYPERLINK \l _Toc22036 </w:instrText>
          </w:r>
          <w:r>
            <w:rPr>
              <w:bCs/>
              <w:lang w:val="zh-CN"/>
            </w:rPr>
            <w:fldChar w:fldCharType="separate"/>
          </w:r>
          <w:r>
            <w:rPr>
              <w:rFonts w:hint="eastAsia" w:ascii="宋体" w:hAnsi="宋体" w:eastAsia="宋体" w:cs="宋体"/>
              <w:szCs w:val="24"/>
            </w:rPr>
            <w:t xml:space="preserve">8、 </w:t>
          </w:r>
          <w:r>
            <w:rPr>
              <w:rFonts w:hint="eastAsia" w:ascii="宋体" w:hAnsi="宋体" w:cs="宋体"/>
              <w:szCs w:val="24"/>
            </w:rPr>
            <w:t>投标要求</w:t>
          </w:r>
          <w:r>
            <w:tab/>
          </w:r>
          <w:r>
            <w:fldChar w:fldCharType="begin"/>
          </w:r>
          <w:r>
            <w:instrText xml:space="preserve"> PAGEREF _Toc22036 \h </w:instrText>
          </w:r>
          <w:r>
            <w:fldChar w:fldCharType="separate"/>
          </w:r>
          <w:r>
            <w:t>15</w:t>
          </w:r>
          <w:r>
            <w:fldChar w:fldCharType="end"/>
          </w:r>
          <w:r>
            <w:rPr>
              <w:bCs/>
              <w:lang w:val="zh-CN"/>
            </w:rPr>
            <w:fldChar w:fldCharType="end"/>
          </w:r>
        </w:p>
        <w:p w14:paraId="2CF94A86">
          <w:pPr>
            <w:pStyle w:val="14"/>
            <w:tabs>
              <w:tab w:val="right" w:leader="dot" w:pos="8312"/>
            </w:tabs>
          </w:pPr>
          <w:r>
            <w:rPr>
              <w:bCs/>
              <w:lang w:val="zh-CN"/>
            </w:rPr>
            <w:fldChar w:fldCharType="begin"/>
          </w:r>
          <w:r>
            <w:rPr>
              <w:bCs/>
              <w:lang w:val="zh-CN"/>
            </w:rPr>
            <w:instrText xml:space="preserve"> HYPERLINK \l _Toc25008 </w:instrText>
          </w:r>
          <w:r>
            <w:rPr>
              <w:bCs/>
              <w:lang w:val="zh-CN"/>
            </w:rPr>
            <w:fldChar w:fldCharType="separate"/>
          </w:r>
          <w:r>
            <w:rPr>
              <w:rFonts w:hint="eastAsia" w:ascii="宋体" w:hAnsi="宋体" w:eastAsia="宋体" w:cs="宋体"/>
              <w:szCs w:val="24"/>
            </w:rPr>
            <w:t xml:space="preserve">9、 </w:t>
          </w:r>
          <w:r>
            <w:rPr>
              <w:rFonts w:hint="eastAsia" w:ascii="宋体" w:hAnsi="宋体" w:cs="宋体"/>
              <w:szCs w:val="24"/>
            </w:rPr>
            <w:t>投标文件语言</w:t>
          </w:r>
          <w:r>
            <w:tab/>
          </w:r>
          <w:r>
            <w:fldChar w:fldCharType="begin"/>
          </w:r>
          <w:r>
            <w:instrText xml:space="preserve"> PAGEREF _Toc25008 \h </w:instrText>
          </w:r>
          <w:r>
            <w:fldChar w:fldCharType="separate"/>
          </w:r>
          <w:r>
            <w:t>16</w:t>
          </w:r>
          <w:r>
            <w:fldChar w:fldCharType="end"/>
          </w:r>
          <w:r>
            <w:rPr>
              <w:bCs/>
              <w:lang w:val="zh-CN"/>
            </w:rPr>
            <w:fldChar w:fldCharType="end"/>
          </w:r>
        </w:p>
        <w:p w14:paraId="4E47533A">
          <w:pPr>
            <w:pStyle w:val="14"/>
            <w:tabs>
              <w:tab w:val="right" w:leader="dot" w:pos="8312"/>
            </w:tabs>
          </w:pPr>
          <w:r>
            <w:rPr>
              <w:bCs/>
              <w:lang w:val="zh-CN"/>
            </w:rPr>
            <w:fldChar w:fldCharType="begin"/>
          </w:r>
          <w:r>
            <w:rPr>
              <w:bCs/>
              <w:lang w:val="zh-CN"/>
            </w:rPr>
            <w:instrText xml:space="preserve"> HYPERLINK \l _Toc31513 </w:instrText>
          </w:r>
          <w:r>
            <w:rPr>
              <w:bCs/>
              <w:lang w:val="zh-CN"/>
            </w:rPr>
            <w:fldChar w:fldCharType="separate"/>
          </w:r>
          <w:r>
            <w:rPr>
              <w:rFonts w:hint="eastAsia" w:ascii="宋体" w:hAnsi="宋体" w:eastAsia="宋体" w:cs="宋体"/>
              <w:szCs w:val="24"/>
            </w:rPr>
            <w:t xml:space="preserve">10、 </w:t>
          </w:r>
          <w:r>
            <w:rPr>
              <w:rFonts w:hint="eastAsia" w:ascii="宋体" w:hAnsi="宋体" w:cs="宋体"/>
              <w:szCs w:val="24"/>
            </w:rPr>
            <w:t>投标文件的组成</w:t>
          </w:r>
          <w:r>
            <w:tab/>
          </w:r>
          <w:r>
            <w:fldChar w:fldCharType="begin"/>
          </w:r>
          <w:r>
            <w:instrText xml:space="preserve"> PAGEREF _Toc31513 \h </w:instrText>
          </w:r>
          <w:r>
            <w:fldChar w:fldCharType="separate"/>
          </w:r>
          <w:r>
            <w:t>16</w:t>
          </w:r>
          <w:r>
            <w:fldChar w:fldCharType="end"/>
          </w:r>
          <w:r>
            <w:rPr>
              <w:bCs/>
              <w:lang w:val="zh-CN"/>
            </w:rPr>
            <w:fldChar w:fldCharType="end"/>
          </w:r>
        </w:p>
        <w:p w14:paraId="3E94EB83">
          <w:pPr>
            <w:pStyle w:val="14"/>
            <w:tabs>
              <w:tab w:val="right" w:leader="dot" w:pos="8312"/>
            </w:tabs>
          </w:pPr>
          <w:r>
            <w:rPr>
              <w:bCs/>
              <w:lang w:val="zh-CN"/>
            </w:rPr>
            <w:fldChar w:fldCharType="begin"/>
          </w:r>
          <w:r>
            <w:rPr>
              <w:bCs/>
              <w:lang w:val="zh-CN"/>
            </w:rPr>
            <w:instrText xml:space="preserve"> HYPERLINK \l _Toc12500 </w:instrText>
          </w:r>
          <w:r>
            <w:rPr>
              <w:bCs/>
              <w:lang w:val="zh-CN"/>
            </w:rPr>
            <w:fldChar w:fldCharType="separate"/>
          </w:r>
          <w:r>
            <w:rPr>
              <w:rFonts w:hint="eastAsia" w:ascii="宋体" w:hAnsi="宋体" w:eastAsia="宋体" w:cs="宋体"/>
              <w:szCs w:val="24"/>
            </w:rPr>
            <w:t xml:space="preserve">11、 </w:t>
          </w:r>
          <w:r>
            <w:rPr>
              <w:rFonts w:hint="eastAsia" w:ascii="宋体" w:hAnsi="宋体" w:cs="宋体"/>
              <w:szCs w:val="24"/>
            </w:rPr>
            <w:t>投标有效期</w:t>
          </w:r>
          <w:r>
            <w:tab/>
          </w:r>
          <w:r>
            <w:fldChar w:fldCharType="begin"/>
          </w:r>
          <w:r>
            <w:instrText xml:space="preserve"> PAGEREF _Toc12500 \h </w:instrText>
          </w:r>
          <w:r>
            <w:fldChar w:fldCharType="separate"/>
          </w:r>
          <w:r>
            <w:t>16</w:t>
          </w:r>
          <w:r>
            <w:fldChar w:fldCharType="end"/>
          </w:r>
          <w:r>
            <w:rPr>
              <w:bCs/>
              <w:lang w:val="zh-CN"/>
            </w:rPr>
            <w:fldChar w:fldCharType="end"/>
          </w:r>
        </w:p>
        <w:p w14:paraId="481B28C7">
          <w:pPr>
            <w:pStyle w:val="14"/>
            <w:tabs>
              <w:tab w:val="right" w:leader="dot" w:pos="8312"/>
            </w:tabs>
          </w:pPr>
          <w:r>
            <w:rPr>
              <w:bCs/>
              <w:lang w:val="zh-CN"/>
            </w:rPr>
            <w:fldChar w:fldCharType="begin"/>
          </w:r>
          <w:r>
            <w:rPr>
              <w:bCs/>
              <w:lang w:val="zh-CN"/>
            </w:rPr>
            <w:instrText xml:space="preserve"> HYPERLINK \l _Toc9649 </w:instrText>
          </w:r>
          <w:r>
            <w:rPr>
              <w:bCs/>
              <w:lang w:val="zh-CN"/>
            </w:rPr>
            <w:fldChar w:fldCharType="separate"/>
          </w:r>
          <w:r>
            <w:rPr>
              <w:rFonts w:hint="eastAsia" w:ascii="宋体" w:hAnsi="宋体" w:eastAsia="宋体" w:cs="宋体"/>
              <w:szCs w:val="24"/>
            </w:rPr>
            <w:t xml:space="preserve">12、 </w:t>
          </w:r>
          <w:r>
            <w:rPr>
              <w:rFonts w:hint="eastAsia" w:ascii="宋体" w:hAnsi="宋体" w:cs="宋体"/>
              <w:szCs w:val="24"/>
            </w:rPr>
            <w:t>投标保证金</w:t>
          </w:r>
          <w:r>
            <w:tab/>
          </w:r>
          <w:r>
            <w:fldChar w:fldCharType="begin"/>
          </w:r>
          <w:r>
            <w:instrText xml:space="preserve"> PAGEREF _Toc9649 \h </w:instrText>
          </w:r>
          <w:r>
            <w:fldChar w:fldCharType="separate"/>
          </w:r>
          <w:r>
            <w:t>17</w:t>
          </w:r>
          <w:r>
            <w:fldChar w:fldCharType="end"/>
          </w:r>
          <w:r>
            <w:rPr>
              <w:bCs/>
              <w:lang w:val="zh-CN"/>
            </w:rPr>
            <w:fldChar w:fldCharType="end"/>
          </w:r>
        </w:p>
        <w:p w14:paraId="4FEDD4E1">
          <w:pPr>
            <w:pStyle w:val="14"/>
            <w:tabs>
              <w:tab w:val="right" w:leader="dot" w:pos="8312"/>
            </w:tabs>
          </w:pPr>
          <w:r>
            <w:rPr>
              <w:bCs/>
              <w:lang w:val="zh-CN"/>
            </w:rPr>
            <w:fldChar w:fldCharType="begin"/>
          </w:r>
          <w:r>
            <w:rPr>
              <w:bCs/>
              <w:lang w:val="zh-CN"/>
            </w:rPr>
            <w:instrText xml:space="preserve"> HYPERLINK \l _Toc28961 </w:instrText>
          </w:r>
          <w:r>
            <w:rPr>
              <w:bCs/>
              <w:lang w:val="zh-CN"/>
            </w:rPr>
            <w:fldChar w:fldCharType="separate"/>
          </w:r>
          <w:r>
            <w:rPr>
              <w:rFonts w:hint="eastAsia" w:ascii="宋体" w:hAnsi="宋体" w:eastAsia="宋体" w:cs="宋体"/>
              <w:szCs w:val="24"/>
            </w:rPr>
            <w:t xml:space="preserve">13、 </w:t>
          </w:r>
          <w:r>
            <w:rPr>
              <w:rFonts w:hint="eastAsia" w:ascii="宋体" w:hAnsi="宋体" w:cs="宋体"/>
              <w:szCs w:val="24"/>
            </w:rPr>
            <w:t>投标文件的格式</w:t>
          </w:r>
          <w:r>
            <w:tab/>
          </w:r>
          <w:r>
            <w:fldChar w:fldCharType="begin"/>
          </w:r>
          <w:r>
            <w:instrText xml:space="preserve"> PAGEREF _Toc28961 \h </w:instrText>
          </w:r>
          <w:r>
            <w:fldChar w:fldCharType="separate"/>
          </w:r>
          <w:r>
            <w:t>18</w:t>
          </w:r>
          <w:r>
            <w:fldChar w:fldCharType="end"/>
          </w:r>
          <w:r>
            <w:rPr>
              <w:bCs/>
              <w:lang w:val="zh-CN"/>
            </w:rPr>
            <w:fldChar w:fldCharType="end"/>
          </w:r>
        </w:p>
        <w:p w14:paraId="5D4B251F">
          <w:pPr>
            <w:pStyle w:val="23"/>
            <w:tabs>
              <w:tab w:val="right" w:leader="dot" w:pos="8312"/>
            </w:tabs>
          </w:pPr>
          <w:r>
            <w:rPr>
              <w:bCs/>
              <w:lang w:val="zh-CN"/>
            </w:rPr>
            <w:fldChar w:fldCharType="begin"/>
          </w:r>
          <w:r>
            <w:rPr>
              <w:bCs/>
              <w:lang w:val="zh-CN"/>
            </w:rPr>
            <w:instrText xml:space="preserve"> HYPERLINK \l _Toc3112 </w:instrText>
          </w:r>
          <w:r>
            <w:rPr>
              <w:bCs/>
              <w:lang w:val="zh-CN"/>
            </w:rPr>
            <w:fldChar w:fldCharType="separate"/>
          </w:r>
          <w:r>
            <w:rPr>
              <w:rFonts w:hint="eastAsia" w:ascii="宋体" w:hAnsi="宋体"/>
              <w:szCs w:val="28"/>
            </w:rPr>
            <w:t>第四节  投标文件的提交</w:t>
          </w:r>
          <w:r>
            <w:tab/>
          </w:r>
          <w:r>
            <w:fldChar w:fldCharType="begin"/>
          </w:r>
          <w:r>
            <w:instrText xml:space="preserve"> PAGEREF _Toc3112 \h </w:instrText>
          </w:r>
          <w:r>
            <w:fldChar w:fldCharType="separate"/>
          </w:r>
          <w:r>
            <w:t>18</w:t>
          </w:r>
          <w:r>
            <w:fldChar w:fldCharType="end"/>
          </w:r>
          <w:r>
            <w:rPr>
              <w:bCs/>
              <w:lang w:val="zh-CN"/>
            </w:rPr>
            <w:fldChar w:fldCharType="end"/>
          </w:r>
        </w:p>
        <w:p w14:paraId="606E41A3">
          <w:pPr>
            <w:pStyle w:val="14"/>
            <w:tabs>
              <w:tab w:val="right" w:leader="dot" w:pos="8312"/>
            </w:tabs>
          </w:pPr>
          <w:r>
            <w:rPr>
              <w:bCs/>
              <w:lang w:val="zh-CN"/>
            </w:rPr>
            <w:fldChar w:fldCharType="begin"/>
          </w:r>
          <w:r>
            <w:rPr>
              <w:bCs/>
              <w:lang w:val="zh-CN"/>
            </w:rPr>
            <w:instrText xml:space="preserve"> HYPERLINK \l _Toc4284 </w:instrText>
          </w:r>
          <w:r>
            <w:rPr>
              <w:bCs/>
              <w:lang w:val="zh-CN"/>
            </w:rPr>
            <w:fldChar w:fldCharType="separate"/>
          </w:r>
          <w:r>
            <w:rPr>
              <w:rFonts w:hint="eastAsia" w:ascii="宋体" w:hAnsi="宋体" w:eastAsia="宋体" w:cs="宋体"/>
              <w:szCs w:val="24"/>
            </w:rPr>
            <w:t xml:space="preserve">14、 </w:t>
          </w:r>
          <w:r>
            <w:rPr>
              <w:rFonts w:hint="eastAsia" w:ascii="宋体" w:hAnsi="宋体" w:cs="宋体"/>
              <w:szCs w:val="24"/>
            </w:rPr>
            <w:t>投标文件的密封、标记和递交</w:t>
          </w:r>
          <w:r>
            <w:tab/>
          </w:r>
          <w:r>
            <w:fldChar w:fldCharType="begin"/>
          </w:r>
          <w:r>
            <w:instrText xml:space="preserve"> PAGEREF _Toc4284 \h </w:instrText>
          </w:r>
          <w:r>
            <w:fldChar w:fldCharType="separate"/>
          </w:r>
          <w:r>
            <w:t>18</w:t>
          </w:r>
          <w:r>
            <w:fldChar w:fldCharType="end"/>
          </w:r>
          <w:r>
            <w:rPr>
              <w:bCs/>
              <w:lang w:val="zh-CN"/>
            </w:rPr>
            <w:fldChar w:fldCharType="end"/>
          </w:r>
        </w:p>
        <w:p w14:paraId="7A2B25AD">
          <w:pPr>
            <w:pStyle w:val="23"/>
            <w:tabs>
              <w:tab w:val="right" w:leader="dot" w:pos="8312"/>
            </w:tabs>
          </w:pPr>
          <w:r>
            <w:rPr>
              <w:bCs/>
              <w:lang w:val="zh-CN"/>
            </w:rPr>
            <w:fldChar w:fldCharType="begin"/>
          </w:r>
          <w:r>
            <w:rPr>
              <w:bCs/>
              <w:lang w:val="zh-CN"/>
            </w:rPr>
            <w:instrText xml:space="preserve"> HYPERLINK \l _Toc22773 </w:instrText>
          </w:r>
          <w:r>
            <w:rPr>
              <w:bCs/>
              <w:lang w:val="zh-CN"/>
            </w:rPr>
            <w:fldChar w:fldCharType="separate"/>
          </w:r>
          <w:r>
            <w:rPr>
              <w:rFonts w:hint="eastAsia" w:ascii="宋体" w:hAnsi="宋体"/>
              <w:szCs w:val="28"/>
            </w:rPr>
            <w:t>第五节  开标和评标</w:t>
          </w:r>
          <w:r>
            <w:tab/>
          </w:r>
          <w:r>
            <w:fldChar w:fldCharType="begin"/>
          </w:r>
          <w:r>
            <w:instrText xml:space="preserve"> PAGEREF _Toc22773 \h </w:instrText>
          </w:r>
          <w:r>
            <w:fldChar w:fldCharType="separate"/>
          </w:r>
          <w:r>
            <w:t>19</w:t>
          </w:r>
          <w:r>
            <w:fldChar w:fldCharType="end"/>
          </w:r>
          <w:r>
            <w:rPr>
              <w:bCs/>
              <w:lang w:val="zh-CN"/>
            </w:rPr>
            <w:fldChar w:fldCharType="end"/>
          </w:r>
        </w:p>
        <w:p w14:paraId="42AEF0E9">
          <w:pPr>
            <w:pStyle w:val="14"/>
            <w:tabs>
              <w:tab w:val="right" w:leader="dot" w:pos="8312"/>
            </w:tabs>
          </w:pPr>
          <w:r>
            <w:rPr>
              <w:bCs/>
              <w:lang w:val="zh-CN"/>
            </w:rPr>
            <w:fldChar w:fldCharType="begin"/>
          </w:r>
          <w:r>
            <w:rPr>
              <w:bCs/>
              <w:lang w:val="zh-CN"/>
            </w:rPr>
            <w:instrText xml:space="preserve"> HYPERLINK \l _Toc14747 </w:instrText>
          </w:r>
          <w:r>
            <w:rPr>
              <w:bCs/>
              <w:lang w:val="zh-CN"/>
            </w:rPr>
            <w:fldChar w:fldCharType="separate"/>
          </w:r>
          <w:r>
            <w:rPr>
              <w:rFonts w:hint="eastAsia" w:ascii="宋体" w:hAnsi="宋体" w:eastAsia="宋体" w:cs="宋体"/>
              <w:szCs w:val="24"/>
            </w:rPr>
            <w:t xml:space="preserve">15、 </w:t>
          </w:r>
          <w:r>
            <w:rPr>
              <w:rFonts w:hint="eastAsia" w:ascii="宋体" w:hAnsi="宋体" w:cs="宋体"/>
              <w:szCs w:val="24"/>
            </w:rPr>
            <w:t>开标、评标时间</w:t>
          </w:r>
          <w:r>
            <w:tab/>
          </w:r>
          <w:r>
            <w:fldChar w:fldCharType="begin"/>
          </w:r>
          <w:r>
            <w:instrText xml:space="preserve"> PAGEREF _Toc14747 \h </w:instrText>
          </w:r>
          <w:r>
            <w:fldChar w:fldCharType="separate"/>
          </w:r>
          <w:r>
            <w:t>19</w:t>
          </w:r>
          <w:r>
            <w:fldChar w:fldCharType="end"/>
          </w:r>
          <w:r>
            <w:rPr>
              <w:bCs/>
              <w:lang w:val="zh-CN"/>
            </w:rPr>
            <w:fldChar w:fldCharType="end"/>
          </w:r>
        </w:p>
        <w:p w14:paraId="1E470F73">
          <w:pPr>
            <w:pStyle w:val="14"/>
            <w:tabs>
              <w:tab w:val="right" w:leader="dot" w:pos="8312"/>
            </w:tabs>
          </w:pPr>
          <w:r>
            <w:rPr>
              <w:bCs/>
              <w:lang w:val="zh-CN"/>
            </w:rPr>
            <w:fldChar w:fldCharType="begin"/>
          </w:r>
          <w:r>
            <w:rPr>
              <w:bCs/>
              <w:lang w:val="zh-CN"/>
            </w:rPr>
            <w:instrText xml:space="preserve"> HYPERLINK \l _Toc31271 </w:instrText>
          </w:r>
          <w:r>
            <w:rPr>
              <w:bCs/>
              <w:lang w:val="zh-CN"/>
            </w:rPr>
            <w:fldChar w:fldCharType="separate"/>
          </w:r>
          <w:r>
            <w:rPr>
              <w:rFonts w:hint="eastAsia" w:ascii="宋体" w:hAnsi="宋体" w:eastAsia="宋体" w:cs="宋体"/>
              <w:szCs w:val="24"/>
            </w:rPr>
            <w:t xml:space="preserve">16、 </w:t>
          </w:r>
          <w:r>
            <w:rPr>
              <w:rFonts w:hint="eastAsia" w:ascii="宋体" w:hAnsi="宋体" w:cs="宋体"/>
              <w:szCs w:val="24"/>
            </w:rPr>
            <w:t>评标</w:t>
          </w:r>
          <w:r>
            <w:tab/>
          </w:r>
          <w:r>
            <w:fldChar w:fldCharType="begin"/>
          </w:r>
          <w:r>
            <w:instrText xml:space="preserve"> PAGEREF _Toc31271 \h </w:instrText>
          </w:r>
          <w:r>
            <w:fldChar w:fldCharType="separate"/>
          </w:r>
          <w:r>
            <w:t>19</w:t>
          </w:r>
          <w:r>
            <w:fldChar w:fldCharType="end"/>
          </w:r>
          <w:r>
            <w:rPr>
              <w:bCs/>
              <w:lang w:val="zh-CN"/>
            </w:rPr>
            <w:fldChar w:fldCharType="end"/>
          </w:r>
        </w:p>
        <w:p w14:paraId="51D48B77">
          <w:pPr>
            <w:pStyle w:val="23"/>
            <w:tabs>
              <w:tab w:val="right" w:leader="dot" w:pos="8312"/>
            </w:tabs>
          </w:pPr>
          <w:r>
            <w:rPr>
              <w:bCs/>
              <w:lang w:val="zh-CN"/>
            </w:rPr>
            <w:fldChar w:fldCharType="begin"/>
          </w:r>
          <w:r>
            <w:rPr>
              <w:bCs/>
              <w:lang w:val="zh-CN"/>
            </w:rPr>
            <w:instrText xml:space="preserve"> HYPERLINK \l _Toc9659 </w:instrText>
          </w:r>
          <w:r>
            <w:rPr>
              <w:bCs/>
              <w:lang w:val="zh-CN"/>
            </w:rPr>
            <w:fldChar w:fldCharType="separate"/>
          </w:r>
          <w:r>
            <w:rPr>
              <w:rFonts w:hint="eastAsia" w:ascii="宋体" w:hAnsi="宋体"/>
              <w:szCs w:val="28"/>
            </w:rPr>
            <w:t>第六节  定标与签订合同</w:t>
          </w:r>
          <w:r>
            <w:tab/>
          </w:r>
          <w:r>
            <w:fldChar w:fldCharType="begin"/>
          </w:r>
          <w:r>
            <w:instrText xml:space="preserve"> PAGEREF _Toc9659 \h </w:instrText>
          </w:r>
          <w:r>
            <w:fldChar w:fldCharType="separate"/>
          </w:r>
          <w:r>
            <w:t>19</w:t>
          </w:r>
          <w:r>
            <w:fldChar w:fldCharType="end"/>
          </w:r>
          <w:r>
            <w:rPr>
              <w:bCs/>
              <w:lang w:val="zh-CN"/>
            </w:rPr>
            <w:fldChar w:fldCharType="end"/>
          </w:r>
        </w:p>
        <w:p w14:paraId="74B85A95">
          <w:pPr>
            <w:pStyle w:val="14"/>
            <w:tabs>
              <w:tab w:val="right" w:leader="dot" w:pos="8312"/>
            </w:tabs>
          </w:pPr>
          <w:r>
            <w:rPr>
              <w:bCs/>
              <w:lang w:val="zh-CN"/>
            </w:rPr>
            <w:fldChar w:fldCharType="begin"/>
          </w:r>
          <w:r>
            <w:rPr>
              <w:bCs/>
              <w:lang w:val="zh-CN"/>
            </w:rPr>
            <w:instrText xml:space="preserve"> HYPERLINK \l _Toc23881 </w:instrText>
          </w:r>
          <w:r>
            <w:rPr>
              <w:bCs/>
              <w:lang w:val="zh-CN"/>
            </w:rPr>
            <w:fldChar w:fldCharType="separate"/>
          </w:r>
          <w:r>
            <w:rPr>
              <w:rFonts w:hint="eastAsia" w:ascii="宋体" w:hAnsi="宋体" w:eastAsia="宋体" w:cs="宋体"/>
              <w:szCs w:val="24"/>
            </w:rPr>
            <w:t xml:space="preserve">17、 </w:t>
          </w:r>
          <w:r>
            <w:rPr>
              <w:rFonts w:hint="eastAsia" w:ascii="宋体" w:hAnsi="宋体" w:cs="宋体"/>
              <w:szCs w:val="24"/>
            </w:rPr>
            <w:t>定标准则</w:t>
          </w:r>
          <w:r>
            <w:tab/>
          </w:r>
          <w:r>
            <w:fldChar w:fldCharType="begin"/>
          </w:r>
          <w:r>
            <w:instrText xml:space="preserve"> PAGEREF _Toc23881 \h </w:instrText>
          </w:r>
          <w:r>
            <w:fldChar w:fldCharType="separate"/>
          </w:r>
          <w:r>
            <w:t>19</w:t>
          </w:r>
          <w:r>
            <w:fldChar w:fldCharType="end"/>
          </w:r>
          <w:r>
            <w:rPr>
              <w:bCs/>
              <w:lang w:val="zh-CN"/>
            </w:rPr>
            <w:fldChar w:fldCharType="end"/>
          </w:r>
        </w:p>
        <w:p w14:paraId="4A9E7DAC">
          <w:pPr>
            <w:pStyle w:val="14"/>
            <w:tabs>
              <w:tab w:val="right" w:leader="dot" w:pos="8312"/>
            </w:tabs>
          </w:pPr>
          <w:r>
            <w:rPr>
              <w:bCs/>
              <w:lang w:val="zh-CN"/>
            </w:rPr>
            <w:fldChar w:fldCharType="begin"/>
          </w:r>
          <w:r>
            <w:rPr>
              <w:bCs/>
              <w:lang w:val="zh-CN"/>
            </w:rPr>
            <w:instrText xml:space="preserve"> HYPERLINK \l _Toc16884 </w:instrText>
          </w:r>
          <w:r>
            <w:rPr>
              <w:bCs/>
              <w:lang w:val="zh-CN"/>
            </w:rPr>
            <w:fldChar w:fldCharType="separate"/>
          </w:r>
          <w:r>
            <w:rPr>
              <w:rFonts w:hint="eastAsia" w:ascii="宋体" w:hAnsi="宋体" w:eastAsia="宋体" w:cs="宋体"/>
              <w:szCs w:val="24"/>
            </w:rPr>
            <w:t xml:space="preserve">18、 </w:t>
          </w:r>
          <w:r>
            <w:rPr>
              <w:rFonts w:hint="eastAsia" w:ascii="宋体" w:hAnsi="宋体" w:cs="宋体"/>
              <w:szCs w:val="24"/>
            </w:rPr>
            <w:t>接受和拒绝任何或所有投标的权利</w:t>
          </w:r>
          <w:r>
            <w:tab/>
          </w:r>
          <w:r>
            <w:fldChar w:fldCharType="begin"/>
          </w:r>
          <w:r>
            <w:instrText xml:space="preserve"> PAGEREF _Toc16884 \h </w:instrText>
          </w:r>
          <w:r>
            <w:fldChar w:fldCharType="separate"/>
          </w:r>
          <w:r>
            <w:t>20</w:t>
          </w:r>
          <w:r>
            <w:fldChar w:fldCharType="end"/>
          </w:r>
          <w:r>
            <w:rPr>
              <w:bCs/>
              <w:lang w:val="zh-CN"/>
            </w:rPr>
            <w:fldChar w:fldCharType="end"/>
          </w:r>
        </w:p>
        <w:p w14:paraId="79FE4DCE">
          <w:pPr>
            <w:pStyle w:val="14"/>
            <w:tabs>
              <w:tab w:val="right" w:leader="dot" w:pos="8312"/>
            </w:tabs>
          </w:pPr>
          <w:r>
            <w:rPr>
              <w:bCs/>
              <w:lang w:val="zh-CN"/>
            </w:rPr>
            <w:fldChar w:fldCharType="begin"/>
          </w:r>
          <w:r>
            <w:rPr>
              <w:bCs/>
              <w:lang w:val="zh-CN"/>
            </w:rPr>
            <w:instrText xml:space="preserve"> HYPERLINK \l _Toc866 </w:instrText>
          </w:r>
          <w:r>
            <w:rPr>
              <w:bCs/>
              <w:lang w:val="zh-CN"/>
            </w:rPr>
            <w:fldChar w:fldCharType="separate"/>
          </w:r>
          <w:r>
            <w:rPr>
              <w:rFonts w:hint="eastAsia" w:ascii="宋体" w:hAnsi="宋体" w:eastAsia="宋体" w:cs="宋体"/>
              <w:szCs w:val="24"/>
            </w:rPr>
            <w:t xml:space="preserve">19、 </w:t>
          </w:r>
          <w:r>
            <w:rPr>
              <w:rFonts w:hint="eastAsia" w:ascii="宋体" w:hAnsi="宋体" w:cs="宋体"/>
              <w:szCs w:val="24"/>
            </w:rPr>
            <w:t>中标通知</w:t>
          </w:r>
          <w:r>
            <w:tab/>
          </w:r>
          <w:r>
            <w:fldChar w:fldCharType="begin"/>
          </w:r>
          <w:r>
            <w:instrText xml:space="preserve"> PAGEREF _Toc866 \h </w:instrText>
          </w:r>
          <w:r>
            <w:fldChar w:fldCharType="separate"/>
          </w:r>
          <w:r>
            <w:t>20</w:t>
          </w:r>
          <w:r>
            <w:fldChar w:fldCharType="end"/>
          </w:r>
          <w:r>
            <w:rPr>
              <w:bCs/>
              <w:lang w:val="zh-CN"/>
            </w:rPr>
            <w:fldChar w:fldCharType="end"/>
          </w:r>
        </w:p>
        <w:p w14:paraId="12643A78">
          <w:pPr>
            <w:pStyle w:val="14"/>
            <w:tabs>
              <w:tab w:val="right" w:leader="dot" w:pos="8312"/>
            </w:tabs>
          </w:pPr>
          <w:r>
            <w:rPr>
              <w:bCs/>
              <w:lang w:val="zh-CN"/>
            </w:rPr>
            <w:fldChar w:fldCharType="begin"/>
          </w:r>
          <w:r>
            <w:rPr>
              <w:bCs/>
              <w:lang w:val="zh-CN"/>
            </w:rPr>
            <w:instrText xml:space="preserve"> HYPERLINK \l _Toc31865 </w:instrText>
          </w:r>
          <w:r>
            <w:rPr>
              <w:bCs/>
              <w:lang w:val="zh-CN"/>
            </w:rPr>
            <w:fldChar w:fldCharType="separate"/>
          </w:r>
          <w:r>
            <w:rPr>
              <w:rFonts w:hint="eastAsia" w:ascii="宋体" w:hAnsi="宋体" w:eastAsia="宋体" w:cs="宋体"/>
              <w:szCs w:val="24"/>
            </w:rPr>
            <w:t xml:space="preserve">20、 </w:t>
          </w:r>
          <w:r>
            <w:rPr>
              <w:rFonts w:hint="eastAsia" w:ascii="宋体" w:hAnsi="宋体" w:cs="宋体"/>
              <w:szCs w:val="24"/>
            </w:rPr>
            <w:t>签订合同</w:t>
          </w:r>
          <w:r>
            <w:tab/>
          </w:r>
          <w:r>
            <w:fldChar w:fldCharType="begin"/>
          </w:r>
          <w:r>
            <w:instrText xml:space="preserve"> PAGEREF _Toc31865 \h </w:instrText>
          </w:r>
          <w:r>
            <w:fldChar w:fldCharType="separate"/>
          </w:r>
          <w:r>
            <w:t>20</w:t>
          </w:r>
          <w:r>
            <w:fldChar w:fldCharType="end"/>
          </w:r>
          <w:r>
            <w:rPr>
              <w:bCs/>
              <w:lang w:val="zh-CN"/>
            </w:rPr>
            <w:fldChar w:fldCharType="end"/>
          </w:r>
        </w:p>
        <w:p w14:paraId="3443D2FF">
          <w:pPr>
            <w:pStyle w:val="23"/>
            <w:tabs>
              <w:tab w:val="right" w:leader="dot" w:pos="8312"/>
            </w:tabs>
          </w:pPr>
          <w:r>
            <w:rPr>
              <w:bCs/>
              <w:lang w:val="zh-CN"/>
            </w:rPr>
            <w:fldChar w:fldCharType="begin"/>
          </w:r>
          <w:r>
            <w:rPr>
              <w:bCs/>
              <w:lang w:val="zh-CN"/>
            </w:rPr>
            <w:instrText xml:space="preserve"> HYPERLINK \l _Toc30206 </w:instrText>
          </w:r>
          <w:r>
            <w:rPr>
              <w:bCs/>
              <w:lang w:val="zh-CN"/>
            </w:rPr>
            <w:fldChar w:fldCharType="separate"/>
          </w:r>
          <w:r>
            <w:rPr>
              <w:rFonts w:hint="eastAsia" w:ascii="宋体" w:hAnsi="宋体"/>
              <w:szCs w:val="28"/>
            </w:rPr>
            <w:t>第七节  询问与异议</w:t>
          </w:r>
          <w:r>
            <w:tab/>
          </w:r>
          <w:r>
            <w:fldChar w:fldCharType="begin"/>
          </w:r>
          <w:r>
            <w:instrText xml:space="preserve"> PAGEREF _Toc30206 \h </w:instrText>
          </w:r>
          <w:r>
            <w:fldChar w:fldCharType="separate"/>
          </w:r>
          <w:r>
            <w:t>21</w:t>
          </w:r>
          <w:r>
            <w:fldChar w:fldCharType="end"/>
          </w:r>
          <w:r>
            <w:rPr>
              <w:bCs/>
              <w:lang w:val="zh-CN"/>
            </w:rPr>
            <w:fldChar w:fldCharType="end"/>
          </w:r>
        </w:p>
        <w:p w14:paraId="0E8D90B8">
          <w:pPr>
            <w:pStyle w:val="14"/>
            <w:tabs>
              <w:tab w:val="right" w:leader="dot" w:pos="8312"/>
            </w:tabs>
          </w:pPr>
          <w:r>
            <w:rPr>
              <w:bCs/>
              <w:lang w:val="zh-CN"/>
            </w:rPr>
            <w:fldChar w:fldCharType="begin"/>
          </w:r>
          <w:r>
            <w:rPr>
              <w:bCs/>
              <w:lang w:val="zh-CN"/>
            </w:rPr>
            <w:instrText xml:space="preserve"> HYPERLINK \l _Toc17478 </w:instrText>
          </w:r>
          <w:r>
            <w:rPr>
              <w:bCs/>
              <w:lang w:val="zh-CN"/>
            </w:rPr>
            <w:fldChar w:fldCharType="separate"/>
          </w:r>
          <w:r>
            <w:rPr>
              <w:rFonts w:hint="eastAsia" w:ascii="宋体" w:hAnsi="宋体" w:eastAsia="宋体" w:cs="宋体"/>
              <w:szCs w:val="24"/>
            </w:rPr>
            <w:t xml:space="preserve">21、 </w:t>
          </w:r>
          <w:r>
            <w:rPr>
              <w:rFonts w:hint="eastAsia" w:ascii="宋体" w:hAnsi="宋体" w:cs="宋体"/>
              <w:szCs w:val="24"/>
            </w:rPr>
            <w:t>询问</w:t>
          </w:r>
          <w:r>
            <w:tab/>
          </w:r>
          <w:r>
            <w:fldChar w:fldCharType="begin"/>
          </w:r>
          <w:r>
            <w:instrText xml:space="preserve"> PAGEREF _Toc17478 \h </w:instrText>
          </w:r>
          <w:r>
            <w:fldChar w:fldCharType="separate"/>
          </w:r>
          <w:r>
            <w:t>21</w:t>
          </w:r>
          <w:r>
            <w:fldChar w:fldCharType="end"/>
          </w:r>
          <w:r>
            <w:rPr>
              <w:bCs/>
              <w:lang w:val="zh-CN"/>
            </w:rPr>
            <w:fldChar w:fldCharType="end"/>
          </w:r>
        </w:p>
        <w:p w14:paraId="3DFB1BE8">
          <w:pPr>
            <w:pStyle w:val="14"/>
            <w:tabs>
              <w:tab w:val="right" w:leader="dot" w:pos="8312"/>
            </w:tabs>
          </w:pPr>
          <w:r>
            <w:rPr>
              <w:bCs/>
              <w:lang w:val="zh-CN"/>
            </w:rPr>
            <w:fldChar w:fldCharType="begin"/>
          </w:r>
          <w:r>
            <w:rPr>
              <w:bCs/>
              <w:lang w:val="zh-CN"/>
            </w:rPr>
            <w:instrText xml:space="preserve"> HYPERLINK \l _Toc11610 </w:instrText>
          </w:r>
          <w:r>
            <w:rPr>
              <w:bCs/>
              <w:lang w:val="zh-CN"/>
            </w:rPr>
            <w:fldChar w:fldCharType="separate"/>
          </w:r>
          <w:r>
            <w:rPr>
              <w:rFonts w:hint="eastAsia" w:ascii="宋体" w:hAnsi="宋体" w:eastAsia="宋体" w:cs="宋体"/>
              <w:szCs w:val="24"/>
            </w:rPr>
            <w:t xml:space="preserve">22、 </w:t>
          </w:r>
          <w:r>
            <w:rPr>
              <w:rFonts w:hint="eastAsia" w:ascii="宋体" w:hAnsi="宋体" w:cs="宋体"/>
              <w:szCs w:val="24"/>
            </w:rPr>
            <w:t>异议</w:t>
          </w:r>
          <w:r>
            <w:tab/>
          </w:r>
          <w:r>
            <w:fldChar w:fldCharType="begin"/>
          </w:r>
          <w:r>
            <w:instrText xml:space="preserve"> PAGEREF _Toc11610 \h </w:instrText>
          </w:r>
          <w:r>
            <w:fldChar w:fldCharType="separate"/>
          </w:r>
          <w:r>
            <w:t>21</w:t>
          </w:r>
          <w:r>
            <w:fldChar w:fldCharType="end"/>
          </w:r>
          <w:r>
            <w:rPr>
              <w:bCs/>
              <w:lang w:val="zh-CN"/>
            </w:rPr>
            <w:fldChar w:fldCharType="end"/>
          </w:r>
        </w:p>
        <w:p w14:paraId="44F873A3">
          <w:pPr>
            <w:pStyle w:val="21"/>
            <w:tabs>
              <w:tab w:val="right" w:leader="dot" w:pos="8312"/>
            </w:tabs>
          </w:pPr>
          <w:r>
            <w:rPr>
              <w:bCs/>
              <w:lang w:val="zh-CN"/>
            </w:rPr>
            <w:fldChar w:fldCharType="begin"/>
          </w:r>
          <w:r>
            <w:rPr>
              <w:bCs/>
              <w:lang w:val="zh-CN"/>
            </w:rPr>
            <w:instrText xml:space="preserve"> HYPERLINK \l _Toc10504 </w:instrText>
          </w:r>
          <w:r>
            <w:rPr>
              <w:bCs/>
              <w:lang w:val="zh-CN"/>
            </w:rPr>
            <w:fldChar w:fldCharType="separate"/>
          </w:r>
          <w:r>
            <w:rPr>
              <w:rFonts w:hint="eastAsia" w:hAnsi="宋体"/>
              <w:bCs/>
              <w:szCs w:val="36"/>
            </w:rPr>
            <w:t>第三章  评标办法</w:t>
          </w:r>
          <w:r>
            <w:tab/>
          </w:r>
          <w:r>
            <w:fldChar w:fldCharType="begin"/>
          </w:r>
          <w:r>
            <w:instrText xml:space="preserve"> PAGEREF _Toc10504 \h </w:instrText>
          </w:r>
          <w:r>
            <w:fldChar w:fldCharType="separate"/>
          </w:r>
          <w:r>
            <w:t>23</w:t>
          </w:r>
          <w:r>
            <w:fldChar w:fldCharType="end"/>
          </w:r>
          <w:r>
            <w:rPr>
              <w:bCs/>
              <w:lang w:val="zh-CN"/>
            </w:rPr>
            <w:fldChar w:fldCharType="end"/>
          </w:r>
        </w:p>
        <w:p w14:paraId="18B591DC">
          <w:pPr>
            <w:pStyle w:val="23"/>
            <w:tabs>
              <w:tab w:val="right" w:leader="dot" w:pos="8312"/>
            </w:tabs>
          </w:pPr>
          <w:r>
            <w:rPr>
              <w:bCs/>
              <w:lang w:val="zh-CN"/>
            </w:rPr>
            <w:fldChar w:fldCharType="begin"/>
          </w:r>
          <w:r>
            <w:rPr>
              <w:bCs/>
              <w:lang w:val="zh-CN"/>
            </w:rPr>
            <w:instrText xml:space="preserve"> HYPERLINK \l _Toc14642 </w:instrText>
          </w:r>
          <w:r>
            <w:rPr>
              <w:bCs/>
              <w:lang w:val="zh-CN"/>
            </w:rPr>
            <w:fldChar w:fldCharType="separate"/>
          </w:r>
          <w:r>
            <w:rPr>
              <w:rFonts w:hint="eastAsia" w:ascii="宋体" w:hAnsi="宋体"/>
              <w:szCs w:val="24"/>
            </w:rPr>
            <w:t>1、总则</w:t>
          </w:r>
          <w:r>
            <w:tab/>
          </w:r>
          <w:r>
            <w:fldChar w:fldCharType="begin"/>
          </w:r>
          <w:r>
            <w:instrText xml:space="preserve"> PAGEREF _Toc14642 \h </w:instrText>
          </w:r>
          <w:r>
            <w:fldChar w:fldCharType="separate"/>
          </w:r>
          <w:r>
            <w:t>23</w:t>
          </w:r>
          <w:r>
            <w:fldChar w:fldCharType="end"/>
          </w:r>
          <w:r>
            <w:rPr>
              <w:bCs/>
              <w:lang w:val="zh-CN"/>
            </w:rPr>
            <w:fldChar w:fldCharType="end"/>
          </w:r>
        </w:p>
        <w:p w14:paraId="2F2E4CBC">
          <w:pPr>
            <w:pStyle w:val="23"/>
            <w:tabs>
              <w:tab w:val="right" w:leader="dot" w:pos="8312"/>
            </w:tabs>
          </w:pPr>
          <w:r>
            <w:rPr>
              <w:bCs/>
              <w:lang w:val="zh-CN"/>
            </w:rPr>
            <w:fldChar w:fldCharType="begin"/>
          </w:r>
          <w:r>
            <w:rPr>
              <w:bCs/>
              <w:lang w:val="zh-CN"/>
            </w:rPr>
            <w:instrText xml:space="preserve"> HYPERLINK \l _Toc18245 </w:instrText>
          </w:r>
          <w:r>
            <w:rPr>
              <w:bCs/>
              <w:lang w:val="zh-CN"/>
            </w:rPr>
            <w:fldChar w:fldCharType="separate"/>
          </w:r>
          <w:r>
            <w:rPr>
              <w:rFonts w:hint="eastAsia" w:ascii="宋体" w:hAnsi="宋体"/>
              <w:szCs w:val="24"/>
            </w:rPr>
            <w:t>2、评标委员会的组建</w:t>
          </w:r>
          <w:r>
            <w:tab/>
          </w:r>
          <w:r>
            <w:fldChar w:fldCharType="begin"/>
          </w:r>
          <w:r>
            <w:instrText xml:space="preserve"> PAGEREF _Toc18245 \h </w:instrText>
          </w:r>
          <w:r>
            <w:fldChar w:fldCharType="separate"/>
          </w:r>
          <w:r>
            <w:t>23</w:t>
          </w:r>
          <w:r>
            <w:fldChar w:fldCharType="end"/>
          </w:r>
          <w:r>
            <w:rPr>
              <w:bCs/>
              <w:lang w:val="zh-CN"/>
            </w:rPr>
            <w:fldChar w:fldCharType="end"/>
          </w:r>
        </w:p>
        <w:p w14:paraId="73FD99D3">
          <w:pPr>
            <w:pStyle w:val="23"/>
            <w:tabs>
              <w:tab w:val="right" w:leader="dot" w:pos="8312"/>
            </w:tabs>
          </w:pPr>
          <w:r>
            <w:rPr>
              <w:bCs/>
              <w:lang w:val="zh-CN"/>
            </w:rPr>
            <w:fldChar w:fldCharType="begin"/>
          </w:r>
          <w:r>
            <w:rPr>
              <w:bCs/>
              <w:lang w:val="zh-CN"/>
            </w:rPr>
            <w:instrText xml:space="preserve"> HYPERLINK \l _Toc18629 </w:instrText>
          </w:r>
          <w:r>
            <w:rPr>
              <w:bCs/>
              <w:lang w:val="zh-CN"/>
            </w:rPr>
            <w:fldChar w:fldCharType="separate"/>
          </w:r>
          <w:r>
            <w:rPr>
              <w:rFonts w:hint="eastAsia" w:ascii="宋体" w:hAnsi="宋体"/>
              <w:szCs w:val="24"/>
            </w:rPr>
            <w:t>3、评标原则和评标纪律</w:t>
          </w:r>
          <w:r>
            <w:tab/>
          </w:r>
          <w:r>
            <w:fldChar w:fldCharType="begin"/>
          </w:r>
          <w:r>
            <w:instrText xml:space="preserve"> PAGEREF _Toc18629 \h </w:instrText>
          </w:r>
          <w:r>
            <w:fldChar w:fldCharType="separate"/>
          </w:r>
          <w:r>
            <w:t>23</w:t>
          </w:r>
          <w:r>
            <w:fldChar w:fldCharType="end"/>
          </w:r>
          <w:r>
            <w:rPr>
              <w:bCs/>
              <w:lang w:val="zh-CN"/>
            </w:rPr>
            <w:fldChar w:fldCharType="end"/>
          </w:r>
        </w:p>
        <w:p w14:paraId="5699884C">
          <w:pPr>
            <w:pStyle w:val="23"/>
            <w:tabs>
              <w:tab w:val="right" w:leader="dot" w:pos="8312"/>
            </w:tabs>
          </w:pPr>
          <w:r>
            <w:rPr>
              <w:bCs/>
              <w:lang w:val="zh-CN"/>
            </w:rPr>
            <w:fldChar w:fldCharType="begin"/>
          </w:r>
          <w:r>
            <w:rPr>
              <w:bCs/>
              <w:lang w:val="zh-CN"/>
            </w:rPr>
            <w:instrText xml:space="preserve"> HYPERLINK \l _Toc19153 </w:instrText>
          </w:r>
          <w:r>
            <w:rPr>
              <w:bCs/>
              <w:lang w:val="zh-CN"/>
            </w:rPr>
            <w:fldChar w:fldCharType="separate"/>
          </w:r>
          <w:r>
            <w:rPr>
              <w:rFonts w:hint="eastAsia" w:ascii="宋体" w:hAnsi="宋体"/>
              <w:szCs w:val="24"/>
            </w:rPr>
            <w:t>4、评标程序、评标办法和标准</w:t>
          </w:r>
          <w:r>
            <w:tab/>
          </w:r>
          <w:r>
            <w:fldChar w:fldCharType="begin"/>
          </w:r>
          <w:r>
            <w:instrText xml:space="preserve"> PAGEREF _Toc19153 \h </w:instrText>
          </w:r>
          <w:r>
            <w:fldChar w:fldCharType="separate"/>
          </w:r>
          <w:r>
            <w:t>24</w:t>
          </w:r>
          <w:r>
            <w:fldChar w:fldCharType="end"/>
          </w:r>
          <w:r>
            <w:rPr>
              <w:bCs/>
              <w:lang w:val="zh-CN"/>
            </w:rPr>
            <w:fldChar w:fldCharType="end"/>
          </w:r>
        </w:p>
        <w:p w14:paraId="209DB9C8">
          <w:pPr>
            <w:pStyle w:val="23"/>
            <w:tabs>
              <w:tab w:val="right" w:leader="dot" w:pos="8312"/>
            </w:tabs>
          </w:pPr>
          <w:r>
            <w:rPr>
              <w:bCs/>
              <w:lang w:val="zh-CN"/>
            </w:rPr>
            <w:fldChar w:fldCharType="begin"/>
          </w:r>
          <w:r>
            <w:rPr>
              <w:bCs/>
              <w:lang w:val="zh-CN"/>
            </w:rPr>
            <w:instrText xml:space="preserve"> HYPERLINK \l _Toc21496 </w:instrText>
          </w:r>
          <w:r>
            <w:rPr>
              <w:bCs/>
              <w:lang w:val="zh-CN"/>
            </w:rPr>
            <w:fldChar w:fldCharType="separate"/>
          </w:r>
          <w:r>
            <w:rPr>
              <w:rFonts w:hint="eastAsia" w:ascii="宋体" w:hAnsi="宋体"/>
              <w:szCs w:val="24"/>
            </w:rPr>
            <w:t>5、评标方法</w:t>
          </w:r>
          <w:r>
            <w:tab/>
          </w:r>
          <w:r>
            <w:fldChar w:fldCharType="begin"/>
          </w:r>
          <w:r>
            <w:instrText xml:space="preserve"> PAGEREF _Toc21496 \h </w:instrText>
          </w:r>
          <w:r>
            <w:fldChar w:fldCharType="separate"/>
          </w:r>
          <w:r>
            <w:t>26</w:t>
          </w:r>
          <w:r>
            <w:fldChar w:fldCharType="end"/>
          </w:r>
          <w:r>
            <w:rPr>
              <w:bCs/>
              <w:lang w:val="zh-CN"/>
            </w:rPr>
            <w:fldChar w:fldCharType="end"/>
          </w:r>
        </w:p>
        <w:p w14:paraId="2FD4A212">
          <w:pPr>
            <w:pStyle w:val="23"/>
            <w:tabs>
              <w:tab w:val="right" w:leader="dot" w:pos="8312"/>
            </w:tabs>
          </w:pPr>
          <w:r>
            <w:rPr>
              <w:bCs/>
              <w:lang w:val="zh-CN"/>
            </w:rPr>
            <w:fldChar w:fldCharType="begin"/>
          </w:r>
          <w:r>
            <w:rPr>
              <w:bCs/>
              <w:lang w:val="zh-CN"/>
            </w:rPr>
            <w:instrText xml:space="preserve"> HYPERLINK \l _Toc25039 </w:instrText>
          </w:r>
          <w:r>
            <w:rPr>
              <w:bCs/>
              <w:lang w:val="zh-CN"/>
            </w:rPr>
            <w:fldChar w:fldCharType="separate"/>
          </w:r>
          <w:r>
            <w:rPr>
              <w:rFonts w:hint="eastAsia" w:ascii="宋体" w:hAnsi="宋体"/>
              <w:szCs w:val="24"/>
            </w:rPr>
            <w:t>6、推荐中标候选人名单。</w:t>
          </w:r>
          <w:r>
            <w:tab/>
          </w:r>
          <w:r>
            <w:fldChar w:fldCharType="begin"/>
          </w:r>
          <w:r>
            <w:instrText xml:space="preserve"> PAGEREF _Toc25039 \h </w:instrText>
          </w:r>
          <w:r>
            <w:fldChar w:fldCharType="separate"/>
          </w:r>
          <w:r>
            <w:t>27</w:t>
          </w:r>
          <w:r>
            <w:fldChar w:fldCharType="end"/>
          </w:r>
          <w:r>
            <w:rPr>
              <w:bCs/>
              <w:lang w:val="zh-CN"/>
            </w:rPr>
            <w:fldChar w:fldCharType="end"/>
          </w:r>
        </w:p>
        <w:p w14:paraId="445268F7">
          <w:pPr>
            <w:pStyle w:val="23"/>
            <w:tabs>
              <w:tab w:val="right" w:leader="dot" w:pos="8312"/>
            </w:tabs>
          </w:pPr>
          <w:r>
            <w:rPr>
              <w:bCs/>
              <w:lang w:val="zh-CN"/>
            </w:rPr>
            <w:fldChar w:fldCharType="begin"/>
          </w:r>
          <w:r>
            <w:rPr>
              <w:bCs/>
              <w:lang w:val="zh-CN"/>
            </w:rPr>
            <w:instrText xml:space="preserve"> HYPERLINK \l _Toc30421 </w:instrText>
          </w:r>
          <w:r>
            <w:rPr>
              <w:bCs/>
              <w:lang w:val="zh-CN"/>
            </w:rPr>
            <w:fldChar w:fldCharType="separate"/>
          </w:r>
          <w:r>
            <w:rPr>
              <w:rFonts w:hint="eastAsia" w:ascii="宋体" w:hAnsi="宋体"/>
              <w:szCs w:val="24"/>
            </w:rPr>
            <w:t>7、定标原则</w:t>
          </w:r>
          <w:r>
            <w:tab/>
          </w:r>
          <w:r>
            <w:fldChar w:fldCharType="begin"/>
          </w:r>
          <w:r>
            <w:instrText xml:space="preserve"> PAGEREF _Toc30421 \h </w:instrText>
          </w:r>
          <w:r>
            <w:fldChar w:fldCharType="separate"/>
          </w:r>
          <w:r>
            <w:t>27</w:t>
          </w:r>
          <w:r>
            <w:fldChar w:fldCharType="end"/>
          </w:r>
          <w:r>
            <w:rPr>
              <w:bCs/>
              <w:lang w:val="zh-CN"/>
            </w:rPr>
            <w:fldChar w:fldCharType="end"/>
          </w:r>
        </w:p>
        <w:p w14:paraId="5816F43B">
          <w:pPr>
            <w:pStyle w:val="23"/>
            <w:tabs>
              <w:tab w:val="right" w:leader="dot" w:pos="8312"/>
            </w:tabs>
          </w:pPr>
          <w:r>
            <w:rPr>
              <w:bCs/>
              <w:lang w:val="zh-CN"/>
            </w:rPr>
            <w:fldChar w:fldCharType="begin"/>
          </w:r>
          <w:r>
            <w:rPr>
              <w:bCs/>
              <w:lang w:val="zh-CN"/>
            </w:rPr>
            <w:instrText xml:space="preserve"> HYPERLINK \l _Toc3278 </w:instrText>
          </w:r>
          <w:r>
            <w:rPr>
              <w:bCs/>
              <w:lang w:val="zh-CN"/>
            </w:rPr>
            <w:fldChar w:fldCharType="separate"/>
          </w:r>
          <w:r>
            <w:rPr>
              <w:rFonts w:hint="eastAsia" w:cs="宋体"/>
              <w:bCs/>
              <w:szCs w:val="28"/>
            </w:rPr>
            <w:t>附表1：资格审查表</w:t>
          </w:r>
          <w:r>
            <w:tab/>
          </w:r>
          <w:r>
            <w:fldChar w:fldCharType="begin"/>
          </w:r>
          <w:r>
            <w:instrText xml:space="preserve"> PAGEREF _Toc3278 \h </w:instrText>
          </w:r>
          <w:r>
            <w:fldChar w:fldCharType="separate"/>
          </w:r>
          <w:r>
            <w:t>29</w:t>
          </w:r>
          <w:r>
            <w:fldChar w:fldCharType="end"/>
          </w:r>
          <w:r>
            <w:rPr>
              <w:bCs/>
              <w:lang w:val="zh-CN"/>
            </w:rPr>
            <w:fldChar w:fldCharType="end"/>
          </w:r>
        </w:p>
        <w:p w14:paraId="6668D57C">
          <w:pPr>
            <w:pStyle w:val="23"/>
            <w:tabs>
              <w:tab w:val="right" w:leader="dot" w:pos="8312"/>
            </w:tabs>
          </w:pPr>
          <w:r>
            <w:rPr>
              <w:bCs/>
              <w:lang w:val="zh-CN"/>
            </w:rPr>
            <w:fldChar w:fldCharType="begin"/>
          </w:r>
          <w:r>
            <w:rPr>
              <w:bCs/>
              <w:lang w:val="zh-CN"/>
            </w:rPr>
            <w:instrText xml:space="preserve"> HYPERLINK \l _Toc22963 </w:instrText>
          </w:r>
          <w:r>
            <w:rPr>
              <w:bCs/>
              <w:lang w:val="zh-CN"/>
            </w:rPr>
            <w:fldChar w:fldCharType="separate"/>
          </w:r>
          <w:r>
            <w:rPr>
              <w:rFonts w:hint="eastAsia" w:cs="宋体"/>
              <w:bCs/>
              <w:szCs w:val="28"/>
            </w:rPr>
            <w:t>附表2：符合性条款审查表</w:t>
          </w:r>
          <w:r>
            <w:tab/>
          </w:r>
          <w:r>
            <w:fldChar w:fldCharType="begin"/>
          </w:r>
          <w:r>
            <w:instrText xml:space="preserve"> PAGEREF _Toc22963 \h </w:instrText>
          </w:r>
          <w:r>
            <w:fldChar w:fldCharType="separate"/>
          </w:r>
          <w:r>
            <w:t>30</w:t>
          </w:r>
          <w:r>
            <w:fldChar w:fldCharType="end"/>
          </w:r>
          <w:r>
            <w:rPr>
              <w:bCs/>
              <w:lang w:val="zh-CN"/>
            </w:rPr>
            <w:fldChar w:fldCharType="end"/>
          </w:r>
        </w:p>
        <w:p w14:paraId="4DAD1AF3">
          <w:pPr>
            <w:pStyle w:val="23"/>
            <w:tabs>
              <w:tab w:val="right" w:leader="dot" w:pos="8312"/>
            </w:tabs>
          </w:pPr>
          <w:r>
            <w:rPr>
              <w:bCs/>
              <w:lang w:val="zh-CN"/>
            </w:rPr>
            <w:fldChar w:fldCharType="begin"/>
          </w:r>
          <w:r>
            <w:rPr>
              <w:bCs/>
              <w:lang w:val="zh-CN"/>
            </w:rPr>
            <w:instrText xml:space="preserve"> HYPERLINK \l _Toc23749 </w:instrText>
          </w:r>
          <w:r>
            <w:rPr>
              <w:bCs/>
              <w:lang w:val="zh-CN"/>
            </w:rPr>
            <w:fldChar w:fldCharType="separate"/>
          </w:r>
          <w:r>
            <w:rPr>
              <w:rFonts w:hint="eastAsia" w:cs="宋体"/>
              <w:bCs/>
              <w:szCs w:val="28"/>
            </w:rPr>
            <w:t>附表3：技术商务因素及价格因素评分表</w:t>
          </w:r>
          <w:r>
            <w:tab/>
          </w:r>
          <w:r>
            <w:fldChar w:fldCharType="begin"/>
          </w:r>
          <w:r>
            <w:instrText xml:space="preserve"> PAGEREF _Toc23749 \h </w:instrText>
          </w:r>
          <w:r>
            <w:fldChar w:fldCharType="separate"/>
          </w:r>
          <w:r>
            <w:t>31</w:t>
          </w:r>
          <w:r>
            <w:fldChar w:fldCharType="end"/>
          </w:r>
          <w:r>
            <w:rPr>
              <w:bCs/>
              <w:lang w:val="zh-CN"/>
            </w:rPr>
            <w:fldChar w:fldCharType="end"/>
          </w:r>
        </w:p>
        <w:p w14:paraId="562D3189">
          <w:pPr>
            <w:pStyle w:val="21"/>
            <w:tabs>
              <w:tab w:val="right" w:leader="dot" w:pos="8312"/>
            </w:tabs>
          </w:pPr>
          <w:r>
            <w:rPr>
              <w:bCs/>
              <w:lang w:val="zh-CN"/>
            </w:rPr>
            <w:fldChar w:fldCharType="begin"/>
          </w:r>
          <w:r>
            <w:rPr>
              <w:bCs/>
              <w:lang w:val="zh-CN"/>
            </w:rPr>
            <w:instrText xml:space="preserve"> HYPERLINK \l _Toc5053 </w:instrText>
          </w:r>
          <w:r>
            <w:rPr>
              <w:bCs/>
              <w:lang w:val="zh-CN"/>
            </w:rPr>
            <w:fldChar w:fldCharType="separate"/>
          </w:r>
          <w:r>
            <w:rPr>
              <w:rFonts w:hint="eastAsia"/>
              <w:bCs/>
              <w:szCs w:val="36"/>
            </w:rPr>
            <w:t>第四章  招标内容及要求</w:t>
          </w:r>
          <w:r>
            <w:tab/>
          </w:r>
          <w:r>
            <w:fldChar w:fldCharType="begin"/>
          </w:r>
          <w:r>
            <w:instrText xml:space="preserve"> PAGEREF _Toc5053 \h </w:instrText>
          </w:r>
          <w:r>
            <w:fldChar w:fldCharType="separate"/>
          </w:r>
          <w:r>
            <w:t>33</w:t>
          </w:r>
          <w:r>
            <w:fldChar w:fldCharType="end"/>
          </w:r>
          <w:r>
            <w:rPr>
              <w:bCs/>
              <w:lang w:val="zh-CN"/>
            </w:rPr>
            <w:fldChar w:fldCharType="end"/>
          </w:r>
        </w:p>
        <w:p w14:paraId="23F901EF">
          <w:pPr>
            <w:pStyle w:val="23"/>
            <w:tabs>
              <w:tab w:val="right" w:leader="dot" w:pos="8312"/>
            </w:tabs>
          </w:pPr>
          <w:r>
            <w:rPr>
              <w:bCs/>
              <w:lang w:val="zh-CN"/>
            </w:rPr>
            <w:fldChar w:fldCharType="begin"/>
          </w:r>
          <w:r>
            <w:rPr>
              <w:bCs/>
              <w:lang w:val="zh-CN"/>
            </w:rPr>
            <w:instrText xml:space="preserve"> HYPERLINK \l _Toc30202 </w:instrText>
          </w:r>
          <w:r>
            <w:rPr>
              <w:bCs/>
              <w:lang w:val="zh-CN"/>
            </w:rPr>
            <w:fldChar w:fldCharType="separate"/>
          </w:r>
          <w:r>
            <w:rPr>
              <w:rFonts w:hint="eastAsia" w:cs="宋体"/>
              <w:szCs w:val="24"/>
            </w:rPr>
            <w:t>一、 技术规格及要求</w:t>
          </w:r>
          <w:r>
            <w:tab/>
          </w:r>
          <w:r>
            <w:fldChar w:fldCharType="begin"/>
          </w:r>
          <w:r>
            <w:instrText xml:space="preserve"> PAGEREF _Toc30202 \h </w:instrText>
          </w:r>
          <w:r>
            <w:fldChar w:fldCharType="separate"/>
          </w:r>
          <w:r>
            <w:t>33</w:t>
          </w:r>
          <w:r>
            <w:fldChar w:fldCharType="end"/>
          </w:r>
          <w:r>
            <w:rPr>
              <w:bCs/>
              <w:lang w:val="zh-CN"/>
            </w:rPr>
            <w:fldChar w:fldCharType="end"/>
          </w:r>
        </w:p>
        <w:p w14:paraId="34051A15">
          <w:pPr>
            <w:pStyle w:val="23"/>
            <w:tabs>
              <w:tab w:val="right" w:leader="dot" w:pos="8312"/>
            </w:tabs>
          </w:pPr>
          <w:r>
            <w:rPr>
              <w:bCs/>
              <w:lang w:val="zh-CN"/>
            </w:rPr>
            <w:fldChar w:fldCharType="begin"/>
          </w:r>
          <w:r>
            <w:rPr>
              <w:bCs/>
              <w:lang w:val="zh-CN"/>
            </w:rPr>
            <w:instrText xml:space="preserve"> HYPERLINK \l _Toc8899 </w:instrText>
          </w:r>
          <w:r>
            <w:rPr>
              <w:bCs/>
              <w:lang w:val="zh-CN"/>
            </w:rPr>
            <w:fldChar w:fldCharType="separate"/>
          </w:r>
          <w:r>
            <w:rPr>
              <w:rFonts w:hint="eastAsia" w:cs="宋体"/>
              <w:bCs/>
              <w:szCs w:val="24"/>
            </w:rPr>
            <w:t>二、 系统验收标准及方式</w:t>
          </w:r>
          <w:r>
            <w:tab/>
          </w:r>
          <w:r>
            <w:fldChar w:fldCharType="begin"/>
          </w:r>
          <w:r>
            <w:instrText xml:space="preserve"> PAGEREF _Toc8899 \h </w:instrText>
          </w:r>
          <w:r>
            <w:fldChar w:fldCharType="separate"/>
          </w:r>
          <w:r>
            <w:t>39</w:t>
          </w:r>
          <w:r>
            <w:fldChar w:fldCharType="end"/>
          </w:r>
          <w:r>
            <w:rPr>
              <w:bCs/>
              <w:lang w:val="zh-CN"/>
            </w:rPr>
            <w:fldChar w:fldCharType="end"/>
          </w:r>
        </w:p>
        <w:p w14:paraId="1142F2DD">
          <w:pPr>
            <w:pStyle w:val="23"/>
            <w:tabs>
              <w:tab w:val="right" w:leader="dot" w:pos="8312"/>
            </w:tabs>
          </w:pPr>
          <w:r>
            <w:rPr>
              <w:bCs/>
              <w:lang w:val="zh-CN"/>
            </w:rPr>
            <w:fldChar w:fldCharType="begin"/>
          </w:r>
          <w:r>
            <w:rPr>
              <w:bCs/>
              <w:lang w:val="zh-CN"/>
            </w:rPr>
            <w:instrText xml:space="preserve"> HYPERLINK \l _Toc10010 </w:instrText>
          </w:r>
          <w:r>
            <w:rPr>
              <w:bCs/>
              <w:lang w:val="zh-CN"/>
            </w:rPr>
            <w:fldChar w:fldCharType="separate"/>
          </w:r>
          <w:r>
            <w:rPr>
              <w:rFonts w:hint="eastAsia" w:cs="宋体"/>
              <w:bCs/>
              <w:szCs w:val="24"/>
            </w:rPr>
            <w:t>三、技术培训</w:t>
          </w:r>
          <w:r>
            <w:tab/>
          </w:r>
          <w:r>
            <w:fldChar w:fldCharType="begin"/>
          </w:r>
          <w:r>
            <w:instrText xml:space="preserve"> PAGEREF _Toc10010 \h </w:instrText>
          </w:r>
          <w:r>
            <w:fldChar w:fldCharType="separate"/>
          </w:r>
          <w:r>
            <w:t>39</w:t>
          </w:r>
          <w:r>
            <w:fldChar w:fldCharType="end"/>
          </w:r>
          <w:r>
            <w:rPr>
              <w:bCs/>
              <w:lang w:val="zh-CN"/>
            </w:rPr>
            <w:fldChar w:fldCharType="end"/>
          </w:r>
        </w:p>
        <w:p w14:paraId="730D8415">
          <w:pPr>
            <w:pStyle w:val="23"/>
            <w:tabs>
              <w:tab w:val="right" w:leader="dot" w:pos="8312"/>
            </w:tabs>
          </w:pPr>
          <w:r>
            <w:rPr>
              <w:bCs/>
              <w:lang w:val="zh-CN"/>
            </w:rPr>
            <w:fldChar w:fldCharType="begin"/>
          </w:r>
          <w:r>
            <w:rPr>
              <w:bCs/>
              <w:lang w:val="zh-CN"/>
            </w:rPr>
            <w:instrText xml:space="preserve"> HYPERLINK \l _Toc10866 </w:instrText>
          </w:r>
          <w:r>
            <w:rPr>
              <w:bCs/>
              <w:lang w:val="zh-CN"/>
            </w:rPr>
            <w:fldChar w:fldCharType="separate"/>
          </w:r>
          <w:r>
            <w:rPr>
              <w:rFonts w:hint="eastAsia" w:cs="宋体"/>
              <w:bCs/>
              <w:szCs w:val="24"/>
            </w:rPr>
            <w:t>四、交货及售后服务</w:t>
          </w:r>
          <w:r>
            <w:tab/>
          </w:r>
          <w:r>
            <w:fldChar w:fldCharType="begin"/>
          </w:r>
          <w:r>
            <w:instrText xml:space="preserve"> PAGEREF _Toc10866 \h </w:instrText>
          </w:r>
          <w:r>
            <w:fldChar w:fldCharType="separate"/>
          </w:r>
          <w:r>
            <w:t>40</w:t>
          </w:r>
          <w:r>
            <w:fldChar w:fldCharType="end"/>
          </w:r>
          <w:r>
            <w:rPr>
              <w:bCs/>
              <w:lang w:val="zh-CN"/>
            </w:rPr>
            <w:fldChar w:fldCharType="end"/>
          </w:r>
        </w:p>
        <w:p w14:paraId="7E8910C5">
          <w:pPr>
            <w:pStyle w:val="23"/>
            <w:tabs>
              <w:tab w:val="right" w:leader="dot" w:pos="8312"/>
            </w:tabs>
          </w:pPr>
          <w:r>
            <w:rPr>
              <w:bCs/>
              <w:lang w:val="zh-CN"/>
            </w:rPr>
            <w:fldChar w:fldCharType="begin"/>
          </w:r>
          <w:r>
            <w:rPr>
              <w:bCs/>
              <w:lang w:val="zh-CN"/>
            </w:rPr>
            <w:instrText xml:space="preserve"> HYPERLINK \l _Toc7686 </w:instrText>
          </w:r>
          <w:r>
            <w:rPr>
              <w:bCs/>
              <w:lang w:val="zh-CN"/>
            </w:rPr>
            <w:fldChar w:fldCharType="separate"/>
          </w:r>
          <w:r>
            <w:rPr>
              <w:rFonts w:hint="eastAsia" w:cs="宋体"/>
              <w:bCs/>
              <w:szCs w:val="24"/>
            </w:rPr>
            <w:t>五、★付款方式</w:t>
          </w:r>
          <w:r>
            <w:tab/>
          </w:r>
          <w:r>
            <w:fldChar w:fldCharType="begin"/>
          </w:r>
          <w:r>
            <w:instrText xml:space="preserve"> PAGEREF _Toc7686 \h </w:instrText>
          </w:r>
          <w:r>
            <w:fldChar w:fldCharType="separate"/>
          </w:r>
          <w:r>
            <w:t>40</w:t>
          </w:r>
          <w:r>
            <w:fldChar w:fldCharType="end"/>
          </w:r>
          <w:r>
            <w:rPr>
              <w:bCs/>
              <w:lang w:val="zh-CN"/>
            </w:rPr>
            <w:fldChar w:fldCharType="end"/>
          </w:r>
        </w:p>
        <w:p w14:paraId="63BA88BD">
          <w:pPr>
            <w:pStyle w:val="23"/>
            <w:tabs>
              <w:tab w:val="right" w:leader="dot" w:pos="8312"/>
            </w:tabs>
          </w:pPr>
          <w:r>
            <w:rPr>
              <w:bCs/>
              <w:lang w:val="zh-CN"/>
            </w:rPr>
            <w:fldChar w:fldCharType="begin"/>
          </w:r>
          <w:r>
            <w:rPr>
              <w:bCs/>
              <w:lang w:val="zh-CN"/>
            </w:rPr>
            <w:instrText xml:space="preserve"> HYPERLINK \l _Toc32356 </w:instrText>
          </w:r>
          <w:r>
            <w:rPr>
              <w:bCs/>
              <w:lang w:val="zh-CN"/>
            </w:rPr>
            <w:fldChar w:fldCharType="separate"/>
          </w:r>
          <w:r>
            <w:rPr>
              <w:rFonts w:hint="eastAsia" w:cs="宋体"/>
              <w:bCs/>
              <w:szCs w:val="24"/>
            </w:rPr>
            <w:t>六、报价要求</w:t>
          </w:r>
          <w:r>
            <w:tab/>
          </w:r>
          <w:r>
            <w:fldChar w:fldCharType="begin"/>
          </w:r>
          <w:r>
            <w:instrText xml:space="preserve"> PAGEREF _Toc32356 \h </w:instrText>
          </w:r>
          <w:r>
            <w:fldChar w:fldCharType="separate"/>
          </w:r>
          <w:r>
            <w:t>41</w:t>
          </w:r>
          <w:r>
            <w:fldChar w:fldCharType="end"/>
          </w:r>
          <w:r>
            <w:rPr>
              <w:bCs/>
              <w:lang w:val="zh-CN"/>
            </w:rPr>
            <w:fldChar w:fldCharType="end"/>
          </w:r>
        </w:p>
        <w:p w14:paraId="4CE19177">
          <w:pPr>
            <w:pStyle w:val="23"/>
            <w:tabs>
              <w:tab w:val="right" w:leader="dot" w:pos="8312"/>
            </w:tabs>
          </w:pPr>
          <w:r>
            <w:rPr>
              <w:bCs/>
              <w:lang w:val="zh-CN"/>
            </w:rPr>
            <w:fldChar w:fldCharType="begin"/>
          </w:r>
          <w:r>
            <w:rPr>
              <w:bCs/>
              <w:lang w:val="zh-CN"/>
            </w:rPr>
            <w:instrText xml:space="preserve"> HYPERLINK \l _Toc20521 </w:instrText>
          </w:r>
          <w:r>
            <w:rPr>
              <w:bCs/>
              <w:lang w:val="zh-CN"/>
            </w:rPr>
            <w:fldChar w:fldCharType="separate"/>
          </w:r>
          <w:r>
            <w:rPr>
              <w:rFonts w:hint="eastAsia" w:cs="宋体"/>
              <w:bCs/>
              <w:szCs w:val="24"/>
            </w:rPr>
            <w:t>七、违约责任</w:t>
          </w:r>
          <w:r>
            <w:tab/>
          </w:r>
          <w:r>
            <w:fldChar w:fldCharType="begin"/>
          </w:r>
          <w:r>
            <w:instrText xml:space="preserve"> PAGEREF _Toc20521 \h </w:instrText>
          </w:r>
          <w:r>
            <w:fldChar w:fldCharType="separate"/>
          </w:r>
          <w:r>
            <w:t>42</w:t>
          </w:r>
          <w:r>
            <w:fldChar w:fldCharType="end"/>
          </w:r>
          <w:r>
            <w:rPr>
              <w:bCs/>
              <w:lang w:val="zh-CN"/>
            </w:rPr>
            <w:fldChar w:fldCharType="end"/>
          </w:r>
        </w:p>
        <w:p w14:paraId="6EC92FDC">
          <w:pPr>
            <w:pStyle w:val="23"/>
            <w:tabs>
              <w:tab w:val="right" w:leader="dot" w:pos="8312"/>
            </w:tabs>
          </w:pPr>
          <w:r>
            <w:rPr>
              <w:bCs/>
              <w:lang w:val="zh-CN"/>
            </w:rPr>
            <w:fldChar w:fldCharType="begin"/>
          </w:r>
          <w:r>
            <w:rPr>
              <w:bCs/>
              <w:lang w:val="zh-CN"/>
            </w:rPr>
            <w:instrText xml:space="preserve"> HYPERLINK \l _Toc21934 </w:instrText>
          </w:r>
          <w:r>
            <w:rPr>
              <w:bCs/>
              <w:lang w:val="zh-CN"/>
            </w:rPr>
            <w:fldChar w:fldCharType="separate"/>
          </w:r>
          <w:r>
            <w:rPr>
              <w:rFonts w:hint="eastAsia" w:cs="宋体"/>
              <w:bCs/>
              <w:szCs w:val="24"/>
            </w:rPr>
            <w:t>八、知识产权</w:t>
          </w:r>
          <w:r>
            <w:tab/>
          </w:r>
          <w:r>
            <w:fldChar w:fldCharType="begin"/>
          </w:r>
          <w:r>
            <w:instrText xml:space="preserve"> PAGEREF _Toc21934 \h </w:instrText>
          </w:r>
          <w:r>
            <w:fldChar w:fldCharType="separate"/>
          </w:r>
          <w:r>
            <w:t>42</w:t>
          </w:r>
          <w:r>
            <w:fldChar w:fldCharType="end"/>
          </w:r>
          <w:r>
            <w:rPr>
              <w:bCs/>
              <w:lang w:val="zh-CN"/>
            </w:rPr>
            <w:fldChar w:fldCharType="end"/>
          </w:r>
        </w:p>
        <w:p w14:paraId="26F29816">
          <w:pPr>
            <w:pStyle w:val="23"/>
            <w:tabs>
              <w:tab w:val="right" w:leader="dot" w:pos="8312"/>
            </w:tabs>
          </w:pPr>
          <w:r>
            <w:rPr>
              <w:bCs/>
              <w:lang w:val="zh-CN"/>
            </w:rPr>
            <w:fldChar w:fldCharType="begin"/>
          </w:r>
          <w:r>
            <w:rPr>
              <w:bCs/>
              <w:lang w:val="zh-CN"/>
            </w:rPr>
            <w:instrText xml:space="preserve"> HYPERLINK \l _Toc6734 </w:instrText>
          </w:r>
          <w:r>
            <w:rPr>
              <w:bCs/>
              <w:lang w:val="zh-CN"/>
            </w:rPr>
            <w:fldChar w:fldCharType="separate"/>
          </w:r>
          <w:r>
            <w:rPr>
              <w:rFonts w:hint="eastAsia" w:cs="宋体"/>
              <w:bCs/>
              <w:szCs w:val="24"/>
            </w:rPr>
            <w:t>九、合同签订</w:t>
          </w:r>
          <w:r>
            <w:tab/>
          </w:r>
          <w:r>
            <w:fldChar w:fldCharType="begin"/>
          </w:r>
          <w:r>
            <w:instrText xml:space="preserve"> PAGEREF _Toc6734 \h </w:instrText>
          </w:r>
          <w:r>
            <w:fldChar w:fldCharType="separate"/>
          </w:r>
          <w:r>
            <w:t>43</w:t>
          </w:r>
          <w:r>
            <w:fldChar w:fldCharType="end"/>
          </w:r>
          <w:r>
            <w:rPr>
              <w:bCs/>
              <w:lang w:val="zh-CN"/>
            </w:rPr>
            <w:fldChar w:fldCharType="end"/>
          </w:r>
        </w:p>
        <w:p w14:paraId="38CE6732">
          <w:pPr>
            <w:pStyle w:val="21"/>
            <w:tabs>
              <w:tab w:val="right" w:leader="dot" w:pos="8312"/>
            </w:tabs>
          </w:pPr>
          <w:r>
            <w:rPr>
              <w:bCs/>
              <w:lang w:val="zh-CN"/>
            </w:rPr>
            <w:fldChar w:fldCharType="begin"/>
          </w:r>
          <w:r>
            <w:rPr>
              <w:bCs/>
              <w:lang w:val="zh-CN"/>
            </w:rPr>
            <w:instrText xml:space="preserve"> HYPERLINK \l _Toc15314 </w:instrText>
          </w:r>
          <w:r>
            <w:rPr>
              <w:bCs/>
              <w:lang w:val="zh-CN"/>
            </w:rPr>
            <w:fldChar w:fldCharType="separate"/>
          </w:r>
          <w:r>
            <w:rPr>
              <w:rFonts w:hint="eastAsia"/>
              <w:bCs/>
              <w:szCs w:val="36"/>
            </w:rPr>
            <w:t>第五章  合同条款</w:t>
          </w:r>
          <w:r>
            <w:tab/>
          </w:r>
          <w:r>
            <w:fldChar w:fldCharType="begin"/>
          </w:r>
          <w:r>
            <w:instrText xml:space="preserve"> PAGEREF _Toc15314 \h </w:instrText>
          </w:r>
          <w:r>
            <w:fldChar w:fldCharType="separate"/>
          </w:r>
          <w:r>
            <w:t>44</w:t>
          </w:r>
          <w:r>
            <w:fldChar w:fldCharType="end"/>
          </w:r>
          <w:r>
            <w:rPr>
              <w:bCs/>
              <w:lang w:val="zh-CN"/>
            </w:rPr>
            <w:fldChar w:fldCharType="end"/>
          </w:r>
        </w:p>
        <w:p w14:paraId="21619840">
          <w:pPr>
            <w:pStyle w:val="23"/>
            <w:tabs>
              <w:tab w:val="right" w:leader="dot" w:pos="8312"/>
            </w:tabs>
          </w:pPr>
          <w:r>
            <w:rPr>
              <w:bCs/>
              <w:lang w:val="zh-CN"/>
            </w:rPr>
            <w:fldChar w:fldCharType="begin"/>
          </w:r>
          <w:r>
            <w:rPr>
              <w:bCs/>
              <w:lang w:val="zh-CN"/>
            </w:rPr>
            <w:instrText xml:space="preserve"> HYPERLINK \l _Toc31820 </w:instrText>
          </w:r>
          <w:r>
            <w:rPr>
              <w:bCs/>
              <w:lang w:val="zh-CN"/>
            </w:rPr>
            <w:fldChar w:fldCharType="separate"/>
          </w:r>
          <w:r>
            <w:rPr>
              <w:rFonts w:hint="default" w:cs="宋体"/>
              <w:szCs w:val="24"/>
            </w:rPr>
            <w:t xml:space="preserve">一、 </w:t>
          </w:r>
          <w:r>
            <w:rPr>
              <w:rFonts w:hint="eastAsia" w:cs="宋体"/>
              <w:szCs w:val="24"/>
            </w:rPr>
            <w:t>设备的名称、型号、数量、单价、总价（单位：元）</w:t>
          </w:r>
          <w:r>
            <w:tab/>
          </w:r>
          <w:r>
            <w:fldChar w:fldCharType="begin"/>
          </w:r>
          <w:r>
            <w:instrText xml:space="preserve"> PAGEREF _Toc31820 \h </w:instrText>
          </w:r>
          <w:r>
            <w:fldChar w:fldCharType="separate"/>
          </w:r>
          <w:r>
            <w:t>50</w:t>
          </w:r>
          <w:r>
            <w:fldChar w:fldCharType="end"/>
          </w:r>
          <w:r>
            <w:rPr>
              <w:bCs/>
              <w:lang w:val="zh-CN"/>
            </w:rPr>
            <w:fldChar w:fldCharType="end"/>
          </w:r>
        </w:p>
        <w:p w14:paraId="1C724BE8">
          <w:pPr>
            <w:pStyle w:val="23"/>
            <w:tabs>
              <w:tab w:val="right" w:leader="dot" w:pos="8312"/>
            </w:tabs>
          </w:pPr>
          <w:r>
            <w:rPr>
              <w:bCs/>
              <w:lang w:val="zh-CN"/>
            </w:rPr>
            <w:fldChar w:fldCharType="begin"/>
          </w:r>
          <w:r>
            <w:rPr>
              <w:bCs/>
              <w:lang w:val="zh-CN"/>
            </w:rPr>
            <w:instrText xml:space="preserve"> HYPERLINK \l _Toc12859 </w:instrText>
          </w:r>
          <w:r>
            <w:rPr>
              <w:bCs/>
              <w:lang w:val="zh-CN"/>
            </w:rPr>
            <w:fldChar w:fldCharType="separate"/>
          </w:r>
          <w:r>
            <w:rPr>
              <w:rFonts w:hint="eastAsia" w:cs="宋体"/>
              <w:szCs w:val="24"/>
            </w:rPr>
            <w:t>二、设备的技术标准和质量要求：</w:t>
          </w:r>
          <w:r>
            <w:tab/>
          </w:r>
          <w:r>
            <w:fldChar w:fldCharType="begin"/>
          </w:r>
          <w:r>
            <w:instrText xml:space="preserve"> PAGEREF _Toc12859 \h </w:instrText>
          </w:r>
          <w:r>
            <w:fldChar w:fldCharType="separate"/>
          </w:r>
          <w:r>
            <w:t>50</w:t>
          </w:r>
          <w:r>
            <w:fldChar w:fldCharType="end"/>
          </w:r>
          <w:r>
            <w:rPr>
              <w:bCs/>
              <w:lang w:val="zh-CN"/>
            </w:rPr>
            <w:fldChar w:fldCharType="end"/>
          </w:r>
        </w:p>
        <w:p w14:paraId="7BF145C1">
          <w:pPr>
            <w:pStyle w:val="23"/>
            <w:tabs>
              <w:tab w:val="right" w:leader="dot" w:pos="8312"/>
            </w:tabs>
          </w:pPr>
          <w:r>
            <w:rPr>
              <w:bCs/>
              <w:lang w:val="zh-CN"/>
            </w:rPr>
            <w:fldChar w:fldCharType="begin"/>
          </w:r>
          <w:r>
            <w:rPr>
              <w:bCs/>
              <w:lang w:val="zh-CN"/>
            </w:rPr>
            <w:instrText xml:space="preserve"> HYPERLINK \l _Toc14091 </w:instrText>
          </w:r>
          <w:r>
            <w:rPr>
              <w:bCs/>
              <w:lang w:val="zh-CN"/>
            </w:rPr>
            <w:fldChar w:fldCharType="separate"/>
          </w:r>
          <w:r>
            <w:rPr>
              <w:rFonts w:hint="eastAsia" w:cs="宋体"/>
              <w:szCs w:val="24"/>
            </w:rPr>
            <w:t>三、设备的包装标准和包装物的供应与回收</w:t>
          </w:r>
          <w:r>
            <w:tab/>
          </w:r>
          <w:r>
            <w:fldChar w:fldCharType="begin"/>
          </w:r>
          <w:r>
            <w:instrText xml:space="preserve"> PAGEREF _Toc14091 \h </w:instrText>
          </w:r>
          <w:r>
            <w:fldChar w:fldCharType="separate"/>
          </w:r>
          <w:r>
            <w:t>51</w:t>
          </w:r>
          <w:r>
            <w:fldChar w:fldCharType="end"/>
          </w:r>
          <w:r>
            <w:rPr>
              <w:bCs/>
              <w:lang w:val="zh-CN"/>
            </w:rPr>
            <w:fldChar w:fldCharType="end"/>
          </w:r>
        </w:p>
        <w:p w14:paraId="024CAC1A">
          <w:pPr>
            <w:pStyle w:val="23"/>
            <w:tabs>
              <w:tab w:val="right" w:leader="dot" w:pos="8312"/>
            </w:tabs>
          </w:pPr>
          <w:r>
            <w:rPr>
              <w:bCs/>
              <w:lang w:val="zh-CN"/>
            </w:rPr>
            <w:fldChar w:fldCharType="begin"/>
          </w:r>
          <w:r>
            <w:rPr>
              <w:bCs/>
              <w:lang w:val="zh-CN"/>
            </w:rPr>
            <w:instrText xml:space="preserve"> HYPERLINK \l _Toc20146 </w:instrText>
          </w:r>
          <w:r>
            <w:rPr>
              <w:bCs/>
              <w:lang w:val="zh-CN"/>
            </w:rPr>
            <w:fldChar w:fldCharType="separate"/>
          </w:r>
          <w:r>
            <w:rPr>
              <w:rFonts w:hint="eastAsia" w:cs="宋体"/>
              <w:szCs w:val="24"/>
            </w:rPr>
            <w:t>四、交货方式和交货地点：</w:t>
          </w:r>
          <w:r>
            <w:tab/>
          </w:r>
          <w:r>
            <w:fldChar w:fldCharType="begin"/>
          </w:r>
          <w:r>
            <w:instrText xml:space="preserve"> PAGEREF _Toc20146 \h </w:instrText>
          </w:r>
          <w:r>
            <w:fldChar w:fldCharType="separate"/>
          </w:r>
          <w:r>
            <w:t>51</w:t>
          </w:r>
          <w:r>
            <w:fldChar w:fldCharType="end"/>
          </w:r>
          <w:r>
            <w:rPr>
              <w:bCs/>
              <w:lang w:val="zh-CN"/>
            </w:rPr>
            <w:fldChar w:fldCharType="end"/>
          </w:r>
        </w:p>
        <w:p w14:paraId="0952D35A">
          <w:pPr>
            <w:pStyle w:val="23"/>
            <w:tabs>
              <w:tab w:val="right" w:leader="dot" w:pos="8312"/>
            </w:tabs>
          </w:pPr>
          <w:r>
            <w:rPr>
              <w:bCs/>
              <w:lang w:val="zh-CN"/>
            </w:rPr>
            <w:fldChar w:fldCharType="begin"/>
          </w:r>
          <w:r>
            <w:rPr>
              <w:bCs/>
              <w:lang w:val="zh-CN"/>
            </w:rPr>
            <w:instrText xml:space="preserve"> HYPERLINK \l _Toc1962 </w:instrText>
          </w:r>
          <w:r>
            <w:rPr>
              <w:bCs/>
              <w:lang w:val="zh-CN"/>
            </w:rPr>
            <w:fldChar w:fldCharType="separate"/>
          </w:r>
          <w:r>
            <w:rPr>
              <w:rFonts w:hint="eastAsia" w:cs="宋体"/>
              <w:szCs w:val="24"/>
            </w:rPr>
            <w:t>五、交货时间：</w:t>
          </w:r>
          <w:r>
            <w:tab/>
          </w:r>
          <w:r>
            <w:fldChar w:fldCharType="begin"/>
          </w:r>
          <w:r>
            <w:instrText xml:space="preserve"> PAGEREF _Toc1962 \h </w:instrText>
          </w:r>
          <w:r>
            <w:fldChar w:fldCharType="separate"/>
          </w:r>
          <w:r>
            <w:t>52</w:t>
          </w:r>
          <w:r>
            <w:fldChar w:fldCharType="end"/>
          </w:r>
          <w:r>
            <w:rPr>
              <w:bCs/>
              <w:lang w:val="zh-CN"/>
            </w:rPr>
            <w:fldChar w:fldCharType="end"/>
          </w:r>
        </w:p>
        <w:p w14:paraId="6FD56BCA">
          <w:pPr>
            <w:pStyle w:val="23"/>
            <w:tabs>
              <w:tab w:val="right" w:leader="dot" w:pos="8312"/>
            </w:tabs>
          </w:pPr>
          <w:r>
            <w:rPr>
              <w:bCs/>
              <w:lang w:val="zh-CN"/>
            </w:rPr>
            <w:fldChar w:fldCharType="begin"/>
          </w:r>
          <w:r>
            <w:rPr>
              <w:bCs/>
              <w:lang w:val="zh-CN"/>
            </w:rPr>
            <w:instrText xml:space="preserve"> HYPERLINK \l _Toc18030 </w:instrText>
          </w:r>
          <w:r>
            <w:rPr>
              <w:bCs/>
              <w:lang w:val="zh-CN"/>
            </w:rPr>
            <w:fldChar w:fldCharType="separate"/>
          </w:r>
          <w:r>
            <w:rPr>
              <w:rFonts w:hint="eastAsia" w:cs="宋体"/>
              <w:szCs w:val="24"/>
            </w:rPr>
            <w:t>六、随机备品、配件及工具的供应办法：</w:t>
          </w:r>
          <w:r>
            <w:tab/>
          </w:r>
          <w:r>
            <w:fldChar w:fldCharType="begin"/>
          </w:r>
          <w:r>
            <w:instrText xml:space="preserve"> PAGEREF _Toc18030 \h </w:instrText>
          </w:r>
          <w:r>
            <w:fldChar w:fldCharType="separate"/>
          </w:r>
          <w:r>
            <w:t>52</w:t>
          </w:r>
          <w:r>
            <w:fldChar w:fldCharType="end"/>
          </w:r>
          <w:r>
            <w:rPr>
              <w:bCs/>
              <w:lang w:val="zh-CN"/>
            </w:rPr>
            <w:fldChar w:fldCharType="end"/>
          </w:r>
        </w:p>
        <w:p w14:paraId="7673A0FC">
          <w:pPr>
            <w:pStyle w:val="23"/>
            <w:tabs>
              <w:tab w:val="right" w:leader="dot" w:pos="8312"/>
            </w:tabs>
          </w:pPr>
          <w:r>
            <w:rPr>
              <w:bCs/>
              <w:lang w:val="zh-CN"/>
            </w:rPr>
            <w:fldChar w:fldCharType="begin"/>
          </w:r>
          <w:r>
            <w:rPr>
              <w:bCs/>
              <w:lang w:val="zh-CN"/>
            </w:rPr>
            <w:instrText xml:space="preserve"> HYPERLINK \l _Toc20682 </w:instrText>
          </w:r>
          <w:r>
            <w:rPr>
              <w:bCs/>
              <w:lang w:val="zh-CN"/>
            </w:rPr>
            <w:fldChar w:fldCharType="separate"/>
          </w:r>
          <w:r>
            <w:rPr>
              <w:rFonts w:hint="eastAsia" w:cs="宋体"/>
              <w:szCs w:val="24"/>
            </w:rPr>
            <w:t>七、合同价款及支付方式：</w:t>
          </w:r>
          <w:r>
            <w:tab/>
          </w:r>
          <w:r>
            <w:fldChar w:fldCharType="begin"/>
          </w:r>
          <w:r>
            <w:instrText xml:space="preserve"> PAGEREF _Toc20682 \h </w:instrText>
          </w:r>
          <w:r>
            <w:fldChar w:fldCharType="separate"/>
          </w:r>
          <w:r>
            <w:t>52</w:t>
          </w:r>
          <w:r>
            <w:fldChar w:fldCharType="end"/>
          </w:r>
          <w:r>
            <w:rPr>
              <w:bCs/>
              <w:lang w:val="zh-CN"/>
            </w:rPr>
            <w:fldChar w:fldCharType="end"/>
          </w:r>
        </w:p>
        <w:p w14:paraId="5509A5C2">
          <w:pPr>
            <w:pStyle w:val="23"/>
            <w:tabs>
              <w:tab w:val="right" w:leader="dot" w:pos="8312"/>
            </w:tabs>
          </w:pPr>
          <w:r>
            <w:rPr>
              <w:bCs/>
              <w:lang w:val="zh-CN"/>
            </w:rPr>
            <w:fldChar w:fldCharType="begin"/>
          </w:r>
          <w:r>
            <w:rPr>
              <w:bCs/>
              <w:lang w:val="zh-CN"/>
            </w:rPr>
            <w:instrText xml:space="preserve"> HYPERLINK \l _Toc19280 </w:instrText>
          </w:r>
          <w:r>
            <w:rPr>
              <w:bCs/>
              <w:lang w:val="zh-CN"/>
            </w:rPr>
            <w:fldChar w:fldCharType="separate"/>
          </w:r>
          <w:r>
            <w:rPr>
              <w:rFonts w:hint="eastAsia" w:cs="宋体"/>
              <w:szCs w:val="24"/>
            </w:rPr>
            <w:t>八、初步验收</w:t>
          </w:r>
          <w:r>
            <w:tab/>
          </w:r>
          <w:r>
            <w:fldChar w:fldCharType="begin"/>
          </w:r>
          <w:r>
            <w:instrText xml:space="preserve"> PAGEREF _Toc19280 \h </w:instrText>
          </w:r>
          <w:r>
            <w:fldChar w:fldCharType="separate"/>
          </w:r>
          <w:r>
            <w:t>53</w:t>
          </w:r>
          <w:r>
            <w:fldChar w:fldCharType="end"/>
          </w:r>
          <w:r>
            <w:rPr>
              <w:bCs/>
              <w:lang w:val="zh-CN"/>
            </w:rPr>
            <w:fldChar w:fldCharType="end"/>
          </w:r>
        </w:p>
        <w:p w14:paraId="1009E7AC">
          <w:pPr>
            <w:pStyle w:val="23"/>
            <w:tabs>
              <w:tab w:val="right" w:leader="dot" w:pos="8312"/>
            </w:tabs>
          </w:pPr>
          <w:r>
            <w:rPr>
              <w:bCs/>
              <w:lang w:val="zh-CN"/>
            </w:rPr>
            <w:fldChar w:fldCharType="begin"/>
          </w:r>
          <w:r>
            <w:rPr>
              <w:bCs/>
              <w:lang w:val="zh-CN"/>
            </w:rPr>
            <w:instrText xml:space="preserve"> HYPERLINK \l _Toc754 </w:instrText>
          </w:r>
          <w:r>
            <w:rPr>
              <w:bCs/>
              <w:lang w:val="zh-CN"/>
            </w:rPr>
            <w:fldChar w:fldCharType="separate"/>
          </w:r>
          <w:r>
            <w:rPr>
              <w:rFonts w:hint="eastAsia" w:cs="宋体"/>
              <w:szCs w:val="24"/>
            </w:rPr>
            <w:t>九、安装、调试和验收</w:t>
          </w:r>
          <w:r>
            <w:tab/>
          </w:r>
          <w:r>
            <w:fldChar w:fldCharType="begin"/>
          </w:r>
          <w:r>
            <w:instrText xml:space="preserve"> PAGEREF _Toc754 \h </w:instrText>
          </w:r>
          <w:r>
            <w:fldChar w:fldCharType="separate"/>
          </w:r>
          <w:r>
            <w:t>54</w:t>
          </w:r>
          <w:r>
            <w:fldChar w:fldCharType="end"/>
          </w:r>
          <w:r>
            <w:rPr>
              <w:bCs/>
              <w:lang w:val="zh-CN"/>
            </w:rPr>
            <w:fldChar w:fldCharType="end"/>
          </w:r>
        </w:p>
        <w:p w14:paraId="3ACCC48F">
          <w:pPr>
            <w:pStyle w:val="23"/>
            <w:tabs>
              <w:tab w:val="right" w:leader="dot" w:pos="8312"/>
            </w:tabs>
          </w:pPr>
          <w:r>
            <w:rPr>
              <w:bCs/>
              <w:lang w:val="zh-CN"/>
            </w:rPr>
            <w:fldChar w:fldCharType="begin"/>
          </w:r>
          <w:r>
            <w:rPr>
              <w:bCs/>
              <w:lang w:val="zh-CN"/>
            </w:rPr>
            <w:instrText xml:space="preserve"> HYPERLINK \l _Toc25117 </w:instrText>
          </w:r>
          <w:r>
            <w:rPr>
              <w:bCs/>
              <w:lang w:val="zh-CN"/>
            </w:rPr>
            <w:fldChar w:fldCharType="separate"/>
          </w:r>
          <w:r>
            <w:rPr>
              <w:rFonts w:hint="eastAsia" w:cs="宋体"/>
              <w:szCs w:val="24"/>
            </w:rPr>
            <w:t>十、保证</w:t>
          </w:r>
          <w:r>
            <w:tab/>
          </w:r>
          <w:r>
            <w:fldChar w:fldCharType="begin"/>
          </w:r>
          <w:r>
            <w:instrText xml:space="preserve"> PAGEREF _Toc25117 \h </w:instrText>
          </w:r>
          <w:r>
            <w:fldChar w:fldCharType="separate"/>
          </w:r>
          <w:r>
            <w:t>55</w:t>
          </w:r>
          <w:r>
            <w:fldChar w:fldCharType="end"/>
          </w:r>
          <w:r>
            <w:rPr>
              <w:bCs/>
              <w:lang w:val="zh-CN"/>
            </w:rPr>
            <w:fldChar w:fldCharType="end"/>
          </w:r>
        </w:p>
        <w:p w14:paraId="20D01884">
          <w:pPr>
            <w:pStyle w:val="23"/>
            <w:tabs>
              <w:tab w:val="right" w:leader="dot" w:pos="8312"/>
            </w:tabs>
          </w:pPr>
          <w:r>
            <w:rPr>
              <w:bCs/>
              <w:lang w:val="zh-CN"/>
            </w:rPr>
            <w:fldChar w:fldCharType="begin"/>
          </w:r>
          <w:r>
            <w:rPr>
              <w:bCs/>
              <w:lang w:val="zh-CN"/>
            </w:rPr>
            <w:instrText xml:space="preserve"> HYPERLINK \l _Toc29278 </w:instrText>
          </w:r>
          <w:r>
            <w:rPr>
              <w:bCs/>
              <w:lang w:val="zh-CN"/>
            </w:rPr>
            <w:fldChar w:fldCharType="separate"/>
          </w:r>
          <w:r>
            <w:rPr>
              <w:rFonts w:hint="eastAsia" w:cs="宋体"/>
              <w:szCs w:val="24"/>
            </w:rPr>
            <w:t>十一、违约责任：</w:t>
          </w:r>
          <w:r>
            <w:tab/>
          </w:r>
          <w:r>
            <w:fldChar w:fldCharType="begin"/>
          </w:r>
          <w:r>
            <w:instrText xml:space="preserve"> PAGEREF _Toc29278 \h </w:instrText>
          </w:r>
          <w:r>
            <w:fldChar w:fldCharType="separate"/>
          </w:r>
          <w:r>
            <w:t>56</w:t>
          </w:r>
          <w:r>
            <w:fldChar w:fldCharType="end"/>
          </w:r>
          <w:r>
            <w:rPr>
              <w:bCs/>
              <w:lang w:val="zh-CN"/>
            </w:rPr>
            <w:fldChar w:fldCharType="end"/>
          </w:r>
        </w:p>
        <w:p w14:paraId="35B5A48A">
          <w:pPr>
            <w:pStyle w:val="23"/>
            <w:tabs>
              <w:tab w:val="right" w:leader="dot" w:pos="8312"/>
            </w:tabs>
          </w:pPr>
          <w:r>
            <w:rPr>
              <w:bCs/>
              <w:lang w:val="zh-CN"/>
            </w:rPr>
            <w:fldChar w:fldCharType="begin"/>
          </w:r>
          <w:r>
            <w:rPr>
              <w:bCs/>
              <w:lang w:val="zh-CN"/>
            </w:rPr>
            <w:instrText xml:space="preserve"> HYPERLINK \l _Toc14468 </w:instrText>
          </w:r>
          <w:r>
            <w:rPr>
              <w:bCs/>
              <w:lang w:val="zh-CN"/>
            </w:rPr>
            <w:fldChar w:fldCharType="separate"/>
          </w:r>
          <w:r>
            <w:rPr>
              <w:rFonts w:hint="eastAsia" w:cs="宋体"/>
              <w:szCs w:val="24"/>
            </w:rPr>
            <w:t>十二、不可抗力</w:t>
          </w:r>
          <w:r>
            <w:tab/>
          </w:r>
          <w:r>
            <w:fldChar w:fldCharType="begin"/>
          </w:r>
          <w:r>
            <w:instrText xml:space="preserve"> PAGEREF _Toc14468 \h </w:instrText>
          </w:r>
          <w:r>
            <w:fldChar w:fldCharType="separate"/>
          </w:r>
          <w:r>
            <w:t>58</w:t>
          </w:r>
          <w:r>
            <w:fldChar w:fldCharType="end"/>
          </w:r>
          <w:r>
            <w:rPr>
              <w:bCs/>
              <w:lang w:val="zh-CN"/>
            </w:rPr>
            <w:fldChar w:fldCharType="end"/>
          </w:r>
        </w:p>
        <w:p w14:paraId="3CEEA882">
          <w:pPr>
            <w:pStyle w:val="23"/>
            <w:tabs>
              <w:tab w:val="right" w:leader="dot" w:pos="8312"/>
            </w:tabs>
          </w:pPr>
          <w:r>
            <w:rPr>
              <w:bCs/>
              <w:lang w:val="zh-CN"/>
            </w:rPr>
            <w:fldChar w:fldCharType="begin"/>
          </w:r>
          <w:r>
            <w:rPr>
              <w:bCs/>
              <w:lang w:val="zh-CN"/>
            </w:rPr>
            <w:instrText xml:space="preserve"> HYPERLINK \l _Toc16582 </w:instrText>
          </w:r>
          <w:r>
            <w:rPr>
              <w:bCs/>
              <w:lang w:val="zh-CN"/>
            </w:rPr>
            <w:fldChar w:fldCharType="separate"/>
          </w:r>
          <w:r>
            <w:rPr>
              <w:rFonts w:hint="eastAsia" w:cs="宋体"/>
              <w:szCs w:val="24"/>
            </w:rPr>
            <w:t>十三、争议的解决</w:t>
          </w:r>
          <w:r>
            <w:tab/>
          </w:r>
          <w:r>
            <w:fldChar w:fldCharType="begin"/>
          </w:r>
          <w:r>
            <w:instrText xml:space="preserve"> PAGEREF _Toc16582 \h </w:instrText>
          </w:r>
          <w:r>
            <w:fldChar w:fldCharType="separate"/>
          </w:r>
          <w:r>
            <w:t>58</w:t>
          </w:r>
          <w:r>
            <w:fldChar w:fldCharType="end"/>
          </w:r>
          <w:r>
            <w:rPr>
              <w:bCs/>
              <w:lang w:val="zh-CN"/>
            </w:rPr>
            <w:fldChar w:fldCharType="end"/>
          </w:r>
        </w:p>
        <w:p w14:paraId="7947F3B1">
          <w:pPr>
            <w:pStyle w:val="23"/>
            <w:tabs>
              <w:tab w:val="right" w:leader="dot" w:pos="8312"/>
            </w:tabs>
          </w:pPr>
          <w:r>
            <w:rPr>
              <w:bCs/>
              <w:lang w:val="zh-CN"/>
            </w:rPr>
            <w:fldChar w:fldCharType="begin"/>
          </w:r>
          <w:r>
            <w:rPr>
              <w:bCs/>
              <w:lang w:val="zh-CN"/>
            </w:rPr>
            <w:instrText xml:space="preserve"> HYPERLINK \l _Toc6544 </w:instrText>
          </w:r>
          <w:r>
            <w:rPr>
              <w:bCs/>
              <w:lang w:val="zh-CN"/>
            </w:rPr>
            <w:fldChar w:fldCharType="separate"/>
          </w:r>
          <w:r>
            <w:rPr>
              <w:rFonts w:hint="eastAsia" w:cs="宋体"/>
              <w:szCs w:val="24"/>
            </w:rPr>
            <w:t>十四、合同的变更、解除</w:t>
          </w:r>
          <w:r>
            <w:tab/>
          </w:r>
          <w:r>
            <w:fldChar w:fldCharType="begin"/>
          </w:r>
          <w:r>
            <w:instrText xml:space="preserve"> PAGEREF _Toc6544 \h </w:instrText>
          </w:r>
          <w:r>
            <w:fldChar w:fldCharType="separate"/>
          </w:r>
          <w:r>
            <w:t>59</w:t>
          </w:r>
          <w:r>
            <w:fldChar w:fldCharType="end"/>
          </w:r>
          <w:r>
            <w:rPr>
              <w:bCs/>
              <w:lang w:val="zh-CN"/>
            </w:rPr>
            <w:fldChar w:fldCharType="end"/>
          </w:r>
        </w:p>
        <w:p w14:paraId="743B9B19">
          <w:pPr>
            <w:pStyle w:val="23"/>
            <w:tabs>
              <w:tab w:val="right" w:leader="dot" w:pos="8312"/>
            </w:tabs>
          </w:pPr>
          <w:r>
            <w:rPr>
              <w:bCs/>
              <w:lang w:val="zh-CN"/>
            </w:rPr>
            <w:fldChar w:fldCharType="begin"/>
          </w:r>
          <w:r>
            <w:rPr>
              <w:bCs/>
              <w:lang w:val="zh-CN"/>
            </w:rPr>
            <w:instrText xml:space="preserve"> HYPERLINK \l _Toc30062 </w:instrText>
          </w:r>
          <w:r>
            <w:rPr>
              <w:bCs/>
              <w:lang w:val="zh-CN"/>
            </w:rPr>
            <w:fldChar w:fldCharType="separate"/>
          </w:r>
          <w:r>
            <w:rPr>
              <w:rFonts w:hint="eastAsia" w:cs="宋体"/>
              <w:szCs w:val="24"/>
            </w:rPr>
            <w:t>十五、其他</w:t>
          </w:r>
          <w:r>
            <w:tab/>
          </w:r>
          <w:r>
            <w:fldChar w:fldCharType="begin"/>
          </w:r>
          <w:r>
            <w:instrText xml:space="preserve"> PAGEREF _Toc30062 \h </w:instrText>
          </w:r>
          <w:r>
            <w:fldChar w:fldCharType="separate"/>
          </w:r>
          <w:r>
            <w:t>59</w:t>
          </w:r>
          <w:r>
            <w:fldChar w:fldCharType="end"/>
          </w:r>
          <w:r>
            <w:rPr>
              <w:bCs/>
              <w:lang w:val="zh-CN"/>
            </w:rPr>
            <w:fldChar w:fldCharType="end"/>
          </w:r>
        </w:p>
        <w:p w14:paraId="59D55D5E">
          <w:pPr>
            <w:pStyle w:val="21"/>
            <w:tabs>
              <w:tab w:val="right" w:leader="dot" w:pos="8312"/>
            </w:tabs>
          </w:pPr>
          <w:r>
            <w:rPr>
              <w:bCs/>
              <w:lang w:val="zh-CN"/>
            </w:rPr>
            <w:fldChar w:fldCharType="begin"/>
          </w:r>
          <w:r>
            <w:rPr>
              <w:bCs/>
              <w:lang w:val="zh-CN"/>
            </w:rPr>
            <w:instrText xml:space="preserve"> HYPERLINK \l _Toc15957 </w:instrText>
          </w:r>
          <w:r>
            <w:rPr>
              <w:bCs/>
              <w:lang w:val="zh-CN"/>
            </w:rPr>
            <w:fldChar w:fldCharType="separate"/>
          </w:r>
          <w:r>
            <w:rPr>
              <w:rFonts w:hint="eastAsia" w:cs="宋体"/>
              <w:bCs/>
              <w:szCs w:val="44"/>
            </w:rPr>
            <w:t>第六章  投标文件格式</w:t>
          </w:r>
          <w:r>
            <w:tab/>
          </w:r>
          <w:r>
            <w:fldChar w:fldCharType="begin"/>
          </w:r>
          <w:r>
            <w:instrText xml:space="preserve"> PAGEREF _Toc15957 \h </w:instrText>
          </w:r>
          <w:r>
            <w:fldChar w:fldCharType="separate"/>
          </w:r>
          <w:r>
            <w:t>61</w:t>
          </w:r>
          <w:r>
            <w:fldChar w:fldCharType="end"/>
          </w:r>
          <w:r>
            <w:rPr>
              <w:bCs/>
              <w:lang w:val="zh-CN"/>
            </w:rPr>
            <w:fldChar w:fldCharType="end"/>
          </w:r>
        </w:p>
        <w:p w14:paraId="05405D8D">
          <w:pPr>
            <w:pStyle w:val="23"/>
            <w:tabs>
              <w:tab w:val="right" w:leader="dot" w:pos="8312"/>
            </w:tabs>
          </w:pPr>
          <w:r>
            <w:rPr>
              <w:bCs/>
              <w:lang w:val="zh-CN"/>
            </w:rPr>
            <w:fldChar w:fldCharType="begin"/>
          </w:r>
          <w:r>
            <w:rPr>
              <w:bCs/>
              <w:lang w:val="zh-CN"/>
            </w:rPr>
            <w:instrText xml:space="preserve"> HYPERLINK \l _Toc24713 </w:instrText>
          </w:r>
          <w:r>
            <w:rPr>
              <w:bCs/>
              <w:lang w:val="zh-CN"/>
            </w:rPr>
            <w:fldChar w:fldCharType="separate"/>
          </w:r>
          <w:r>
            <w:rPr>
              <w:rFonts w:hint="eastAsia" w:cs="宋体"/>
              <w:bCs/>
              <w:szCs w:val="72"/>
            </w:rPr>
            <w:t>投  标  文  件</w:t>
          </w:r>
          <w:r>
            <w:tab/>
          </w:r>
          <w:r>
            <w:fldChar w:fldCharType="begin"/>
          </w:r>
          <w:r>
            <w:instrText xml:space="preserve"> PAGEREF _Toc24713 \h </w:instrText>
          </w:r>
          <w:r>
            <w:fldChar w:fldCharType="separate"/>
          </w:r>
          <w:r>
            <w:t>61</w:t>
          </w:r>
          <w:r>
            <w:fldChar w:fldCharType="end"/>
          </w:r>
          <w:r>
            <w:rPr>
              <w:bCs/>
              <w:lang w:val="zh-CN"/>
            </w:rPr>
            <w:fldChar w:fldCharType="end"/>
          </w:r>
        </w:p>
        <w:p w14:paraId="1B89D20A">
          <w:pPr>
            <w:pStyle w:val="23"/>
            <w:tabs>
              <w:tab w:val="right" w:leader="dot" w:pos="8312"/>
            </w:tabs>
          </w:pPr>
          <w:r>
            <w:rPr>
              <w:bCs/>
              <w:lang w:val="zh-CN"/>
            </w:rPr>
            <w:fldChar w:fldCharType="begin"/>
          </w:r>
          <w:r>
            <w:rPr>
              <w:bCs/>
              <w:lang w:val="zh-CN"/>
            </w:rPr>
            <w:instrText xml:space="preserve"> HYPERLINK \l _Toc3038 </w:instrText>
          </w:r>
          <w:r>
            <w:rPr>
              <w:bCs/>
              <w:lang w:val="zh-CN"/>
            </w:rPr>
            <w:fldChar w:fldCharType="separate"/>
          </w:r>
          <w:r>
            <w:rPr>
              <w:rFonts w:hint="eastAsia" w:cs="宋体"/>
              <w:bCs/>
              <w:szCs w:val="36"/>
            </w:rPr>
            <w:t>（资格文件）</w:t>
          </w:r>
          <w:r>
            <w:tab/>
          </w:r>
          <w:r>
            <w:fldChar w:fldCharType="begin"/>
          </w:r>
          <w:r>
            <w:instrText xml:space="preserve"> PAGEREF _Toc3038 \h </w:instrText>
          </w:r>
          <w:r>
            <w:fldChar w:fldCharType="separate"/>
          </w:r>
          <w:r>
            <w:t>61</w:t>
          </w:r>
          <w:r>
            <w:fldChar w:fldCharType="end"/>
          </w:r>
          <w:r>
            <w:rPr>
              <w:bCs/>
              <w:lang w:val="zh-CN"/>
            </w:rPr>
            <w:fldChar w:fldCharType="end"/>
          </w:r>
        </w:p>
        <w:p w14:paraId="7F6EF301">
          <w:pPr>
            <w:pStyle w:val="23"/>
            <w:tabs>
              <w:tab w:val="right" w:leader="dot" w:pos="8312"/>
            </w:tabs>
          </w:pPr>
          <w:r>
            <w:rPr>
              <w:bCs/>
              <w:lang w:val="zh-CN"/>
            </w:rPr>
            <w:fldChar w:fldCharType="begin"/>
          </w:r>
          <w:r>
            <w:rPr>
              <w:bCs/>
              <w:lang w:val="zh-CN"/>
            </w:rPr>
            <w:instrText xml:space="preserve"> HYPERLINK \l _Toc31229 </w:instrText>
          </w:r>
          <w:r>
            <w:rPr>
              <w:bCs/>
              <w:lang w:val="zh-CN"/>
            </w:rPr>
            <w:fldChar w:fldCharType="separate"/>
          </w:r>
          <w:r>
            <w:rPr>
              <w:rFonts w:hint="eastAsia" w:cs="宋体"/>
              <w:bCs/>
              <w:szCs w:val="72"/>
            </w:rPr>
            <w:t>投  标  文  件</w:t>
          </w:r>
          <w:r>
            <w:tab/>
          </w:r>
          <w:r>
            <w:fldChar w:fldCharType="begin"/>
          </w:r>
          <w:r>
            <w:instrText xml:space="preserve"> PAGEREF _Toc31229 \h </w:instrText>
          </w:r>
          <w:r>
            <w:fldChar w:fldCharType="separate"/>
          </w:r>
          <w:r>
            <w:t>76</w:t>
          </w:r>
          <w:r>
            <w:fldChar w:fldCharType="end"/>
          </w:r>
          <w:r>
            <w:rPr>
              <w:bCs/>
              <w:lang w:val="zh-CN"/>
            </w:rPr>
            <w:fldChar w:fldCharType="end"/>
          </w:r>
        </w:p>
        <w:p w14:paraId="6C9E7B8B">
          <w:pPr>
            <w:pStyle w:val="23"/>
            <w:tabs>
              <w:tab w:val="right" w:leader="dot" w:pos="8312"/>
            </w:tabs>
          </w:pPr>
          <w:r>
            <w:rPr>
              <w:bCs/>
              <w:lang w:val="zh-CN"/>
            </w:rPr>
            <w:fldChar w:fldCharType="begin"/>
          </w:r>
          <w:r>
            <w:rPr>
              <w:bCs/>
              <w:lang w:val="zh-CN"/>
            </w:rPr>
            <w:instrText xml:space="preserve"> HYPERLINK \l _Toc11639 </w:instrText>
          </w:r>
          <w:r>
            <w:rPr>
              <w:bCs/>
              <w:lang w:val="zh-CN"/>
            </w:rPr>
            <w:fldChar w:fldCharType="separate"/>
          </w:r>
          <w:r>
            <w:rPr>
              <w:rFonts w:hint="eastAsia" w:cs="宋体"/>
              <w:bCs/>
              <w:szCs w:val="36"/>
            </w:rPr>
            <w:t>（技术文件）</w:t>
          </w:r>
          <w:r>
            <w:tab/>
          </w:r>
          <w:r>
            <w:fldChar w:fldCharType="begin"/>
          </w:r>
          <w:r>
            <w:instrText xml:space="preserve"> PAGEREF _Toc11639 \h </w:instrText>
          </w:r>
          <w:r>
            <w:fldChar w:fldCharType="separate"/>
          </w:r>
          <w:r>
            <w:t>76</w:t>
          </w:r>
          <w:r>
            <w:fldChar w:fldCharType="end"/>
          </w:r>
          <w:r>
            <w:rPr>
              <w:bCs/>
              <w:lang w:val="zh-CN"/>
            </w:rPr>
            <w:fldChar w:fldCharType="end"/>
          </w:r>
        </w:p>
        <w:p w14:paraId="12F06265">
          <w:pPr>
            <w:pStyle w:val="23"/>
            <w:tabs>
              <w:tab w:val="right" w:leader="dot" w:pos="8312"/>
            </w:tabs>
          </w:pPr>
          <w:r>
            <w:rPr>
              <w:bCs/>
              <w:lang w:val="zh-CN"/>
            </w:rPr>
            <w:fldChar w:fldCharType="begin"/>
          </w:r>
          <w:r>
            <w:rPr>
              <w:bCs/>
              <w:lang w:val="zh-CN"/>
            </w:rPr>
            <w:instrText xml:space="preserve"> HYPERLINK \l _Toc28406 </w:instrText>
          </w:r>
          <w:r>
            <w:rPr>
              <w:bCs/>
              <w:lang w:val="zh-CN"/>
            </w:rPr>
            <w:fldChar w:fldCharType="separate"/>
          </w:r>
          <w:r>
            <w:rPr>
              <w:rFonts w:hint="eastAsia" w:cs="宋体"/>
              <w:bCs/>
              <w:szCs w:val="72"/>
            </w:rPr>
            <w:t>投  标  文  件</w:t>
          </w:r>
          <w:r>
            <w:tab/>
          </w:r>
          <w:r>
            <w:fldChar w:fldCharType="begin"/>
          </w:r>
          <w:r>
            <w:instrText xml:space="preserve"> PAGEREF _Toc28406 \h </w:instrText>
          </w:r>
          <w:r>
            <w:fldChar w:fldCharType="separate"/>
          </w:r>
          <w:r>
            <w:t>85</w:t>
          </w:r>
          <w:r>
            <w:fldChar w:fldCharType="end"/>
          </w:r>
          <w:r>
            <w:rPr>
              <w:bCs/>
              <w:lang w:val="zh-CN"/>
            </w:rPr>
            <w:fldChar w:fldCharType="end"/>
          </w:r>
        </w:p>
        <w:p w14:paraId="6F8B1D66">
          <w:pPr>
            <w:pStyle w:val="23"/>
            <w:tabs>
              <w:tab w:val="right" w:leader="dot" w:pos="8312"/>
            </w:tabs>
          </w:pPr>
          <w:r>
            <w:rPr>
              <w:bCs/>
              <w:lang w:val="zh-CN"/>
            </w:rPr>
            <w:fldChar w:fldCharType="begin"/>
          </w:r>
          <w:r>
            <w:rPr>
              <w:bCs/>
              <w:lang w:val="zh-CN"/>
            </w:rPr>
            <w:instrText xml:space="preserve"> HYPERLINK \l _Toc22117 </w:instrText>
          </w:r>
          <w:r>
            <w:rPr>
              <w:bCs/>
              <w:lang w:val="zh-CN"/>
            </w:rPr>
            <w:fldChar w:fldCharType="separate"/>
          </w:r>
          <w:r>
            <w:rPr>
              <w:rFonts w:hint="eastAsia" w:cs="宋体"/>
              <w:bCs/>
              <w:szCs w:val="36"/>
            </w:rPr>
            <w:t>（商务文件）</w:t>
          </w:r>
          <w:r>
            <w:tab/>
          </w:r>
          <w:r>
            <w:fldChar w:fldCharType="begin"/>
          </w:r>
          <w:r>
            <w:instrText xml:space="preserve"> PAGEREF _Toc22117 \h </w:instrText>
          </w:r>
          <w:r>
            <w:fldChar w:fldCharType="separate"/>
          </w:r>
          <w:r>
            <w:t>85</w:t>
          </w:r>
          <w:r>
            <w:fldChar w:fldCharType="end"/>
          </w:r>
          <w:r>
            <w:rPr>
              <w:bCs/>
              <w:lang w:val="zh-CN"/>
            </w:rPr>
            <w:fldChar w:fldCharType="end"/>
          </w:r>
        </w:p>
        <w:p w14:paraId="33E48E9D">
          <w:pPr>
            <w:pStyle w:val="21"/>
            <w:tabs>
              <w:tab w:val="right" w:leader="dot" w:pos="8312"/>
            </w:tabs>
          </w:pPr>
          <w:r>
            <w:rPr>
              <w:bCs/>
              <w:lang w:val="zh-CN"/>
            </w:rPr>
            <w:fldChar w:fldCharType="begin"/>
          </w:r>
          <w:r>
            <w:rPr>
              <w:bCs/>
              <w:lang w:val="zh-CN"/>
            </w:rPr>
            <w:instrText xml:space="preserve"> HYPERLINK \l _Toc7492 </w:instrText>
          </w:r>
          <w:r>
            <w:rPr>
              <w:bCs/>
              <w:lang w:val="zh-CN"/>
            </w:rPr>
            <w:fldChar w:fldCharType="separate"/>
          </w:r>
          <w:r>
            <w:rPr>
              <w:rFonts w:hint="eastAsia" w:ascii="仿宋" w:hAnsi="仿宋" w:eastAsia="仿宋" w:cs="仿宋"/>
              <w:bCs/>
              <w:szCs w:val="44"/>
            </w:rPr>
            <w:t>廉洁承诺书</w:t>
          </w:r>
          <w:r>
            <w:tab/>
          </w:r>
          <w:r>
            <w:fldChar w:fldCharType="begin"/>
          </w:r>
          <w:r>
            <w:instrText xml:space="preserve"> PAGEREF _Toc7492 \h </w:instrText>
          </w:r>
          <w:r>
            <w:fldChar w:fldCharType="separate"/>
          </w:r>
          <w:r>
            <w:t>94</w:t>
          </w:r>
          <w:r>
            <w:fldChar w:fldCharType="end"/>
          </w:r>
          <w:r>
            <w:rPr>
              <w:bCs/>
              <w:lang w:val="zh-CN"/>
            </w:rPr>
            <w:fldChar w:fldCharType="end"/>
          </w:r>
        </w:p>
        <w:p w14:paraId="6B0FE899">
          <w:pPr>
            <w:spacing w:after="0" w:line="240" w:lineRule="auto"/>
            <w:jc w:val="center"/>
          </w:pPr>
          <w:r>
            <w:rPr>
              <w:bCs/>
              <w:lang w:val="zh-CN"/>
            </w:rPr>
            <w:fldChar w:fldCharType="end"/>
          </w:r>
        </w:p>
      </w:sdtContent>
    </w:sdt>
    <w:p w14:paraId="5C5B1FE7">
      <w:pPr>
        <w:rPr>
          <w:b/>
          <w:sz w:val="18"/>
          <w:szCs w:val="18"/>
        </w:rPr>
      </w:pPr>
    </w:p>
    <w:p w14:paraId="2EE3D788"/>
    <w:p w14:paraId="75D0447C">
      <w:pPr>
        <w:pStyle w:val="3"/>
        <w:rPr>
          <w:rFonts w:hint="eastAsia"/>
        </w:rPr>
      </w:pPr>
    </w:p>
    <w:p w14:paraId="51E03F35"/>
    <w:p w14:paraId="22E5BF54">
      <w:pPr>
        <w:pStyle w:val="15"/>
        <w:spacing w:line="360" w:lineRule="auto"/>
        <w:outlineLvl w:val="0"/>
        <w:rPr>
          <w:rFonts w:hint="eastAsia" w:hAnsi="宋体" w:eastAsia="宋体" w:cs="宋体"/>
          <w:b/>
          <w:bCs/>
          <w:sz w:val="36"/>
          <w:szCs w:val="36"/>
        </w:rPr>
      </w:pPr>
      <w:bookmarkStart w:id="5" w:name="_Toc148459121"/>
    </w:p>
    <w:p w14:paraId="62E9C2A5">
      <w:pPr>
        <w:rPr>
          <w:rFonts w:hint="eastAsia" w:hAnsi="宋体" w:cs="宋体"/>
          <w:b/>
          <w:bCs/>
          <w:sz w:val="36"/>
          <w:szCs w:val="36"/>
        </w:rPr>
      </w:pPr>
      <w:bookmarkStart w:id="6" w:name="_Toc18582"/>
      <w:r>
        <w:rPr>
          <w:rFonts w:hint="eastAsia" w:hAnsi="宋体" w:cs="宋体"/>
          <w:b/>
          <w:bCs/>
          <w:sz w:val="36"/>
          <w:szCs w:val="36"/>
        </w:rPr>
        <w:br w:type="page"/>
      </w:r>
    </w:p>
    <w:p w14:paraId="3CDD1892">
      <w:pPr>
        <w:pStyle w:val="15"/>
        <w:spacing w:line="360" w:lineRule="auto"/>
        <w:jc w:val="center"/>
        <w:outlineLvl w:val="0"/>
        <w:rPr>
          <w:rFonts w:hint="eastAsia" w:hAnsi="宋体" w:eastAsia="宋体" w:cs="宋体"/>
          <w:b/>
          <w:bCs/>
          <w:sz w:val="36"/>
          <w:szCs w:val="36"/>
        </w:rPr>
      </w:pPr>
      <w:bookmarkStart w:id="7" w:name="_Toc7774"/>
      <w:r>
        <w:rPr>
          <w:rFonts w:hint="eastAsia" w:hAnsi="宋体" w:eastAsia="宋体" w:cs="宋体"/>
          <w:b/>
          <w:bCs/>
          <w:sz w:val="36"/>
          <w:szCs w:val="36"/>
        </w:rPr>
        <w:t>第一章  投标邀请</w:t>
      </w:r>
      <w:bookmarkEnd w:id="5"/>
      <w:bookmarkEnd w:id="6"/>
      <w:bookmarkEnd w:id="7"/>
    </w:p>
    <w:p w14:paraId="090470B5">
      <w:pPr>
        <w:spacing w:line="240" w:lineRule="atLeast"/>
        <w:ind w:firstLine="420"/>
        <w:jc w:val="left"/>
        <w:rPr>
          <w:rFonts w:hint="eastAsia" w:ascii="宋体" w:hAnsi="宋体" w:cs="宋体"/>
          <w:sz w:val="24"/>
        </w:rPr>
      </w:pPr>
    </w:p>
    <w:p w14:paraId="0A64972A">
      <w:pPr>
        <w:spacing w:line="240" w:lineRule="atLeast"/>
        <w:ind w:firstLine="420"/>
        <w:jc w:val="left"/>
        <w:rPr>
          <w:rFonts w:hint="eastAsia" w:ascii="宋体" w:hAnsi="宋体" w:cs="宋体"/>
          <w:sz w:val="24"/>
        </w:rPr>
      </w:pPr>
      <w:r>
        <w:rPr>
          <w:rFonts w:hint="eastAsia" w:ascii="宋体" w:hAnsi="宋体" w:cs="宋体"/>
          <w:sz w:val="24"/>
        </w:rPr>
        <w:t>招标人</w:t>
      </w:r>
      <w:r>
        <w:rPr>
          <w:rFonts w:hint="eastAsia" w:ascii="宋体" w:hAnsi="宋体" w:cs="宋体"/>
          <w:b/>
          <w:bCs/>
          <w:sz w:val="24"/>
          <w:u w:val="single"/>
        </w:rPr>
        <w:t xml:space="preserve">厦工（三明）重型机器有限公司 </w:t>
      </w:r>
      <w:r>
        <w:rPr>
          <w:rFonts w:hint="eastAsia" w:ascii="宋体" w:hAnsi="宋体" w:cs="宋体"/>
          <w:sz w:val="24"/>
        </w:rPr>
        <w:t>对下述</w:t>
      </w:r>
      <w:r>
        <w:rPr>
          <w:rFonts w:hint="eastAsia" w:ascii="宋体" w:hAnsi="宋体" w:cs="宋体"/>
          <w:color w:val="000000"/>
          <w:sz w:val="24"/>
          <w:szCs w:val="24"/>
          <w:u w:val="single"/>
        </w:rPr>
        <w:t xml:space="preserve">   下料管理系统              </w:t>
      </w:r>
      <w:r>
        <w:rPr>
          <w:rFonts w:hint="eastAsia" w:ascii="宋体" w:hAnsi="宋体" w:cs="宋体"/>
          <w:sz w:val="24"/>
        </w:rPr>
        <w:t>进行国内公开招标，现邀请合格的投标人前来投标。</w:t>
      </w:r>
    </w:p>
    <w:p w14:paraId="5007DDB4">
      <w:pPr>
        <w:spacing w:line="360" w:lineRule="auto"/>
        <w:ind w:firstLine="422" w:firstLineChars="176"/>
        <w:rPr>
          <w:rFonts w:hint="eastAsia" w:ascii="宋体" w:hAnsi="宋体" w:cs="宋体"/>
          <w:sz w:val="24"/>
          <w:u w:val="single"/>
        </w:rPr>
      </w:pPr>
      <w:r>
        <w:rPr>
          <w:rFonts w:hint="eastAsia" w:ascii="宋体" w:hAnsi="宋体" w:cs="宋体"/>
          <w:sz w:val="24"/>
        </w:rPr>
        <w:t>1、招标编号：</w:t>
      </w:r>
      <w:r>
        <w:rPr>
          <w:rFonts w:hint="eastAsia" w:ascii="宋体" w:hAnsi="宋体" w:cs="宋体"/>
          <w:sz w:val="24"/>
          <w:u w:val="single"/>
        </w:rPr>
        <w:t xml:space="preserve">    </w:t>
      </w:r>
      <w:r>
        <w:rPr>
          <w:rFonts w:hint="eastAsia" w:ascii="宋体" w:hAnsi="宋体" w:cs="宋体"/>
          <w:color w:val="000000"/>
          <w:u w:val="single"/>
        </w:rPr>
        <w:t>XGSZ-</w:t>
      </w:r>
      <w:r>
        <w:rPr>
          <w:rFonts w:hint="eastAsia" w:ascii="宋体" w:hAnsi="宋体" w:cs="宋体"/>
          <w:color w:val="000000"/>
          <w:u w:val="single"/>
          <w:lang w:val="en-US" w:eastAsia="zh-CN"/>
        </w:rPr>
        <w:t>QT</w:t>
      </w:r>
      <w:r>
        <w:rPr>
          <w:rFonts w:hint="eastAsia" w:ascii="宋体" w:hAnsi="宋体" w:cs="宋体"/>
          <w:color w:val="000000"/>
          <w:u w:val="single"/>
        </w:rPr>
        <w:t>-</w:t>
      </w:r>
      <w:r>
        <w:rPr>
          <w:rFonts w:hint="eastAsia" w:ascii="宋体" w:hAnsi="宋体" w:cs="宋体"/>
          <w:color w:val="000000"/>
          <w:u w:val="single"/>
          <w:lang w:val="en-US" w:eastAsia="zh-CN"/>
        </w:rPr>
        <w:t>20260706-02-JS</w:t>
      </w:r>
      <w:r>
        <w:rPr>
          <w:rFonts w:hint="eastAsia" w:ascii="宋体" w:hAnsi="宋体" w:cs="宋体"/>
          <w:color w:val="000000"/>
          <w:u w:val="single"/>
        </w:rPr>
        <w:t xml:space="preserve">       </w:t>
      </w:r>
      <w:r>
        <w:rPr>
          <w:rFonts w:hint="eastAsia" w:ascii="宋体" w:hAnsi="宋体" w:cs="宋体"/>
          <w:sz w:val="24"/>
          <w:u w:val="single"/>
        </w:rPr>
        <w:t xml:space="preserve">  </w:t>
      </w:r>
    </w:p>
    <w:p w14:paraId="58D12C1D">
      <w:pPr>
        <w:spacing w:line="360" w:lineRule="auto"/>
        <w:ind w:firstLine="424" w:firstLineChars="200"/>
        <w:rPr>
          <w:rFonts w:hint="eastAsia" w:ascii="宋体" w:hAnsi="宋体" w:cs="宋体"/>
          <w:spacing w:val="-14"/>
          <w:sz w:val="24"/>
        </w:rPr>
      </w:pPr>
      <w:r>
        <w:rPr>
          <w:rFonts w:hint="eastAsia" w:ascii="宋体" w:hAnsi="宋体" w:cs="宋体"/>
          <w:spacing w:val="-14"/>
          <w:sz w:val="24"/>
        </w:rPr>
        <w:t>2、</w:t>
      </w:r>
      <w:r>
        <w:rPr>
          <w:rFonts w:hint="eastAsia" w:ascii="宋体" w:hAnsi="宋体" w:cs="宋体"/>
          <w:sz w:val="24"/>
        </w:rPr>
        <w:t>招标货物（服务）名称、数量及主要技术规格：见后附招标项目一览表</w:t>
      </w:r>
      <w:r>
        <w:rPr>
          <w:rFonts w:hint="eastAsia" w:ascii="宋体" w:hAnsi="宋体" w:cs="宋体"/>
          <w:spacing w:val="-14"/>
          <w:sz w:val="24"/>
        </w:rPr>
        <w:t>。</w:t>
      </w:r>
    </w:p>
    <w:p w14:paraId="6B9639B0">
      <w:pPr>
        <w:adjustRightInd w:val="0"/>
        <w:spacing w:line="360" w:lineRule="auto"/>
        <w:ind w:firstLine="422" w:firstLineChars="176"/>
        <w:textAlignment w:val="baseline"/>
        <w:rPr>
          <w:rFonts w:hint="eastAsia" w:ascii="宋体" w:hAnsi="宋体" w:cs="宋体"/>
          <w:sz w:val="24"/>
        </w:rPr>
      </w:pPr>
      <w:r>
        <w:rPr>
          <w:rFonts w:hint="eastAsia" w:ascii="宋体" w:hAnsi="宋体" w:cs="宋体"/>
          <w:kern w:val="0"/>
          <w:sz w:val="24"/>
        </w:rPr>
        <w:t>3、</w:t>
      </w:r>
      <w:r>
        <w:rPr>
          <w:rFonts w:hint="eastAsia" w:ascii="宋体" w:hAnsi="宋体" w:cs="宋体"/>
          <w:sz w:val="24"/>
        </w:rPr>
        <w:t>投标截止时间：</w:t>
      </w:r>
      <w:r>
        <w:rPr>
          <w:rFonts w:hint="eastAsia" w:ascii="宋体" w:hAnsi="宋体" w:cs="宋体"/>
          <w:b/>
          <w:bCs/>
          <w:kern w:val="0"/>
          <w:sz w:val="24"/>
          <w:u w:val="single"/>
          <w:lang w:val="en-US" w:eastAsia="zh-CN"/>
        </w:rPr>
        <w:t>2026</w:t>
      </w:r>
      <w:r>
        <w:rPr>
          <w:rFonts w:hint="eastAsia" w:ascii="宋体" w:hAnsi="宋体" w:cs="宋体"/>
          <w:b/>
          <w:bCs/>
          <w:kern w:val="0"/>
          <w:sz w:val="24"/>
          <w:u w:val="single"/>
        </w:rPr>
        <w:t xml:space="preserve">年 </w:t>
      </w:r>
      <w:r>
        <w:rPr>
          <w:rFonts w:hint="eastAsia" w:ascii="宋体" w:hAnsi="宋体" w:cs="宋体"/>
          <w:b/>
          <w:bCs/>
          <w:kern w:val="0"/>
          <w:sz w:val="24"/>
          <w:u w:val="single"/>
          <w:lang w:val="en-US" w:eastAsia="zh-CN"/>
        </w:rPr>
        <w:t>7</w:t>
      </w:r>
      <w:r>
        <w:rPr>
          <w:rFonts w:hint="eastAsia" w:ascii="宋体" w:hAnsi="宋体" w:cs="宋体"/>
          <w:b/>
          <w:bCs/>
          <w:kern w:val="0"/>
          <w:sz w:val="24"/>
          <w:u w:val="single"/>
        </w:rPr>
        <w:t>月</w:t>
      </w:r>
      <w:r>
        <w:rPr>
          <w:rFonts w:hint="eastAsia" w:ascii="宋体" w:hAnsi="宋体" w:cs="宋体"/>
          <w:b/>
          <w:bCs/>
          <w:kern w:val="0"/>
          <w:sz w:val="24"/>
          <w:u w:val="single"/>
          <w:lang w:val="en-US" w:eastAsia="zh-CN"/>
        </w:rPr>
        <w:t>23</w:t>
      </w:r>
      <w:r>
        <w:rPr>
          <w:rFonts w:hint="eastAsia" w:ascii="宋体" w:hAnsi="宋体" w:cs="宋体"/>
          <w:b/>
          <w:bCs/>
          <w:kern w:val="0"/>
          <w:sz w:val="24"/>
          <w:u w:val="single"/>
        </w:rPr>
        <w:t>日</w:t>
      </w:r>
      <w:r>
        <w:rPr>
          <w:rFonts w:hint="eastAsia" w:ascii="宋体" w:hAnsi="宋体" w:cs="宋体"/>
          <w:b/>
          <w:bCs/>
          <w:sz w:val="24"/>
          <w:u w:val="single"/>
          <w:lang w:val="en-US" w:eastAsia="zh-CN"/>
        </w:rPr>
        <w:t>9：00</w:t>
      </w:r>
      <w:r>
        <w:rPr>
          <w:rFonts w:hint="eastAsia" w:ascii="宋体" w:hAnsi="宋体" w:cs="宋体"/>
          <w:b/>
          <w:bCs/>
          <w:sz w:val="24"/>
          <w:u w:val="single"/>
        </w:rPr>
        <w:t xml:space="preserve"> </w:t>
      </w:r>
      <w:r>
        <w:rPr>
          <w:rFonts w:hint="eastAsia" w:ascii="宋体" w:hAnsi="宋体" w:cs="宋体"/>
          <w:sz w:val="24"/>
        </w:rPr>
        <w:t>（北京时间）。</w:t>
      </w:r>
    </w:p>
    <w:p w14:paraId="7D2FF704">
      <w:pPr>
        <w:spacing w:line="360" w:lineRule="auto"/>
        <w:ind w:firstLine="480" w:firstLineChars="200"/>
        <w:rPr>
          <w:rFonts w:hint="eastAsia" w:ascii="宋体" w:hAnsi="宋体" w:cs="宋体"/>
          <w:sz w:val="24"/>
        </w:rPr>
      </w:pPr>
      <w:r>
        <w:rPr>
          <w:rFonts w:hint="eastAsia" w:ascii="宋体" w:hAnsi="宋体" w:cs="宋体"/>
          <w:sz w:val="24"/>
        </w:rPr>
        <w:t>4、投标文件递交方式：投标文件应在投标截止时间前送达福建三明市沙县金沙工业园金明东路 850 号</w:t>
      </w:r>
      <w:bookmarkStart w:id="8" w:name="_Hlk160626082"/>
      <w:r>
        <w:rPr>
          <w:rFonts w:hint="eastAsia" w:ascii="宋体" w:hAnsi="宋体" w:cs="宋体"/>
          <w:sz w:val="24"/>
        </w:rPr>
        <w:t>厦工（三明）重型机器有限公司</w:t>
      </w:r>
      <w:bookmarkEnd w:id="8"/>
      <w:r>
        <w:rPr>
          <w:rFonts w:hint="eastAsia" w:ascii="宋体" w:hAnsi="宋体" w:cs="宋体"/>
          <w:sz w:val="24"/>
        </w:rPr>
        <w:t>办公室五楼纪检监察室，电子版投标文件发送到公司招标电子邮箱：XGSZZB@163.com ，逾期收到或不符合规定的投标文件恕不接受。</w:t>
      </w:r>
    </w:p>
    <w:p w14:paraId="34244BD1">
      <w:pPr>
        <w:pStyle w:val="66"/>
        <w:ind w:firstLine="480"/>
        <w:rPr>
          <w:rFonts w:hint="eastAsia"/>
        </w:rPr>
      </w:pPr>
      <w:r>
        <w:rPr>
          <w:rFonts w:hint="eastAsia"/>
        </w:rPr>
        <w:t>5、投标文件递交发生：现场递交或邮寄。投标收件人：孙女士，投标收件人电话：13950900626</w:t>
      </w:r>
    </w:p>
    <w:p w14:paraId="6F7D5209">
      <w:pPr>
        <w:pStyle w:val="66"/>
        <w:ind w:firstLine="480"/>
        <w:rPr>
          <w:rFonts w:hint="eastAsia"/>
        </w:rPr>
      </w:pPr>
      <w:r>
        <w:rPr>
          <w:rFonts w:hint="eastAsia"/>
        </w:rPr>
        <w:t>6、投标文件要求 ： 投标文件正副本各一份（加盖公章） ，电子版 一份；</w:t>
      </w:r>
    </w:p>
    <w:p w14:paraId="14D23E71">
      <w:pPr>
        <w:pStyle w:val="66"/>
        <w:spacing w:line="360" w:lineRule="auto"/>
        <w:rPr>
          <w:rFonts w:hint="default"/>
          <w:b/>
          <w:bCs/>
          <w:lang w:val="en-US" w:eastAsia="zh-CN"/>
        </w:rPr>
      </w:pPr>
      <w:r>
        <w:rPr>
          <w:rFonts w:hint="eastAsia"/>
          <w:b/>
          <w:bCs/>
        </w:rPr>
        <w:t>投标人编制投标文件时，应将项目报价单及分项报价单另行单独封装，不得与资格文件、技术文件、商务文件混装，上述四类文件须各自独立密封包装</w:t>
      </w:r>
      <w:r>
        <w:rPr>
          <w:rFonts w:hint="eastAsia"/>
          <w:b/>
          <w:bCs/>
          <w:lang w:val="en-US" w:eastAsia="zh-CN"/>
        </w:rPr>
        <w:t>。</w:t>
      </w:r>
    </w:p>
    <w:p w14:paraId="35C11D8E">
      <w:pPr>
        <w:numPr>
          <w:ilvl w:val="0"/>
          <w:numId w:val="1"/>
        </w:numPr>
        <w:spacing w:line="360" w:lineRule="auto"/>
        <w:ind w:firstLine="480" w:firstLineChars="200"/>
        <w:rPr>
          <w:rFonts w:hint="eastAsia" w:ascii="宋体" w:hAnsi="宋体" w:cs="宋体"/>
          <w:b/>
          <w:bCs/>
          <w:kern w:val="0"/>
          <w:sz w:val="24"/>
          <w:u w:val="single"/>
          <w:lang w:eastAsia="zh-CN"/>
        </w:rPr>
      </w:pPr>
      <w:r>
        <w:rPr>
          <w:rFonts w:hint="eastAsia" w:ascii="宋体" w:hAnsi="宋体" w:cs="宋体"/>
          <w:color w:val="000000"/>
          <w:kern w:val="0"/>
          <w:sz w:val="24"/>
          <w:szCs w:val="24"/>
        </w:rPr>
        <w:t>开标时间、地点:</w:t>
      </w:r>
      <w:r>
        <w:rPr>
          <w:rFonts w:hint="eastAsia" w:ascii="宋体" w:hAnsi="宋体" w:cs="宋体"/>
        </w:rPr>
        <w:t xml:space="preserve"> </w:t>
      </w:r>
      <w:r>
        <w:rPr>
          <w:rFonts w:hint="eastAsia" w:ascii="宋体" w:hAnsi="宋体" w:cs="宋体"/>
          <w:b/>
          <w:bCs/>
          <w:kern w:val="0"/>
          <w:sz w:val="24"/>
          <w:u w:val="single"/>
        </w:rPr>
        <w:t>投标截止时间</w:t>
      </w:r>
      <w:r>
        <w:rPr>
          <w:rFonts w:hint="eastAsia" w:ascii="宋体" w:hAnsi="宋体" w:cs="宋体"/>
          <w:b/>
          <w:bCs/>
          <w:kern w:val="0"/>
          <w:sz w:val="24"/>
          <w:u w:val="single"/>
          <w:lang w:val="en-US" w:eastAsia="zh-CN"/>
        </w:rPr>
        <w:t>即为开标时间</w:t>
      </w:r>
      <w:r>
        <w:rPr>
          <w:rFonts w:hint="eastAsia" w:ascii="宋体" w:hAnsi="宋体" w:cs="宋体"/>
          <w:b/>
          <w:bCs/>
          <w:kern w:val="0"/>
          <w:sz w:val="24"/>
          <w:u w:val="single"/>
        </w:rPr>
        <w:t>。开标地点：福建三明市沙县金沙工业园金明东路 850 号厦工 （三明）重型机器有限公司三楼会议室</w:t>
      </w:r>
      <w:r>
        <w:rPr>
          <w:rFonts w:hint="eastAsia" w:ascii="宋体" w:hAnsi="宋体" w:cs="宋体"/>
          <w:b/>
          <w:bCs/>
          <w:kern w:val="0"/>
          <w:sz w:val="24"/>
          <w:u w:val="single"/>
          <w:lang w:eastAsia="zh-CN"/>
        </w:rPr>
        <w:t>。</w:t>
      </w:r>
    </w:p>
    <w:p w14:paraId="38AE3DC2">
      <w:pPr>
        <w:numPr>
          <w:ilvl w:val="0"/>
          <w:numId w:val="1"/>
        </w:numPr>
        <w:spacing w:line="360" w:lineRule="auto"/>
        <w:ind w:firstLine="482" w:firstLineChars="200"/>
        <w:rPr>
          <w:rFonts w:hint="eastAsia" w:ascii="宋体" w:hAnsi="宋体" w:cs="宋体"/>
          <w:b/>
          <w:bCs/>
          <w:kern w:val="0"/>
          <w:sz w:val="24"/>
          <w:u w:val="single"/>
          <w:lang w:eastAsia="zh-CN"/>
        </w:rPr>
      </w:pPr>
      <w:r>
        <w:rPr>
          <w:rFonts w:hint="eastAsia" w:ascii="宋体" w:hAnsi="宋体" w:cs="宋体"/>
          <w:b/>
          <w:bCs/>
          <w:kern w:val="0"/>
          <w:sz w:val="24"/>
          <w:u w:val="single"/>
          <w:lang w:val="en-US" w:eastAsia="zh-CN"/>
        </w:rPr>
        <w:t>投标截止后2日内，各投标人应按招标人安排拟委任本项目的项目经理至厦工（三明）重型机器有限公司参加现场述标；述标具体日程若发生变更，招标人将另行发布通知。</w:t>
      </w:r>
    </w:p>
    <w:p w14:paraId="4C9794D8">
      <w:pPr>
        <w:spacing w:line="360" w:lineRule="auto"/>
        <w:ind w:firstLine="482" w:firstLineChars="200"/>
        <w:rPr>
          <w:rFonts w:hint="eastAsia" w:ascii="宋体" w:hAnsi="宋体" w:cs="宋体"/>
          <w:sz w:val="24"/>
        </w:rPr>
      </w:pPr>
      <w:r>
        <w:rPr>
          <w:rFonts w:hint="eastAsia" w:ascii="宋体" w:hAnsi="宋体" w:cs="宋体"/>
          <w:b/>
          <w:bCs/>
          <w:sz w:val="24"/>
          <w:lang w:val="en-US" w:eastAsia="zh-CN"/>
        </w:rPr>
        <w:t>9</w:t>
      </w:r>
      <w:r>
        <w:rPr>
          <w:rFonts w:hint="eastAsia" w:ascii="宋体" w:hAnsi="宋体" w:cs="宋体"/>
          <w:b/>
          <w:bCs/>
          <w:sz w:val="24"/>
        </w:rPr>
        <w:t>、本项目不接受联合体投标。</w:t>
      </w:r>
    </w:p>
    <w:p w14:paraId="6E360E83">
      <w:pPr>
        <w:spacing w:line="360" w:lineRule="auto"/>
        <w:ind w:firstLine="482" w:firstLineChars="200"/>
        <w:rPr>
          <w:rFonts w:hint="eastAsia" w:ascii="宋体" w:hAnsi="宋体" w:cs="宋体"/>
          <w:b/>
          <w:bCs/>
          <w:sz w:val="24"/>
          <w:szCs w:val="22"/>
        </w:rPr>
      </w:pPr>
      <w:bookmarkStart w:id="9" w:name="_Toc27697"/>
      <w:bookmarkStart w:id="10" w:name="_Toc11908"/>
      <w:r>
        <w:rPr>
          <w:rFonts w:hint="eastAsia" w:ascii="宋体" w:hAnsi="宋体" w:cs="宋体"/>
          <w:b/>
          <w:bCs/>
          <w:sz w:val="24"/>
          <w:szCs w:val="22"/>
          <w:lang w:val="en-US" w:eastAsia="zh-CN"/>
        </w:rPr>
        <w:t>10</w:t>
      </w:r>
      <w:r>
        <w:rPr>
          <w:rFonts w:hint="eastAsia" w:ascii="宋体" w:hAnsi="宋体" w:cs="宋体"/>
          <w:b/>
          <w:bCs/>
          <w:sz w:val="24"/>
          <w:szCs w:val="22"/>
        </w:rPr>
        <w:t>、联系方式</w:t>
      </w:r>
      <w:bookmarkEnd w:id="9"/>
      <w:bookmarkEnd w:id="10"/>
    </w:p>
    <w:p w14:paraId="2AD7B4F2">
      <w:pPr>
        <w:spacing w:line="360" w:lineRule="auto"/>
        <w:ind w:firstLine="542" w:firstLineChars="225"/>
        <w:rPr>
          <w:rFonts w:hint="eastAsia" w:ascii="宋体" w:hAnsi="宋体" w:cs="宋体"/>
          <w:b/>
          <w:bCs/>
          <w:sz w:val="24"/>
        </w:rPr>
      </w:pPr>
      <w:r>
        <w:rPr>
          <w:rFonts w:hint="eastAsia" w:ascii="宋体" w:hAnsi="宋体" w:cs="宋体"/>
          <w:b/>
          <w:bCs/>
          <w:sz w:val="24"/>
        </w:rPr>
        <w:t>招标人：厦工 （三明） 重型机器有限公司</w:t>
      </w:r>
    </w:p>
    <w:p w14:paraId="30457D69">
      <w:pPr>
        <w:spacing w:line="360" w:lineRule="auto"/>
        <w:ind w:firstLine="540" w:firstLineChars="225"/>
        <w:rPr>
          <w:rFonts w:hint="eastAsia" w:ascii="宋体" w:hAnsi="宋体" w:cs="宋体"/>
          <w:sz w:val="24"/>
        </w:rPr>
      </w:pPr>
      <w:r>
        <w:rPr>
          <w:rFonts w:hint="eastAsia" w:ascii="宋体" w:hAnsi="宋体" w:cs="宋体"/>
          <w:sz w:val="24"/>
        </w:rPr>
        <w:t>技术联系人：张先生（电话：13850818186）</w:t>
      </w:r>
    </w:p>
    <w:p w14:paraId="74E8E248">
      <w:pPr>
        <w:spacing w:line="360" w:lineRule="auto"/>
        <w:ind w:firstLine="1980" w:firstLineChars="825"/>
        <w:rPr>
          <w:rFonts w:hint="eastAsia" w:ascii="宋体" w:hAnsi="宋体" w:cs="宋体"/>
          <w:sz w:val="24"/>
        </w:rPr>
      </w:pPr>
      <w:r>
        <w:rPr>
          <w:rFonts w:hint="eastAsia" w:ascii="宋体" w:hAnsi="宋体" w:cs="宋体"/>
          <w:sz w:val="24"/>
        </w:rPr>
        <w:t>郭先生（电话：13605984095）</w:t>
      </w:r>
    </w:p>
    <w:p w14:paraId="253DECC1">
      <w:pPr>
        <w:spacing w:line="360" w:lineRule="auto"/>
        <w:ind w:firstLine="540" w:firstLineChars="225"/>
      </w:pPr>
      <w:r>
        <w:rPr>
          <w:rFonts w:hint="eastAsia" w:ascii="宋体" w:hAnsi="宋体" w:cs="宋体"/>
          <w:sz w:val="24"/>
        </w:rPr>
        <w:t>商务联系人：陈先生（电话：13395987366）</w:t>
      </w:r>
    </w:p>
    <w:p w14:paraId="53B060AF">
      <w:pPr>
        <w:spacing w:line="360" w:lineRule="auto"/>
        <w:ind w:firstLine="542" w:firstLineChars="225"/>
        <w:rPr>
          <w:rFonts w:hint="eastAsia" w:ascii="宋体" w:hAnsi="宋体" w:cs="宋体"/>
          <w:b/>
          <w:bCs/>
          <w:sz w:val="24"/>
        </w:rPr>
      </w:pPr>
      <w:bookmarkStart w:id="11" w:name="_Toc30058"/>
      <w:bookmarkStart w:id="12" w:name="_Toc27041"/>
      <w:r>
        <w:rPr>
          <w:rFonts w:hint="eastAsia" w:ascii="宋体" w:hAnsi="宋体" w:cs="宋体"/>
          <w:b/>
          <w:bCs/>
          <w:sz w:val="24"/>
        </w:rPr>
        <w:t>1</w:t>
      </w:r>
      <w:r>
        <w:rPr>
          <w:rFonts w:hint="eastAsia" w:ascii="宋体" w:hAnsi="宋体" w:cs="宋体"/>
          <w:b/>
          <w:bCs/>
          <w:sz w:val="24"/>
          <w:lang w:val="en-US" w:eastAsia="zh-CN"/>
        </w:rPr>
        <w:t>1</w:t>
      </w:r>
      <w:r>
        <w:rPr>
          <w:rFonts w:hint="eastAsia" w:ascii="宋体" w:hAnsi="宋体" w:cs="宋体"/>
          <w:b/>
          <w:bCs/>
          <w:sz w:val="24"/>
        </w:rPr>
        <w:t>、投标保证金</w:t>
      </w:r>
      <w:bookmarkEnd w:id="11"/>
      <w:bookmarkEnd w:id="12"/>
    </w:p>
    <w:p w14:paraId="3079F8BC">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投标人必须在投标递交截止时间之前投标保证金</w:t>
      </w:r>
      <w:r>
        <w:rPr>
          <w:rFonts w:hint="eastAsia" w:ascii="宋体" w:hAnsi="宋体" w:cs="宋体"/>
          <w:color w:val="000000"/>
          <w:kern w:val="0"/>
          <w:sz w:val="24"/>
          <w:szCs w:val="24"/>
          <w:u w:val="single"/>
          <w:lang w:val="en-US" w:eastAsia="zh-CN"/>
        </w:rPr>
        <w:t>10</w:t>
      </w:r>
      <w:r>
        <w:rPr>
          <w:rFonts w:hint="eastAsia" w:ascii="宋体" w:hAnsi="宋体" w:cs="宋体"/>
          <w:color w:val="000000"/>
          <w:kern w:val="0"/>
          <w:sz w:val="24"/>
          <w:szCs w:val="24"/>
        </w:rPr>
        <w:t>万元。未中标的投标人保证金于开标后7天内无息退还，中标人的保证金签合同后转为履约保证金</w:t>
      </w:r>
      <w:r>
        <w:rPr>
          <w:rFonts w:hint="eastAsia" w:ascii="宋体" w:hAnsi="宋体" w:cs="宋体"/>
          <w:kern w:val="0"/>
          <w:sz w:val="24"/>
          <w:szCs w:val="24"/>
        </w:rPr>
        <w:t>。</w:t>
      </w:r>
    </w:p>
    <w:p w14:paraId="524811FF">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收款单位账户：厦工(三明)重型机器有限公司</w:t>
      </w:r>
    </w:p>
    <w:p w14:paraId="31E74B57">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开户银行: 中国建设银行股份有限公司沙县支行</w:t>
      </w:r>
    </w:p>
    <w:p w14:paraId="11420B12">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账    号: 3500 1647 7070 5250 2197</w:t>
      </w:r>
    </w:p>
    <w:p w14:paraId="2DAF6970">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 xml:space="preserve">投标书应附有投标保证金缴款凭证 </w:t>
      </w:r>
    </w:p>
    <w:p w14:paraId="3D6CB47F">
      <w:pPr>
        <w:pStyle w:val="66"/>
        <w:rPr>
          <w:rFonts w:hint="eastAsia"/>
        </w:rPr>
      </w:pPr>
    </w:p>
    <w:p w14:paraId="7667D0A3">
      <w:pPr>
        <w:pStyle w:val="66"/>
        <w:rPr>
          <w:rFonts w:hint="eastAsia"/>
        </w:rPr>
      </w:pPr>
    </w:p>
    <w:p w14:paraId="07BC05BD">
      <w:pPr>
        <w:pStyle w:val="66"/>
        <w:rPr>
          <w:rFonts w:hint="eastAsia"/>
        </w:rPr>
      </w:pPr>
    </w:p>
    <w:p w14:paraId="5334D556">
      <w:pPr>
        <w:pStyle w:val="3"/>
        <w:spacing w:before="0" w:after="0" w:line="360" w:lineRule="auto"/>
        <w:jc w:val="left"/>
        <w:rPr>
          <w:rFonts w:hint="eastAsia" w:ascii="宋体" w:hAnsi="宋体"/>
          <w:sz w:val="28"/>
          <w:szCs w:val="28"/>
        </w:rPr>
      </w:pPr>
      <w:bookmarkStart w:id="13" w:name="_Toc21333_WPSOffice_Level2"/>
      <w:bookmarkEnd w:id="13"/>
      <w:bookmarkStart w:id="14" w:name="_Toc15353"/>
      <w:bookmarkEnd w:id="14"/>
      <w:bookmarkStart w:id="15" w:name="_Toc9892"/>
      <w:bookmarkEnd w:id="15"/>
      <w:bookmarkStart w:id="16" w:name="_Toc22485"/>
      <w:bookmarkEnd w:id="16"/>
      <w:bookmarkStart w:id="17" w:name="_Toc34137373"/>
      <w:bookmarkEnd w:id="17"/>
      <w:bookmarkStart w:id="18" w:name="_Toc6229"/>
      <w:bookmarkEnd w:id="18"/>
      <w:bookmarkStart w:id="19" w:name="_Toc32543"/>
      <w:bookmarkEnd w:id="19"/>
      <w:bookmarkStart w:id="20" w:name="_Toc19329"/>
      <w:bookmarkEnd w:id="20"/>
      <w:bookmarkStart w:id="21" w:name="_Toc30678"/>
      <w:bookmarkEnd w:id="21"/>
      <w:bookmarkStart w:id="22" w:name="_Toc30580"/>
      <w:bookmarkEnd w:id="22"/>
      <w:bookmarkStart w:id="23" w:name="_Toc9584"/>
      <w:bookmarkStart w:id="24" w:name="_Toc14014"/>
      <w:bookmarkStart w:id="25" w:name="_Toc22310"/>
      <w:bookmarkStart w:id="26" w:name="_Toc971"/>
      <w:bookmarkStart w:id="27" w:name="_Toc51751151"/>
      <w:bookmarkStart w:id="28" w:name="_Toc148459122"/>
      <w:bookmarkStart w:id="29" w:name="_Toc4445"/>
      <w:r>
        <w:rPr>
          <w:rFonts w:hint="eastAsia" w:ascii="宋体" w:hAnsi="宋体"/>
          <w:sz w:val="28"/>
          <w:szCs w:val="28"/>
        </w:rPr>
        <w:t>附：招标项目一览表</w:t>
      </w:r>
      <w:bookmarkEnd w:id="23"/>
      <w:bookmarkEnd w:id="24"/>
      <w:bookmarkEnd w:id="25"/>
      <w:bookmarkEnd w:id="26"/>
      <w:bookmarkEnd w:id="27"/>
      <w:bookmarkEnd w:id="28"/>
      <w:bookmarkEnd w:id="29"/>
    </w:p>
    <w:tbl>
      <w:tblPr>
        <w:tblStyle w:val="28"/>
        <w:tblW w:w="8254"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87"/>
        <w:gridCol w:w="1693"/>
        <w:gridCol w:w="889"/>
        <w:gridCol w:w="2126"/>
        <w:gridCol w:w="1559"/>
      </w:tblGrid>
      <w:tr w14:paraId="1EB7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000" w:type="dxa"/>
            <w:tcBorders>
              <w:top w:val="single" w:color="auto" w:sz="4" w:space="0"/>
              <w:left w:val="single" w:color="auto" w:sz="4" w:space="0"/>
              <w:bottom w:val="single" w:color="auto" w:sz="4" w:space="0"/>
              <w:right w:val="single" w:color="auto" w:sz="4" w:space="0"/>
            </w:tcBorders>
            <w:vAlign w:val="center"/>
          </w:tcPr>
          <w:p w14:paraId="2CE92E7E">
            <w:pPr>
              <w:pStyle w:val="12"/>
              <w:tabs>
                <w:tab w:val="left" w:pos="8360"/>
              </w:tabs>
              <w:spacing w:line="420" w:lineRule="exact"/>
              <w:rPr>
                <w:rFonts w:hint="eastAsia" w:ascii="宋体" w:hAnsi="宋体"/>
                <w:sz w:val="24"/>
                <w:szCs w:val="24"/>
              </w:rPr>
            </w:pPr>
            <w:r>
              <w:rPr>
                <w:rFonts w:hint="eastAsia" w:ascii="宋体" w:hAnsi="宋体"/>
                <w:sz w:val="24"/>
                <w:szCs w:val="24"/>
              </w:rPr>
              <w:t>合同包</w:t>
            </w:r>
          </w:p>
        </w:tc>
        <w:tc>
          <w:tcPr>
            <w:tcW w:w="987" w:type="dxa"/>
            <w:tcBorders>
              <w:top w:val="single" w:color="auto" w:sz="4" w:space="0"/>
              <w:left w:val="single" w:color="auto" w:sz="4" w:space="0"/>
              <w:bottom w:val="single" w:color="auto" w:sz="4" w:space="0"/>
              <w:right w:val="single" w:color="auto" w:sz="4" w:space="0"/>
            </w:tcBorders>
            <w:vAlign w:val="center"/>
          </w:tcPr>
          <w:p w14:paraId="08A960FB">
            <w:pPr>
              <w:pStyle w:val="12"/>
              <w:tabs>
                <w:tab w:val="left" w:pos="8360"/>
              </w:tabs>
              <w:spacing w:line="420" w:lineRule="exact"/>
              <w:rPr>
                <w:rFonts w:hint="eastAsia" w:ascii="宋体" w:hAnsi="宋体"/>
                <w:sz w:val="24"/>
                <w:szCs w:val="24"/>
              </w:rPr>
            </w:pPr>
            <w:r>
              <w:rPr>
                <w:rFonts w:hint="eastAsia" w:ascii="宋体" w:hAnsi="宋体"/>
                <w:sz w:val="24"/>
                <w:szCs w:val="24"/>
              </w:rPr>
              <w:t>品目号</w:t>
            </w:r>
          </w:p>
        </w:tc>
        <w:tc>
          <w:tcPr>
            <w:tcW w:w="1693" w:type="dxa"/>
            <w:tcBorders>
              <w:top w:val="single" w:color="auto" w:sz="4" w:space="0"/>
              <w:left w:val="single" w:color="auto" w:sz="4" w:space="0"/>
              <w:bottom w:val="single" w:color="auto" w:sz="4" w:space="0"/>
              <w:right w:val="single" w:color="auto" w:sz="4" w:space="0"/>
            </w:tcBorders>
            <w:vAlign w:val="center"/>
          </w:tcPr>
          <w:p w14:paraId="64FA426A">
            <w:pPr>
              <w:pStyle w:val="12"/>
              <w:tabs>
                <w:tab w:val="left" w:pos="8360"/>
              </w:tabs>
              <w:spacing w:line="420" w:lineRule="exact"/>
              <w:rPr>
                <w:rFonts w:hint="eastAsia" w:ascii="宋体" w:hAnsi="宋体"/>
                <w:sz w:val="24"/>
                <w:szCs w:val="24"/>
              </w:rPr>
            </w:pPr>
            <w:r>
              <w:rPr>
                <w:rFonts w:hint="eastAsia" w:ascii="宋体" w:hAnsi="宋体"/>
                <w:sz w:val="24"/>
                <w:szCs w:val="24"/>
              </w:rPr>
              <w:t>货物名称</w:t>
            </w:r>
          </w:p>
        </w:tc>
        <w:tc>
          <w:tcPr>
            <w:tcW w:w="889" w:type="dxa"/>
            <w:tcBorders>
              <w:top w:val="single" w:color="auto" w:sz="4" w:space="0"/>
              <w:left w:val="single" w:color="auto" w:sz="4" w:space="0"/>
              <w:bottom w:val="single" w:color="auto" w:sz="4" w:space="0"/>
              <w:right w:val="single" w:color="auto" w:sz="4" w:space="0"/>
            </w:tcBorders>
            <w:vAlign w:val="center"/>
          </w:tcPr>
          <w:p w14:paraId="6FD2D66A">
            <w:pPr>
              <w:pStyle w:val="12"/>
              <w:tabs>
                <w:tab w:val="left" w:pos="8360"/>
              </w:tabs>
              <w:spacing w:line="420" w:lineRule="exact"/>
              <w:rPr>
                <w:rFonts w:hint="eastAsia" w:ascii="宋体" w:hAnsi="宋体"/>
                <w:sz w:val="24"/>
                <w:szCs w:val="24"/>
              </w:rPr>
            </w:pPr>
            <w:r>
              <w:rPr>
                <w:rFonts w:hint="eastAsia" w:ascii="宋体" w:hAnsi="宋体"/>
                <w:sz w:val="24"/>
                <w:szCs w:val="24"/>
              </w:rPr>
              <w:t>数量</w:t>
            </w:r>
          </w:p>
        </w:tc>
        <w:tc>
          <w:tcPr>
            <w:tcW w:w="2126" w:type="dxa"/>
            <w:tcBorders>
              <w:top w:val="single" w:color="auto" w:sz="4" w:space="0"/>
              <w:left w:val="single" w:color="auto" w:sz="4" w:space="0"/>
              <w:bottom w:val="single" w:color="auto" w:sz="4" w:space="0"/>
              <w:right w:val="single" w:color="auto" w:sz="4" w:space="0"/>
            </w:tcBorders>
            <w:vAlign w:val="center"/>
          </w:tcPr>
          <w:p w14:paraId="06788EA8">
            <w:pPr>
              <w:pStyle w:val="12"/>
              <w:tabs>
                <w:tab w:val="left" w:pos="8360"/>
              </w:tabs>
              <w:spacing w:line="420" w:lineRule="exact"/>
              <w:rPr>
                <w:rFonts w:hint="eastAsia" w:ascii="宋体" w:hAnsi="宋体"/>
                <w:sz w:val="24"/>
                <w:szCs w:val="24"/>
              </w:rPr>
            </w:pPr>
            <w:r>
              <w:rPr>
                <w:rFonts w:hint="eastAsia" w:ascii="宋体" w:hAnsi="宋体"/>
                <w:sz w:val="24"/>
                <w:szCs w:val="24"/>
              </w:rPr>
              <w:t>主要技术规格</w:t>
            </w:r>
          </w:p>
        </w:tc>
        <w:tc>
          <w:tcPr>
            <w:tcW w:w="1559" w:type="dxa"/>
            <w:tcBorders>
              <w:top w:val="single" w:color="auto" w:sz="4" w:space="0"/>
              <w:left w:val="single" w:color="auto" w:sz="4" w:space="0"/>
              <w:bottom w:val="single" w:color="auto" w:sz="4" w:space="0"/>
              <w:right w:val="single" w:color="auto" w:sz="4" w:space="0"/>
            </w:tcBorders>
            <w:vAlign w:val="center"/>
          </w:tcPr>
          <w:p w14:paraId="5A05771B">
            <w:pPr>
              <w:pStyle w:val="12"/>
              <w:tabs>
                <w:tab w:val="left" w:pos="8360"/>
              </w:tabs>
              <w:spacing w:line="420" w:lineRule="exact"/>
              <w:rPr>
                <w:rFonts w:hint="eastAsia" w:ascii="宋体" w:hAnsi="宋体"/>
                <w:sz w:val="24"/>
                <w:szCs w:val="24"/>
              </w:rPr>
            </w:pPr>
            <w:r>
              <w:rPr>
                <w:rFonts w:hint="eastAsia" w:ascii="宋体" w:hAnsi="宋体"/>
                <w:sz w:val="24"/>
                <w:szCs w:val="24"/>
              </w:rPr>
              <w:t>交货期</w:t>
            </w:r>
          </w:p>
        </w:tc>
      </w:tr>
      <w:tr w14:paraId="7D29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1000" w:type="dxa"/>
            <w:tcBorders>
              <w:top w:val="single" w:color="auto" w:sz="4" w:space="0"/>
              <w:left w:val="single" w:color="auto" w:sz="4" w:space="0"/>
              <w:right w:val="single" w:color="auto" w:sz="4" w:space="0"/>
            </w:tcBorders>
            <w:vAlign w:val="center"/>
          </w:tcPr>
          <w:p w14:paraId="73CDE211">
            <w:pPr>
              <w:pStyle w:val="12"/>
              <w:tabs>
                <w:tab w:val="left" w:pos="8360"/>
              </w:tabs>
              <w:spacing w:line="420" w:lineRule="exact"/>
              <w:rPr>
                <w:rFonts w:hint="eastAsia" w:ascii="宋体" w:hAnsi="宋体"/>
                <w:b/>
                <w:sz w:val="24"/>
                <w:szCs w:val="24"/>
              </w:rPr>
            </w:pPr>
            <w:r>
              <w:rPr>
                <w:rFonts w:hint="eastAsia" w:ascii="宋体" w:hAnsi="宋体"/>
                <w:b/>
                <w:sz w:val="24"/>
                <w:szCs w:val="24"/>
              </w:rPr>
              <w:t>1</w:t>
            </w:r>
          </w:p>
        </w:tc>
        <w:tc>
          <w:tcPr>
            <w:tcW w:w="987" w:type="dxa"/>
            <w:tcBorders>
              <w:top w:val="single" w:color="auto" w:sz="4" w:space="0"/>
              <w:left w:val="single" w:color="auto" w:sz="4" w:space="0"/>
              <w:right w:val="single" w:color="auto" w:sz="4" w:space="0"/>
            </w:tcBorders>
            <w:vAlign w:val="center"/>
          </w:tcPr>
          <w:p w14:paraId="3C669DC3">
            <w:pPr>
              <w:pStyle w:val="12"/>
              <w:tabs>
                <w:tab w:val="left" w:pos="8360"/>
              </w:tabs>
              <w:spacing w:line="420" w:lineRule="exact"/>
              <w:rPr>
                <w:rFonts w:hint="eastAsia" w:ascii="宋体" w:hAnsi="宋体"/>
                <w:b/>
                <w:sz w:val="24"/>
                <w:szCs w:val="24"/>
              </w:rPr>
            </w:pPr>
            <w:r>
              <w:rPr>
                <w:rFonts w:hint="eastAsia" w:ascii="宋体" w:hAnsi="宋体"/>
                <w:b/>
                <w:sz w:val="24"/>
                <w:szCs w:val="24"/>
              </w:rPr>
              <w:t>1-1</w:t>
            </w:r>
          </w:p>
        </w:tc>
        <w:tc>
          <w:tcPr>
            <w:tcW w:w="1693" w:type="dxa"/>
            <w:tcBorders>
              <w:top w:val="single" w:color="auto" w:sz="4" w:space="0"/>
              <w:left w:val="single" w:color="auto" w:sz="4" w:space="0"/>
              <w:right w:val="single" w:color="auto" w:sz="4" w:space="0"/>
            </w:tcBorders>
            <w:vAlign w:val="center"/>
          </w:tcPr>
          <w:p w14:paraId="47BF17C8">
            <w:pPr>
              <w:pStyle w:val="12"/>
              <w:tabs>
                <w:tab w:val="left" w:pos="8360"/>
              </w:tabs>
              <w:spacing w:line="420" w:lineRule="exact"/>
              <w:rPr>
                <w:rFonts w:hint="eastAsia" w:ascii="宋体" w:hAnsi="宋体"/>
                <w:b/>
                <w:sz w:val="24"/>
                <w:szCs w:val="24"/>
              </w:rPr>
            </w:pPr>
            <w:r>
              <w:rPr>
                <w:rFonts w:hint="eastAsia" w:ascii="宋体" w:hAnsi="宋体"/>
                <w:b/>
                <w:sz w:val="24"/>
                <w:szCs w:val="24"/>
              </w:rPr>
              <w:t>下料管理系统</w:t>
            </w:r>
          </w:p>
        </w:tc>
        <w:tc>
          <w:tcPr>
            <w:tcW w:w="889" w:type="dxa"/>
            <w:tcBorders>
              <w:top w:val="single" w:color="auto" w:sz="4" w:space="0"/>
              <w:left w:val="single" w:color="auto" w:sz="4" w:space="0"/>
              <w:right w:val="single" w:color="auto" w:sz="4" w:space="0"/>
            </w:tcBorders>
            <w:vAlign w:val="center"/>
          </w:tcPr>
          <w:p w14:paraId="09003A9D">
            <w:pPr>
              <w:pStyle w:val="12"/>
              <w:tabs>
                <w:tab w:val="left" w:pos="8360"/>
              </w:tabs>
              <w:spacing w:line="420" w:lineRule="exact"/>
              <w:rPr>
                <w:rFonts w:hint="eastAsia" w:ascii="宋体" w:hAnsi="宋体"/>
                <w:b/>
                <w:sz w:val="24"/>
                <w:szCs w:val="24"/>
              </w:rPr>
            </w:pPr>
            <w:r>
              <w:rPr>
                <w:rFonts w:hint="eastAsia" w:ascii="宋体" w:hAnsi="宋体"/>
                <w:b/>
                <w:sz w:val="24"/>
                <w:szCs w:val="24"/>
              </w:rPr>
              <w:t>1套</w:t>
            </w:r>
          </w:p>
        </w:tc>
        <w:tc>
          <w:tcPr>
            <w:tcW w:w="2126" w:type="dxa"/>
            <w:tcBorders>
              <w:top w:val="single" w:color="auto" w:sz="4" w:space="0"/>
              <w:left w:val="single" w:color="auto" w:sz="4" w:space="0"/>
              <w:right w:val="single" w:color="auto" w:sz="4" w:space="0"/>
            </w:tcBorders>
            <w:vAlign w:val="center"/>
          </w:tcPr>
          <w:p w14:paraId="68D53C2D">
            <w:pPr>
              <w:pStyle w:val="12"/>
              <w:tabs>
                <w:tab w:val="left" w:pos="8360"/>
              </w:tabs>
              <w:spacing w:line="420" w:lineRule="exact"/>
              <w:rPr>
                <w:rFonts w:hint="eastAsia" w:ascii="宋体" w:hAnsi="宋体"/>
                <w:b/>
                <w:sz w:val="24"/>
                <w:szCs w:val="24"/>
              </w:rPr>
            </w:pPr>
            <w:r>
              <w:rPr>
                <w:rFonts w:hint="eastAsia" w:ascii="宋体" w:hAnsi="宋体"/>
                <w:b/>
                <w:sz w:val="24"/>
                <w:szCs w:val="24"/>
              </w:rPr>
              <w:t>详见“第四章</w:t>
            </w:r>
          </w:p>
          <w:p w14:paraId="57726B74">
            <w:pPr>
              <w:pStyle w:val="12"/>
              <w:tabs>
                <w:tab w:val="left" w:pos="8360"/>
              </w:tabs>
              <w:spacing w:line="420" w:lineRule="exact"/>
              <w:rPr>
                <w:rFonts w:hint="eastAsia" w:ascii="宋体" w:hAnsi="宋体"/>
                <w:b/>
                <w:sz w:val="24"/>
                <w:szCs w:val="24"/>
              </w:rPr>
            </w:pPr>
            <w:r>
              <w:rPr>
                <w:rFonts w:hint="eastAsia" w:ascii="宋体" w:hAnsi="宋体"/>
                <w:b/>
                <w:sz w:val="24"/>
                <w:szCs w:val="24"/>
              </w:rPr>
              <w:t>招标内容及要求”</w:t>
            </w:r>
          </w:p>
        </w:tc>
        <w:tc>
          <w:tcPr>
            <w:tcW w:w="1559" w:type="dxa"/>
            <w:tcBorders>
              <w:top w:val="single" w:color="auto" w:sz="4" w:space="0"/>
              <w:left w:val="single" w:color="auto" w:sz="4" w:space="0"/>
              <w:right w:val="single" w:color="auto" w:sz="4" w:space="0"/>
            </w:tcBorders>
            <w:vAlign w:val="center"/>
          </w:tcPr>
          <w:p w14:paraId="5B912A90">
            <w:pPr>
              <w:pStyle w:val="12"/>
              <w:tabs>
                <w:tab w:val="left" w:pos="8360"/>
              </w:tabs>
              <w:spacing w:line="420" w:lineRule="exact"/>
              <w:rPr>
                <w:rFonts w:hint="eastAsia" w:ascii="宋体" w:hAnsi="宋体"/>
                <w:b/>
                <w:sz w:val="24"/>
                <w:szCs w:val="24"/>
              </w:rPr>
            </w:pPr>
            <w:r>
              <w:rPr>
                <w:rFonts w:hint="eastAsia" w:ascii="宋体" w:hAnsi="宋体"/>
                <w:b/>
                <w:sz w:val="24"/>
                <w:szCs w:val="24"/>
              </w:rPr>
              <w:t>详见“第四章</w:t>
            </w:r>
          </w:p>
          <w:p w14:paraId="6B1AC5F4">
            <w:pPr>
              <w:pStyle w:val="12"/>
              <w:tabs>
                <w:tab w:val="left" w:pos="8360"/>
              </w:tabs>
              <w:spacing w:line="420" w:lineRule="exact"/>
              <w:rPr>
                <w:rFonts w:hint="eastAsia" w:ascii="宋体" w:hAnsi="宋体"/>
                <w:b/>
                <w:sz w:val="24"/>
                <w:szCs w:val="24"/>
              </w:rPr>
            </w:pPr>
            <w:r>
              <w:rPr>
                <w:rFonts w:hint="eastAsia" w:ascii="宋体" w:hAnsi="宋体"/>
                <w:b/>
                <w:sz w:val="24"/>
                <w:szCs w:val="24"/>
              </w:rPr>
              <w:t>招标内容及要求”</w:t>
            </w:r>
          </w:p>
        </w:tc>
      </w:tr>
    </w:tbl>
    <w:p w14:paraId="2BF904C1"/>
    <w:p w14:paraId="0B382F51">
      <w:pPr>
        <w:pStyle w:val="15"/>
        <w:spacing w:line="420" w:lineRule="exact"/>
        <w:jc w:val="left"/>
        <w:rPr>
          <w:rFonts w:hint="eastAsia" w:hAnsi="宋体"/>
          <w:sz w:val="24"/>
          <w:szCs w:val="24"/>
        </w:rPr>
      </w:pPr>
      <w:r>
        <w:rPr>
          <w:rFonts w:hint="eastAsia" w:hAnsi="宋体"/>
          <w:sz w:val="24"/>
          <w:szCs w:val="24"/>
        </w:rPr>
        <w:t>注：</w:t>
      </w:r>
    </w:p>
    <w:p w14:paraId="11CC23D8">
      <w:pPr>
        <w:pStyle w:val="15"/>
        <w:numPr>
          <w:ilvl w:val="0"/>
          <w:numId w:val="2"/>
        </w:numPr>
        <w:spacing w:line="420" w:lineRule="exact"/>
        <w:ind w:firstLine="480" w:firstLineChars="200"/>
        <w:jc w:val="left"/>
        <w:rPr>
          <w:rFonts w:hint="eastAsia" w:hAnsi="宋体"/>
          <w:b/>
          <w:bCs/>
          <w:sz w:val="24"/>
          <w:szCs w:val="24"/>
          <w:u w:val="single"/>
        </w:rPr>
      </w:pPr>
      <w:bookmarkStart w:id="30" w:name="_Toc20207"/>
      <w:bookmarkEnd w:id="30"/>
      <w:bookmarkStart w:id="31" w:name="_Toc25457"/>
      <w:bookmarkEnd w:id="31"/>
      <w:bookmarkStart w:id="32" w:name="_Toc34137374"/>
      <w:bookmarkEnd w:id="32"/>
      <w:bookmarkStart w:id="33" w:name="_Toc25459"/>
      <w:bookmarkEnd w:id="33"/>
      <w:bookmarkStart w:id="34" w:name="_Toc5546"/>
      <w:bookmarkEnd w:id="34"/>
      <w:bookmarkStart w:id="35" w:name="_Toc23009"/>
      <w:bookmarkEnd w:id="35"/>
      <w:bookmarkStart w:id="36" w:name="_Toc7564"/>
      <w:bookmarkEnd w:id="36"/>
      <w:bookmarkStart w:id="37" w:name="_Toc28115"/>
      <w:bookmarkEnd w:id="37"/>
      <w:bookmarkStart w:id="38" w:name="_Toc21299"/>
      <w:bookmarkEnd w:id="38"/>
      <w:bookmarkStart w:id="39" w:name="_Toc31263"/>
      <w:bookmarkStart w:id="40" w:name="_Toc51751152"/>
      <w:bookmarkStart w:id="41" w:name="_Toc11409"/>
      <w:bookmarkStart w:id="42" w:name="_Toc8791"/>
      <w:r>
        <w:rPr>
          <w:rFonts w:hint="eastAsia" w:hAnsi="宋体"/>
          <w:b/>
          <w:bCs/>
          <w:sz w:val="24"/>
          <w:szCs w:val="24"/>
          <w:u w:val="single"/>
        </w:rPr>
        <w:t>本次招标内容为1个项目包，该项目分为硬件和软件两个部分，投标人应按照项目包投标（同时包含硬件和软件部分），对项目包内所有品目号内容投标时必须完整。评标与授标以项目包为单位。如投标人仅针对软件或硬件部分进行投标，视为投标无效。</w:t>
      </w:r>
    </w:p>
    <w:p w14:paraId="5F87C8DE">
      <w:pPr>
        <w:pStyle w:val="15"/>
        <w:numPr>
          <w:ilvl w:val="0"/>
          <w:numId w:val="2"/>
        </w:numPr>
        <w:spacing w:line="420" w:lineRule="exact"/>
        <w:ind w:firstLine="480" w:firstLineChars="200"/>
        <w:jc w:val="left"/>
        <w:rPr>
          <w:rFonts w:hint="eastAsia" w:hAnsi="宋体"/>
          <w:b/>
          <w:bCs/>
          <w:sz w:val="24"/>
          <w:szCs w:val="24"/>
          <w:u w:val="single"/>
        </w:rPr>
      </w:pPr>
      <w:r>
        <w:rPr>
          <w:rFonts w:hint="eastAsia" w:hAnsi="宋体"/>
          <w:b/>
          <w:bCs/>
          <w:sz w:val="24"/>
          <w:szCs w:val="24"/>
          <w:u w:val="single"/>
        </w:rPr>
        <w:t>投标人中标后，应同时与招标人签署软件和硬件合同。</w:t>
      </w:r>
    </w:p>
    <w:p w14:paraId="5B548092">
      <w:pPr>
        <w:pStyle w:val="15"/>
        <w:spacing w:line="420" w:lineRule="exact"/>
        <w:jc w:val="center"/>
        <w:outlineLvl w:val="0"/>
        <w:rPr>
          <w:rFonts w:hint="eastAsia" w:hAnsi="宋体"/>
          <w:b/>
          <w:bCs/>
          <w:sz w:val="36"/>
          <w:szCs w:val="36"/>
        </w:rPr>
      </w:pPr>
      <w:r>
        <w:rPr>
          <w:rFonts w:hint="eastAsia" w:hAnsi="宋体"/>
          <w:b/>
          <w:bCs/>
          <w:sz w:val="36"/>
          <w:szCs w:val="36"/>
        </w:rPr>
        <w:br w:type="page"/>
      </w:r>
      <w:bookmarkStart w:id="43" w:name="_Toc8821"/>
      <w:bookmarkStart w:id="44" w:name="_Toc15366"/>
      <w:bookmarkStart w:id="45" w:name="_Toc148459123"/>
      <w:r>
        <w:rPr>
          <w:rFonts w:hint="eastAsia" w:hAnsi="宋体"/>
          <w:b/>
          <w:bCs/>
          <w:sz w:val="36"/>
          <w:szCs w:val="36"/>
        </w:rPr>
        <w:t>第二章  投标人须知</w:t>
      </w:r>
      <w:bookmarkEnd w:id="39"/>
      <w:bookmarkEnd w:id="40"/>
      <w:bookmarkEnd w:id="41"/>
      <w:bookmarkEnd w:id="42"/>
      <w:bookmarkEnd w:id="43"/>
      <w:bookmarkEnd w:id="44"/>
      <w:bookmarkEnd w:id="45"/>
    </w:p>
    <w:p w14:paraId="53D554A7">
      <w:pPr>
        <w:pStyle w:val="3"/>
        <w:spacing w:before="0" w:after="0" w:line="360" w:lineRule="auto"/>
        <w:jc w:val="center"/>
        <w:rPr>
          <w:rFonts w:hint="eastAsia" w:ascii="宋体" w:hAnsi="宋体"/>
          <w:sz w:val="28"/>
          <w:szCs w:val="28"/>
        </w:rPr>
      </w:pPr>
      <w:bookmarkStart w:id="46" w:name="_Toc12710"/>
      <w:bookmarkEnd w:id="46"/>
      <w:bookmarkStart w:id="47" w:name="_Toc26500"/>
      <w:bookmarkEnd w:id="47"/>
      <w:bookmarkStart w:id="48" w:name="_Toc398284534"/>
      <w:bookmarkEnd w:id="48"/>
      <w:bookmarkStart w:id="49" w:name="_Toc32031"/>
      <w:bookmarkEnd w:id="49"/>
      <w:bookmarkStart w:id="50" w:name="_Toc398504590"/>
      <w:bookmarkEnd w:id="50"/>
      <w:bookmarkStart w:id="51" w:name="_Toc24082_WPSOffice_Level2"/>
      <w:bookmarkEnd w:id="51"/>
      <w:bookmarkStart w:id="52" w:name="_Toc422946676"/>
      <w:bookmarkEnd w:id="52"/>
      <w:bookmarkStart w:id="53" w:name="_Toc11001"/>
      <w:bookmarkEnd w:id="53"/>
      <w:bookmarkStart w:id="54" w:name="_Toc12556"/>
      <w:bookmarkEnd w:id="54"/>
      <w:bookmarkStart w:id="55" w:name="_Toc476128894"/>
      <w:bookmarkEnd w:id="55"/>
      <w:bookmarkStart w:id="56" w:name="_Toc19674"/>
      <w:bookmarkEnd w:id="56"/>
      <w:bookmarkStart w:id="57" w:name="_Toc9582"/>
      <w:bookmarkEnd w:id="57"/>
      <w:bookmarkStart w:id="58" w:name="_Toc34137375"/>
      <w:bookmarkEnd w:id="58"/>
      <w:bookmarkStart w:id="59" w:name="_Toc14804"/>
      <w:bookmarkEnd w:id="59"/>
      <w:bookmarkStart w:id="60" w:name="_Toc16713"/>
      <w:bookmarkStart w:id="61" w:name="_Toc20661"/>
      <w:bookmarkStart w:id="62" w:name="_Toc148459124"/>
      <w:bookmarkStart w:id="63" w:name="_Toc4781"/>
      <w:bookmarkStart w:id="64" w:name="_Toc27465"/>
      <w:bookmarkStart w:id="65" w:name="_Toc21913"/>
      <w:bookmarkStart w:id="66" w:name="_Toc51751153"/>
      <w:r>
        <w:rPr>
          <w:rFonts w:hint="eastAsia" w:ascii="宋体" w:hAnsi="宋体"/>
          <w:sz w:val="28"/>
          <w:szCs w:val="28"/>
        </w:rPr>
        <w:t>投标人须知前附表</w:t>
      </w:r>
      <w:bookmarkEnd w:id="60"/>
      <w:bookmarkEnd w:id="61"/>
      <w:bookmarkEnd w:id="62"/>
      <w:bookmarkEnd w:id="63"/>
      <w:bookmarkEnd w:id="64"/>
      <w:bookmarkEnd w:id="65"/>
      <w:bookmarkEnd w:id="66"/>
    </w:p>
    <w:p w14:paraId="3A1D6EEC">
      <w:pPr>
        <w:spacing w:line="360" w:lineRule="auto"/>
        <w:ind w:firstLine="480" w:firstLineChars="200"/>
        <w:rPr>
          <w:rFonts w:cs="宋体"/>
          <w:sz w:val="24"/>
        </w:rPr>
      </w:pPr>
      <w:r>
        <w:rPr>
          <w:rFonts w:hint="eastAsia" w:cs="宋体"/>
          <w:sz w:val="24"/>
        </w:rPr>
        <w:t>本须知前附表的内容是与《投标人须知》中条款的内容对应的。如果有矛盾的话，应以本附表为准。</w:t>
      </w:r>
    </w:p>
    <w:tbl>
      <w:tblPr>
        <w:tblStyle w:val="28"/>
        <w:tblW w:w="8960"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
      <w:tblGrid>
        <w:gridCol w:w="849"/>
        <w:gridCol w:w="1030"/>
        <w:gridCol w:w="7081"/>
      </w:tblGrid>
      <w:tr w14:paraId="00589B2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588" w:hRule="atLeast"/>
          <w:jc w:val="center"/>
        </w:trPr>
        <w:tc>
          <w:tcPr>
            <w:tcW w:w="849" w:type="dxa"/>
            <w:tcBorders>
              <w:top w:val="thinThickSmallGap" w:color="auto" w:sz="12"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16352EED">
            <w:pPr>
              <w:spacing w:line="360" w:lineRule="auto"/>
              <w:jc w:val="center"/>
              <w:rPr>
                <w:rFonts w:cs="宋体"/>
                <w:b/>
                <w:bCs/>
                <w:sz w:val="24"/>
              </w:rPr>
            </w:pPr>
            <w:r>
              <w:rPr>
                <w:rFonts w:hint="eastAsia" w:cs="宋体"/>
                <w:b/>
                <w:bCs/>
                <w:sz w:val="24"/>
              </w:rPr>
              <w:t>项号</w:t>
            </w:r>
          </w:p>
        </w:tc>
        <w:tc>
          <w:tcPr>
            <w:tcW w:w="1030" w:type="dxa"/>
            <w:tcBorders>
              <w:top w:val="thinThickSmallGap" w:color="auto" w:sz="12" w:space="0"/>
              <w:left w:val="single" w:color="auto" w:sz="6" w:space="0"/>
              <w:bottom w:val="single" w:color="auto" w:sz="6" w:space="0"/>
              <w:right w:val="single" w:color="auto" w:sz="6" w:space="0"/>
            </w:tcBorders>
            <w:tcMar>
              <w:top w:w="0" w:type="dxa"/>
              <w:left w:w="108" w:type="dxa"/>
              <w:bottom w:w="0" w:type="dxa"/>
              <w:right w:w="108" w:type="dxa"/>
            </w:tcMar>
            <w:vAlign w:val="center"/>
          </w:tcPr>
          <w:p w14:paraId="1155EFC0">
            <w:pPr>
              <w:spacing w:line="360" w:lineRule="auto"/>
              <w:jc w:val="center"/>
              <w:rPr>
                <w:rFonts w:cs="宋体"/>
                <w:b/>
                <w:bCs/>
                <w:sz w:val="24"/>
              </w:rPr>
            </w:pPr>
            <w:r>
              <w:rPr>
                <w:rFonts w:hint="eastAsia" w:cs="宋体"/>
                <w:b/>
                <w:bCs/>
                <w:sz w:val="24"/>
              </w:rPr>
              <w:t>条款号</w:t>
            </w:r>
          </w:p>
        </w:tc>
        <w:tc>
          <w:tcPr>
            <w:tcW w:w="7081" w:type="dxa"/>
            <w:tcBorders>
              <w:top w:val="thinThickSmallGap" w:color="auto" w:sz="12"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28DB4E53">
            <w:pPr>
              <w:spacing w:line="360" w:lineRule="auto"/>
              <w:jc w:val="center"/>
              <w:rPr>
                <w:rFonts w:cs="宋体"/>
                <w:b/>
                <w:bCs/>
                <w:sz w:val="24"/>
              </w:rPr>
            </w:pPr>
            <w:r>
              <w:rPr>
                <w:rFonts w:hint="eastAsia" w:cs="宋体"/>
                <w:b/>
                <w:bCs/>
                <w:sz w:val="24"/>
              </w:rPr>
              <w:t>编   列   内    容</w:t>
            </w:r>
          </w:p>
        </w:tc>
      </w:tr>
      <w:tr w14:paraId="513B4E1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95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6243CD5A">
            <w:pPr>
              <w:spacing w:line="360" w:lineRule="auto"/>
              <w:jc w:val="center"/>
              <w:rPr>
                <w:rFonts w:cs="宋体"/>
                <w:sz w:val="24"/>
              </w:rPr>
            </w:pPr>
            <w:r>
              <w:rPr>
                <w:rFonts w:hint="eastAsia" w:cs="宋体"/>
                <w:sz w:val="24"/>
              </w:rPr>
              <w:t>1</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5E29CE69">
            <w:pPr>
              <w:spacing w:line="360" w:lineRule="auto"/>
              <w:jc w:val="center"/>
              <w:rPr>
                <w:rFonts w:cs="宋体"/>
                <w:sz w:val="24"/>
              </w:rPr>
            </w:pPr>
            <w:r>
              <w:rPr>
                <w:rFonts w:hint="eastAsia" w:cs="宋体"/>
                <w:sz w:val="24"/>
              </w:rPr>
              <w:t>2</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04E07CC5">
            <w:pPr>
              <w:spacing w:line="360" w:lineRule="auto"/>
              <w:ind w:left="1200" w:hanging="1200" w:hangingChars="500"/>
              <w:rPr>
                <w:rFonts w:cs="宋体"/>
                <w:sz w:val="24"/>
                <w:u w:val="single"/>
              </w:rPr>
            </w:pPr>
            <w:r>
              <w:rPr>
                <w:rFonts w:hint="eastAsia" w:cs="宋体"/>
                <w:sz w:val="24"/>
              </w:rPr>
              <w:t>项目名称：</w:t>
            </w:r>
            <w:r>
              <w:rPr>
                <w:rFonts w:hint="eastAsia" w:cs="宋体"/>
                <w:sz w:val="24"/>
                <w:u w:val="single"/>
              </w:rPr>
              <w:t xml:space="preserve">  下料管理系统                    </w:t>
            </w:r>
          </w:p>
          <w:p w14:paraId="331F5740">
            <w:pPr>
              <w:spacing w:line="360" w:lineRule="auto"/>
              <w:ind w:left="1200" w:hanging="1200" w:hangingChars="500"/>
              <w:rPr>
                <w:rFonts w:cs="宋体"/>
                <w:sz w:val="24"/>
              </w:rPr>
            </w:pPr>
            <w:r>
              <w:rPr>
                <w:rFonts w:hint="eastAsia" w:cs="宋体"/>
                <w:sz w:val="24"/>
              </w:rPr>
              <w:t>招标人名称：厦工</w:t>
            </w:r>
            <w:r>
              <w:rPr>
                <w:rFonts w:cs="宋体"/>
                <w:sz w:val="24"/>
              </w:rPr>
              <w:t>(三明)重型机器有限公司</w:t>
            </w:r>
          </w:p>
          <w:p w14:paraId="5463093E">
            <w:pPr>
              <w:spacing w:line="360" w:lineRule="auto"/>
              <w:rPr>
                <w:rFonts w:cs="宋体"/>
                <w:sz w:val="24"/>
              </w:rPr>
            </w:pPr>
            <w:r>
              <w:rPr>
                <w:rFonts w:hint="eastAsia" w:cs="宋体"/>
                <w:sz w:val="24"/>
              </w:rPr>
              <w:t>项目内容：详见“招标项目一览表”</w:t>
            </w:r>
          </w:p>
          <w:p w14:paraId="766664F0">
            <w:pPr>
              <w:spacing w:line="360" w:lineRule="auto"/>
              <w:rPr>
                <w:rFonts w:cs="宋体"/>
                <w:sz w:val="24"/>
              </w:rPr>
            </w:pPr>
            <w:r>
              <w:rPr>
                <w:rFonts w:hint="eastAsia" w:cs="宋体"/>
                <w:sz w:val="24"/>
              </w:rPr>
              <w:t>招标编号：</w:t>
            </w:r>
            <w:r>
              <w:rPr>
                <w:rFonts w:cs="宋体"/>
                <w:sz w:val="24"/>
                <w:u w:val="single"/>
              </w:rPr>
              <w:t xml:space="preserve">  </w:t>
            </w:r>
            <w:r>
              <w:rPr>
                <w:rFonts w:hint="eastAsia" w:ascii="宋体" w:hAnsi="宋体" w:cs="宋体"/>
                <w:color w:val="000000"/>
                <w:u w:val="single"/>
              </w:rPr>
              <w:t>XGSZ-</w:t>
            </w:r>
            <w:r>
              <w:rPr>
                <w:rFonts w:hint="eastAsia" w:ascii="宋体" w:hAnsi="宋体" w:cs="宋体"/>
                <w:color w:val="000000"/>
                <w:u w:val="single"/>
                <w:lang w:val="en-US" w:eastAsia="zh-CN"/>
              </w:rPr>
              <w:t>QT</w:t>
            </w:r>
            <w:r>
              <w:rPr>
                <w:rFonts w:hint="eastAsia" w:ascii="宋体" w:hAnsi="宋体" w:cs="宋体"/>
                <w:color w:val="000000"/>
                <w:u w:val="single"/>
              </w:rPr>
              <w:t>-</w:t>
            </w:r>
            <w:r>
              <w:rPr>
                <w:rFonts w:hint="eastAsia" w:ascii="宋体" w:hAnsi="宋体" w:cs="宋体"/>
                <w:color w:val="000000"/>
                <w:u w:val="single"/>
                <w:lang w:val="en-US" w:eastAsia="zh-CN"/>
              </w:rPr>
              <w:t>20260706-02-JS</w:t>
            </w:r>
            <w:r>
              <w:rPr>
                <w:rFonts w:hint="eastAsia" w:ascii="宋体" w:hAnsi="宋体" w:cs="宋体"/>
                <w:color w:val="000000"/>
                <w:u w:val="single"/>
              </w:rPr>
              <w:t xml:space="preserve">   </w:t>
            </w:r>
            <w:r>
              <w:rPr>
                <w:rFonts w:hint="eastAsia"/>
                <w:color w:val="000000"/>
                <w:u w:val="single"/>
              </w:rPr>
              <w:t xml:space="preserve">     </w:t>
            </w:r>
            <w:r>
              <w:rPr>
                <w:rFonts w:cs="宋体"/>
                <w:sz w:val="24"/>
                <w:u w:val="single"/>
              </w:rPr>
              <w:t xml:space="preserve"> </w:t>
            </w:r>
          </w:p>
        </w:tc>
      </w:tr>
      <w:tr w14:paraId="40C24DA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468"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6B2F886B">
            <w:pPr>
              <w:spacing w:line="360" w:lineRule="auto"/>
              <w:jc w:val="center"/>
              <w:rPr>
                <w:rFonts w:cs="宋体"/>
                <w:sz w:val="24"/>
              </w:rPr>
            </w:pPr>
            <w:r>
              <w:rPr>
                <w:rFonts w:hint="eastAsia" w:cs="宋体"/>
                <w:sz w:val="24"/>
              </w:rPr>
              <w:t>2</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19915654">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77A985E4">
            <w:pPr>
              <w:spacing w:line="360" w:lineRule="auto"/>
              <w:ind w:left="1200" w:hanging="1200" w:hangingChars="500"/>
              <w:rPr>
                <w:rFonts w:cs="宋体"/>
                <w:sz w:val="24"/>
              </w:rPr>
            </w:pPr>
            <w:r>
              <w:rPr>
                <w:rFonts w:hint="eastAsia" w:cs="宋体"/>
                <w:sz w:val="24"/>
              </w:rPr>
              <w:t>招标项目的资金来源和落实情况：</w:t>
            </w:r>
          </w:p>
          <w:p w14:paraId="3D827091">
            <w:pPr>
              <w:spacing w:line="360" w:lineRule="auto"/>
              <w:ind w:left="1200" w:hanging="1200" w:hangingChars="500"/>
              <w:rPr>
                <w:rFonts w:cs="宋体"/>
                <w:sz w:val="24"/>
              </w:rPr>
            </w:pPr>
            <w:r>
              <w:rPr>
                <w:rFonts w:hint="eastAsia" w:cs="宋体"/>
                <w:sz w:val="24"/>
              </w:rPr>
              <w:t>招标项目资金来源:</w:t>
            </w:r>
            <w:r>
              <w:rPr>
                <w:rFonts w:hint="eastAsia" w:cs="宋体"/>
                <w:sz w:val="24"/>
                <w:u w:val="single"/>
              </w:rPr>
              <w:t>自筹资金</w:t>
            </w:r>
            <w:r>
              <w:rPr>
                <w:rFonts w:hint="eastAsia" w:cs="宋体"/>
                <w:sz w:val="24"/>
              </w:rPr>
              <w:t>，出资比例为</w:t>
            </w:r>
            <w:r>
              <w:rPr>
                <w:rFonts w:hint="eastAsia" w:cs="宋体"/>
                <w:sz w:val="24"/>
                <w:u w:val="single"/>
              </w:rPr>
              <w:t>100%</w:t>
            </w:r>
            <w:r>
              <w:rPr>
                <w:rFonts w:hint="eastAsia" w:cs="宋体"/>
                <w:sz w:val="24"/>
              </w:rPr>
              <w:t>。</w:t>
            </w:r>
          </w:p>
          <w:p w14:paraId="50254484">
            <w:pPr>
              <w:spacing w:line="360" w:lineRule="auto"/>
              <w:ind w:left="1200" w:hanging="1200" w:hangingChars="500"/>
              <w:rPr>
                <w:rFonts w:cs="宋体"/>
                <w:sz w:val="24"/>
              </w:rPr>
            </w:pPr>
            <w:r>
              <w:rPr>
                <w:rFonts w:hint="eastAsia" w:cs="宋体"/>
                <w:sz w:val="24"/>
              </w:rPr>
              <w:t>资金落实情况：已落实</w:t>
            </w:r>
          </w:p>
        </w:tc>
      </w:tr>
      <w:tr w14:paraId="0FB5F924">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7928CC83">
            <w:pPr>
              <w:spacing w:line="360" w:lineRule="auto"/>
              <w:jc w:val="center"/>
              <w:rPr>
                <w:rFonts w:cs="宋体"/>
                <w:sz w:val="24"/>
              </w:rPr>
            </w:pPr>
            <w:r>
              <w:rPr>
                <w:rFonts w:hint="eastAsia" w:cs="宋体"/>
                <w:sz w:val="24"/>
              </w:rPr>
              <w:t>3</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2D3AB22E">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3FD25A77">
            <w:pPr>
              <w:spacing w:line="360" w:lineRule="auto"/>
              <w:ind w:left="1200" w:hanging="1200" w:hangingChars="500"/>
              <w:rPr>
                <w:rFonts w:cs="宋体"/>
                <w:sz w:val="24"/>
              </w:rPr>
            </w:pPr>
            <w:r>
              <w:rPr>
                <w:rFonts w:hint="eastAsia" w:cs="宋体"/>
                <w:sz w:val="24"/>
              </w:rPr>
              <w:t>投标报价超过最高限价，其投标无效。</w:t>
            </w:r>
          </w:p>
          <w:p w14:paraId="03E55336">
            <w:pPr>
              <w:spacing w:line="360" w:lineRule="auto"/>
              <w:ind w:left="1200" w:hanging="1200" w:hangingChars="500"/>
              <w:rPr>
                <w:rFonts w:cs="宋体"/>
                <w:sz w:val="24"/>
              </w:rPr>
            </w:pPr>
            <w:r>
              <w:rPr>
                <w:rFonts w:hint="eastAsia" w:cs="宋体"/>
                <w:sz w:val="24"/>
              </w:rPr>
              <w:sym w:font="Wingdings 2" w:char="0052"/>
            </w:r>
            <w:r>
              <w:rPr>
                <w:rFonts w:hint="eastAsia" w:cs="宋体"/>
                <w:sz w:val="24"/>
              </w:rPr>
              <w:t>本合同包的采购预算：</w:t>
            </w:r>
            <w:r>
              <w:rPr>
                <w:rFonts w:hint="eastAsia" w:cs="宋体"/>
                <w:sz w:val="24"/>
                <w:szCs w:val="24"/>
              </w:rPr>
              <w:t>详见“第四章 招标内容及要求”</w:t>
            </w:r>
            <w:r>
              <w:rPr>
                <w:rFonts w:hint="eastAsia" w:cs="宋体"/>
                <w:sz w:val="24"/>
              </w:rPr>
              <w:t>；</w:t>
            </w:r>
          </w:p>
        </w:tc>
      </w:tr>
      <w:tr w14:paraId="2655B0F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499"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5323883C">
            <w:pPr>
              <w:spacing w:line="360" w:lineRule="auto"/>
              <w:jc w:val="center"/>
              <w:rPr>
                <w:rFonts w:cs="宋体"/>
                <w:sz w:val="24"/>
              </w:rPr>
            </w:pPr>
            <w:r>
              <w:rPr>
                <w:rFonts w:hint="eastAsia" w:cs="宋体"/>
                <w:sz w:val="24"/>
              </w:rPr>
              <w:t>4</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152E3B71">
            <w:pPr>
              <w:spacing w:line="360" w:lineRule="auto"/>
              <w:jc w:val="center"/>
              <w:rPr>
                <w:rFonts w:cs="宋体"/>
                <w:sz w:val="24"/>
              </w:rPr>
            </w:pPr>
            <w:r>
              <w:rPr>
                <w:rFonts w:hint="eastAsia" w:cs="宋体"/>
                <w:sz w:val="24"/>
              </w:rPr>
              <w:t>3</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29AB2921">
            <w:pPr>
              <w:spacing w:line="360" w:lineRule="auto"/>
              <w:rPr>
                <w:rFonts w:cs="宋体"/>
                <w:sz w:val="24"/>
              </w:rPr>
            </w:pPr>
            <w:r>
              <w:rPr>
                <w:rFonts w:hint="eastAsia" w:cs="宋体"/>
                <w:sz w:val="24"/>
              </w:rPr>
              <w:t>资格标准：详见《第三章  评标办法》的“附表1：资格审查表”</w:t>
            </w:r>
          </w:p>
        </w:tc>
      </w:tr>
      <w:tr w14:paraId="5D70DF1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4073466E">
            <w:pPr>
              <w:spacing w:line="360" w:lineRule="auto"/>
              <w:jc w:val="center"/>
              <w:rPr>
                <w:rFonts w:cs="宋体"/>
                <w:sz w:val="24"/>
              </w:rPr>
            </w:pPr>
            <w:r>
              <w:rPr>
                <w:rFonts w:hint="eastAsia" w:cs="宋体"/>
                <w:sz w:val="24"/>
              </w:rPr>
              <w:t>5</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2161BB1C">
            <w:pPr>
              <w:spacing w:line="360" w:lineRule="auto"/>
              <w:jc w:val="center"/>
              <w:rPr>
                <w:rFonts w:cs="宋体"/>
                <w:sz w:val="24"/>
              </w:rPr>
            </w:pPr>
            <w:r>
              <w:rPr>
                <w:rFonts w:hint="eastAsia" w:cs="宋体"/>
                <w:sz w:val="24"/>
              </w:rPr>
              <w:t>8.3</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3D53F026">
            <w:pPr>
              <w:spacing w:line="360" w:lineRule="auto"/>
              <w:ind w:left="1200" w:hanging="1200" w:hangingChars="500"/>
              <w:rPr>
                <w:rFonts w:cs="宋体"/>
                <w:sz w:val="24"/>
              </w:rPr>
            </w:pPr>
            <w:r>
              <w:rPr>
                <w:rFonts w:hint="eastAsia" w:cs="宋体"/>
                <w:sz w:val="24"/>
              </w:rPr>
              <w:t>是否允许中标人将本项目的非主体、非关键性工作进行分包：</w:t>
            </w:r>
          </w:p>
          <w:p w14:paraId="5830A683">
            <w:pPr>
              <w:spacing w:line="360" w:lineRule="auto"/>
              <w:ind w:left="1205" w:hanging="1205" w:hangingChars="500"/>
              <w:rPr>
                <w:rFonts w:cs="宋体"/>
                <w:sz w:val="24"/>
              </w:rPr>
            </w:pPr>
            <w:r>
              <w:rPr>
                <w:rFonts w:hint="eastAsia" w:cs="宋体"/>
                <w:b/>
                <w:bCs/>
                <w:sz w:val="24"/>
                <w:u w:val="single"/>
              </w:rPr>
              <w:t>不允许</w:t>
            </w:r>
          </w:p>
        </w:tc>
      </w:tr>
      <w:tr w14:paraId="7AC72524">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468"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4E2B0D42">
            <w:pPr>
              <w:spacing w:line="360" w:lineRule="auto"/>
              <w:jc w:val="center"/>
              <w:rPr>
                <w:rFonts w:cs="宋体"/>
                <w:sz w:val="24"/>
              </w:rPr>
            </w:pPr>
            <w:r>
              <w:rPr>
                <w:rFonts w:hint="eastAsia" w:cs="宋体"/>
                <w:sz w:val="24"/>
              </w:rPr>
              <w:t>6</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64A874A4">
            <w:pPr>
              <w:spacing w:line="360" w:lineRule="auto"/>
              <w:jc w:val="center"/>
              <w:rPr>
                <w:rFonts w:cs="宋体"/>
                <w:sz w:val="24"/>
              </w:rPr>
            </w:pPr>
            <w:r>
              <w:rPr>
                <w:rFonts w:hint="eastAsia" w:cs="宋体"/>
                <w:sz w:val="24"/>
              </w:rPr>
              <w:t>11.1</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2D8FA559">
            <w:pPr>
              <w:spacing w:line="360" w:lineRule="auto"/>
              <w:rPr>
                <w:rFonts w:cs="宋体"/>
                <w:sz w:val="24"/>
              </w:rPr>
            </w:pPr>
            <w:r>
              <w:rPr>
                <w:rFonts w:hint="eastAsia" w:cs="宋体"/>
                <w:sz w:val="24"/>
              </w:rPr>
              <w:t xml:space="preserve">投标有效期：投标截止之日后 </w:t>
            </w:r>
            <w:r>
              <w:rPr>
                <w:rFonts w:hint="eastAsia" w:cs="宋体"/>
                <w:sz w:val="24"/>
                <w:u w:val="single"/>
              </w:rPr>
              <w:t>90个日历日</w:t>
            </w:r>
            <w:r>
              <w:rPr>
                <w:rFonts w:hint="eastAsia" w:cs="宋体"/>
                <w:sz w:val="24"/>
              </w:rPr>
              <w:t xml:space="preserve">内保持有效。投标有效期不足的，将导致其投标无效。投标有效期内投标人撤销投标文件的，投标保证金不予退还。         </w:t>
            </w:r>
          </w:p>
        </w:tc>
      </w:tr>
      <w:tr w14:paraId="1C374D3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4375"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44E8BFCD">
            <w:pPr>
              <w:spacing w:line="360" w:lineRule="auto"/>
              <w:jc w:val="center"/>
              <w:rPr>
                <w:rFonts w:cs="宋体"/>
                <w:sz w:val="24"/>
              </w:rPr>
            </w:pPr>
            <w:r>
              <w:rPr>
                <w:rFonts w:hint="eastAsia" w:cs="宋体"/>
                <w:sz w:val="24"/>
              </w:rPr>
              <w:t>7</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301300B4">
            <w:pPr>
              <w:spacing w:line="360" w:lineRule="auto"/>
              <w:jc w:val="center"/>
              <w:rPr>
                <w:rFonts w:cs="宋体"/>
                <w:sz w:val="24"/>
              </w:rPr>
            </w:pPr>
            <w:r>
              <w:rPr>
                <w:rFonts w:hint="eastAsia" w:cs="宋体"/>
                <w:sz w:val="24"/>
              </w:rPr>
              <w:t>12.1</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640EBC13">
            <w:pPr>
              <w:spacing w:line="360" w:lineRule="auto"/>
              <w:rPr>
                <w:rFonts w:cs="宋体"/>
              </w:rPr>
            </w:pPr>
            <w:r>
              <w:rPr>
                <w:rFonts w:hint="eastAsia" w:cs="宋体"/>
                <w:sz w:val="24"/>
                <w:szCs w:val="24"/>
              </w:rPr>
              <w:t>1、投标保证金金额：人民币</w:t>
            </w:r>
            <w:r>
              <w:rPr>
                <w:rFonts w:hint="eastAsia" w:cs="宋体"/>
                <w:sz w:val="24"/>
                <w:szCs w:val="24"/>
                <w:u w:val="single"/>
              </w:rPr>
              <w:t>10</w:t>
            </w:r>
            <w:r>
              <w:rPr>
                <w:rFonts w:hint="eastAsia" w:cs="宋体"/>
                <w:color w:val="000000" w:themeColor="text1"/>
                <w:sz w:val="24"/>
                <w:szCs w:val="24"/>
                <w14:textFill>
                  <w14:solidFill>
                    <w14:schemeClr w14:val="tx1"/>
                  </w14:solidFill>
                </w14:textFill>
              </w:rPr>
              <w:t>万</w:t>
            </w:r>
            <w:r>
              <w:rPr>
                <w:rFonts w:hint="eastAsia" w:cs="宋体"/>
                <w:sz w:val="24"/>
                <w:szCs w:val="24"/>
              </w:rPr>
              <w:t>元整。</w:t>
            </w:r>
          </w:p>
          <w:p w14:paraId="24521812">
            <w:pPr>
              <w:spacing w:line="360" w:lineRule="auto"/>
              <w:rPr>
                <w:rFonts w:cs="宋体"/>
                <w:sz w:val="24"/>
                <w:szCs w:val="24"/>
              </w:rPr>
            </w:pPr>
            <w:r>
              <w:rPr>
                <w:rFonts w:hint="eastAsia" w:cs="宋体"/>
                <w:sz w:val="24"/>
                <w:szCs w:val="24"/>
              </w:rPr>
              <w:t>2、投标保证金形式：投标人所在地银行的投标人企业基本账户以电汇或银行转账的形式。</w:t>
            </w:r>
          </w:p>
          <w:p w14:paraId="7C7224FB">
            <w:pPr>
              <w:spacing w:line="360" w:lineRule="auto"/>
              <w:rPr>
                <w:rFonts w:cs="宋体"/>
                <w:b/>
                <w:bCs/>
                <w:sz w:val="24"/>
                <w:szCs w:val="24"/>
              </w:rPr>
            </w:pPr>
            <w:r>
              <w:rPr>
                <w:rFonts w:hint="eastAsia" w:cs="宋体"/>
                <w:sz w:val="24"/>
                <w:szCs w:val="24"/>
              </w:rPr>
              <w:t>3、投标保证金的递交截止时间为：投标截止时间之前转到招标文件指定账户（可提前）。投标保证金的递交截止时间之后到账的投标保证金无效，视为该投标人未提交投标保证金。</w:t>
            </w:r>
          </w:p>
          <w:p w14:paraId="4201A519">
            <w:pPr>
              <w:spacing w:line="360" w:lineRule="auto"/>
              <w:rPr>
                <w:rFonts w:cs="宋体"/>
                <w:sz w:val="24"/>
                <w:szCs w:val="24"/>
              </w:rPr>
            </w:pPr>
            <w:r>
              <w:rPr>
                <w:rFonts w:hint="eastAsia" w:cs="宋体"/>
                <w:sz w:val="24"/>
                <w:szCs w:val="24"/>
              </w:rPr>
              <w:t>4、投标保证金证明材料提交形式：将电汇、银行转账单凭证的复印件作为资格文件的组成部分。</w:t>
            </w:r>
          </w:p>
          <w:p w14:paraId="542789EC">
            <w:pPr>
              <w:spacing w:line="360" w:lineRule="auto"/>
              <w:rPr>
                <w:rFonts w:cs="宋体"/>
                <w:sz w:val="24"/>
                <w:szCs w:val="24"/>
              </w:rPr>
            </w:pPr>
            <w:r>
              <w:rPr>
                <w:rFonts w:hint="eastAsia" w:cs="宋体"/>
                <w:sz w:val="24"/>
                <w:szCs w:val="24"/>
              </w:rPr>
              <w:t>5、投标保证金有效期：与投标有效期一致。</w:t>
            </w:r>
          </w:p>
          <w:p w14:paraId="0BE2F469">
            <w:pPr>
              <w:spacing w:line="360" w:lineRule="auto"/>
              <w:rPr>
                <w:rFonts w:cs="宋体"/>
                <w:sz w:val="24"/>
                <w:szCs w:val="24"/>
              </w:rPr>
            </w:pPr>
            <w:r>
              <w:rPr>
                <w:rFonts w:hint="eastAsia" w:cs="宋体"/>
                <w:sz w:val="24"/>
                <w:szCs w:val="24"/>
              </w:rPr>
              <w:t>6、投标保证金金额为“0”的，视为</w:t>
            </w:r>
            <w:r>
              <w:rPr>
                <w:rFonts w:hint="eastAsia" w:cs="宋体"/>
                <w:color w:val="FF0000"/>
                <w:sz w:val="24"/>
                <w:szCs w:val="24"/>
              </w:rPr>
              <w:t>不按要求</w:t>
            </w:r>
            <w:r>
              <w:rPr>
                <w:rFonts w:hint="eastAsia" w:cs="宋体"/>
                <w:sz w:val="24"/>
                <w:szCs w:val="24"/>
              </w:rPr>
              <w:t>提交投标保证金。</w:t>
            </w:r>
          </w:p>
          <w:p w14:paraId="1CC7132C">
            <w:pPr>
              <w:spacing w:line="360" w:lineRule="auto"/>
              <w:rPr>
                <w:rFonts w:cs="宋体"/>
                <w:sz w:val="24"/>
                <w:szCs w:val="24"/>
              </w:rPr>
            </w:pPr>
            <w:r>
              <w:rPr>
                <w:rFonts w:hint="eastAsia" w:cs="宋体"/>
                <w:sz w:val="24"/>
                <w:szCs w:val="24"/>
              </w:rPr>
              <w:t>7、可以不予退还投标保证金的情形：（1）除不可抗力外，投标人在投标截止时间后至投标有效期截止前撤销、撤回或修改其投标文件的；（2）中标通知书发出后，中标人放弃中标项目的，无正当理由不与招标人签订合同的，或在签订合同同时向招标人提出附加条件或者更改合同实质性内容的。（3）投标人提交了虚假材料或伪造材料的。（4）法律法规规定的可以没收投标保证金的情形，或者存在违反相关法律、法规的情形。（5）被相关主管部门认定为可没收投标保证金的情形。（6）招标文件规定的没收投标保证金的情形。</w:t>
            </w:r>
          </w:p>
        </w:tc>
      </w:tr>
      <w:tr w14:paraId="17BB36C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2437"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1099DC5F">
            <w:pPr>
              <w:spacing w:line="360" w:lineRule="auto"/>
              <w:jc w:val="center"/>
              <w:rPr>
                <w:rFonts w:cs="宋体"/>
                <w:sz w:val="24"/>
              </w:rPr>
            </w:pPr>
            <w:r>
              <w:rPr>
                <w:rFonts w:hint="eastAsia" w:cs="宋体"/>
                <w:sz w:val="24"/>
              </w:rPr>
              <w:t>8</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79A7F47C">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3B5B404B">
            <w:pPr>
              <w:spacing w:line="360" w:lineRule="auto"/>
              <w:rPr>
                <w:rFonts w:cs="宋体"/>
                <w:sz w:val="24"/>
                <w:szCs w:val="24"/>
              </w:rPr>
            </w:pPr>
            <w:r>
              <w:rPr>
                <w:rFonts w:hint="eastAsia" w:cs="宋体"/>
                <w:sz w:val="24"/>
                <w:szCs w:val="24"/>
              </w:rPr>
              <w:t>递交疑问或异议的方式：</w:t>
            </w:r>
          </w:p>
          <w:p w14:paraId="36BE51D7">
            <w:pPr>
              <w:spacing w:line="360" w:lineRule="auto"/>
              <w:rPr>
                <w:rFonts w:cs="宋体"/>
                <w:sz w:val="24"/>
                <w:szCs w:val="24"/>
              </w:rPr>
            </w:pPr>
            <w:r>
              <w:rPr>
                <w:rFonts w:hint="eastAsia" w:cs="宋体"/>
                <w:sz w:val="24"/>
                <w:szCs w:val="24"/>
                <w:u w:val="single"/>
              </w:rPr>
              <w:t>①</w:t>
            </w:r>
            <w:r>
              <w:rPr>
                <w:rFonts w:hint="eastAsia" w:cs="宋体"/>
                <w:sz w:val="24"/>
                <w:szCs w:val="24"/>
              </w:rPr>
              <w:t>提出异议的时间：投标截止时间十日之前</w:t>
            </w:r>
          </w:p>
          <w:p w14:paraId="3E5681B8">
            <w:pPr>
              <w:spacing w:line="360" w:lineRule="auto"/>
              <w:rPr>
                <w:rFonts w:cs="宋体"/>
                <w:sz w:val="24"/>
                <w:szCs w:val="24"/>
              </w:rPr>
            </w:pPr>
            <w:r>
              <w:rPr>
                <w:rFonts w:hint="eastAsia" w:cs="宋体"/>
                <w:sz w:val="24"/>
                <w:szCs w:val="24"/>
                <w:u w:val="single"/>
              </w:rPr>
              <w:t>②</w:t>
            </w:r>
            <w:r>
              <w:rPr>
                <w:rFonts w:hint="eastAsia" w:cs="宋体"/>
                <w:sz w:val="24"/>
                <w:szCs w:val="24"/>
              </w:rPr>
              <w:t>异议递交形式：将加盖投标人公章的疑问或质疑异议函扫描件，以邮件形式发送至</w:t>
            </w:r>
            <w:r>
              <w:rPr>
                <w:rFonts w:cs="宋体"/>
                <w:sz w:val="24"/>
              </w:rPr>
              <w:t>XGSZZB@163.com</w:t>
            </w:r>
            <w:r>
              <w:rPr>
                <w:rFonts w:hint="eastAsia" w:cs="宋体"/>
                <w:sz w:val="24"/>
                <w:szCs w:val="24"/>
              </w:rPr>
              <w:t>。注：疑问或质异议递交后，请电话联系项目经办人，以确认函件及相关资料是否送达。</w:t>
            </w:r>
          </w:p>
        </w:tc>
      </w:tr>
      <w:tr w14:paraId="49ECDE9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499"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043230D7">
            <w:pPr>
              <w:spacing w:line="360" w:lineRule="auto"/>
              <w:jc w:val="center"/>
              <w:rPr>
                <w:rFonts w:cs="宋体"/>
                <w:sz w:val="24"/>
              </w:rPr>
            </w:pPr>
            <w:r>
              <w:rPr>
                <w:rFonts w:hint="eastAsia" w:cs="宋体"/>
                <w:sz w:val="24"/>
              </w:rPr>
              <w:t>9</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14885DD5">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tcPr>
          <w:p w14:paraId="4E8470EC">
            <w:pPr>
              <w:spacing w:line="360" w:lineRule="auto"/>
              <w:rPr>
                <w:rFonts w:cs="宋体"/>
                <w:sz w:val="24"/>
              </w:rPr>
            </w:pPr>
            <w:r>
              <w:rPr>
                <w:rFonts w:hint="eastAsia" w:cs="宋体"/>
                <w:sz w:val="24"/>
              </w:rPr>
              <w:t>评标方法、标准及定标原则：详见“第三章  评标办法”。</w:t>
            </w:r>
          </w:p>
        </w:tc>
      </w:tr>
      <w:tr w14:paraId="34648E6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1F23D398">
            <w:pPr>
              <w:spacing w:line="360" w:lineRule="auto"/>
              <w:jc w:val="center"/>
              <w:rPr>
                <w:rFonts w:cs="宋体"/>
                <w:sz w:val="24"/>
              </w:rPr>
            </w:pPr>
            <w:r>
              <w:rPr>
                <w:rFonts w:hint="eastAsia" w:cs="宋体"/>
                <w:sz w:val="24"/>
              </w:rPr>
              <w:t>1</w:t>
            </w:r>
            <w:r>
              <w:rPr>
                <w:rFonts w:cs="宋体"/>
                <w:sz w:val="24"/>
              </w:rPr>
              <w:t>0</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3C79436A">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131C0124">
            <w:pPr>
              <w:spacing w:line="360" w:lineRule="auto"/>
              <w:rPr>
                <w:rFonts w:cs="宋体"/>
                <w:sz w:val="24"/>
                <w:szCs w:val="24"/>
              </w:rPr>
            </w:pPr>
            <w:r>
              <w:rPr>
                <w:rFonts w:hint="eastAsia" w:cs="宋体"/>
                <w:sz w:val="24"/>
                <w:szCs w:val="24"/>
              </w:rPr>
              <w:t>投标方在投标前，应仔细研究招标方提供的有关技术资料，如有必要可到现场实地查看工程现场，充分估计工程量。</w:t>
            </w:r>
          </w:p>
        </w:tc>
      </w:tr>
      <w:tr w14:paraId="03C8E69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5407"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10B8EF53">
            <w:pPr>
              <w:spacing w:line="360" w:lineRule="auto"/>
              <w:jc w:val="center"/>
              <w:rPr>
                <w:rFonts w:cs="宋体"/>
                <w:sz w:val="24"/>
              </w:rPr>
            </w:pPr>
            <w:r>
              <w:rPr>
                <w:rFonts w:hint="eastAsia" w:cs="宋体"/>
                <w:sz w:val="24"/>
              </w:rPr>
              <w:t>1</w:t>
            </w:r>
            <w:r>
              <w:rPr>
                <w:rFonts w:cs="宋体"/>
                <w:sz w:val="24"/>
              </w:rPr>
              <w:t>1</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21C20311">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2AFC7AB2">
            <w:pPr>
              <w:spacing w:line="360" w:lineRule="auto"/>
              <w:rPr>
                <w:rFonts w:cs="宋体"/>
                <w:b/>
                <w:bCs/>
                <w:sz w:val="24"/>
                <w:szCs w:val="24"/>
              </w:rPr>
            </w:pPr>
            <w:r>
              <w:rPr>
                <w:rFonts w:hint="eastAsia" w:cs="宋体"/>
                <w:sz w:val="24"/>
                <w:szCs w:val="24"/>
              </w:rPr>
              <w:t>其他补充事项：(1)投标人必须对其投标文件中提供各种资料、说明、承诺的真实性、准确性和完整性负责。招标人有权在评标过程中或签订合同之前对投标人投标文件中的各种资料、说明、承诺的真实性进行核查，投标人应无条件配合招标人的核查工作，不得托词拒绝核查或隐瞒真实情况。若在评标过程中，发现投标人有为谋取中标而提供虚假资料和承诺欺骗招标人和评委的行为，将取消其中标资格，其投标保证金将不予退还。若在中标后或签约前或执行合同过程中发现有为谋取中标而提供虚假资料和承诺欺骗招标人和评委的行为，招标人将取消其中标资格或单方面解除合同，同时根据具体实际情况，其投标保证金将不予退还，归招标人所有。给招标人和招标代理机构造成损失的，还必须进行赔偿并负相关责任。</w:t>
            </w:r>
          </w:p>
          <w:p w14:paraId="32FBB823">
            <w:pPr>
              <w:spacing w:line="360" w:lineRule="auto"/>
              <w:rPr>
                <w:rFonts w:cs="宋体"/>
                <w:sz w:val="24"/>
                <w:szCs w:val="24"/>
              </w:rPr>
            </w:pPr>
            <w:r>
              <w:rPr>
                <w:rFonts w:hint="eastAsia" w:cs="宋体"/>
                <w:sz w:val="24"/>
                <w:szCs w:val="24"/>
              </w:rPr>
              <w:t>（2）投标人中标后，如果不按规定与招标人签订合同或者签订合同后不履行其投标承诺或者其它由于中标人自身原因造成无法履行合同的，均视为中标人违约，招标人将取消其中标资格，如果已经签订合同的则合同自动终止。同时根据具体实际情况，该中标人的投标保证金将不予退还，归招标人所有。给招标人和招标代理机构造成损失的，还必须进行赔偿。招标人将根据具体实际情况，有权按照中标候选人排序依法递补中标人并按相同标准和要求签订合同，以此类推。</w:t>
            </w:r>
          </w:p>
          <w:p w14:paraId="7DD3D667">
            <w:pPr>
              <w:spacing w:line="360" w:lineRule="auto"/>
              <w:rPr>
                <w:rFonts w:cs="宋体"/>
                <w:sz w:val="24"/>
                <w:szCs w:val="24"/>
              </w:rPr>
            </w:pPr>
            <w:r>
              <w:rPr>
                <w:rFonts w:hint="eastAsia" w:cs="宋体"/>
                <w:sz w:val="24"/>
                <w:szCs w:val="24"/>
              </w:rPr>
              <w:t>(3)本项目不组织标前会及现场踏勘标前会，投标人可自行前往现场踏勘。</w:t>
            </w:r>
          </w:p>
          <w:p w14:paraId="42D51665">
            <w:pPr>
              <w:spacing w:line="360" w:lineRule="auto"/>
              <w:rPr>
                <w:rFonts w:cs="宋体"/>
                <w:sz w:val="22"/>
              </w:rPr>
            </w:pPr>
            <w:r>
              <w:rPr>
                <w:rFonts w:hint="eastAsia" w:cs="宋体"/>
                <w:sz w:val="24"/>
                <w:szCs w:val="24"/>
              </w:rPr>
              <w:t>(4)招标文件的解释权归属招标方。</w:t>
            </w:r>
          </w:p>
        </w:tc>
      </w:tr>
      <w:tr w14:paraId="0615C79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5407" w:hRule="atLeast"/>
          <w:jc w:val="center"/>
        </w:trPr>
        <w:tc>
          <w:tcPr>
            <w:tcW w:w="849" w:type="dxa"/>
            <w:tcBorders>
              <w:top w:val="single" w:color="auto" w:sz="6" w:space="0"/>
              <w:left w:val="thinThickSmallGap" w:color="auto" w:sz="12" w:space="0"/>
              <w:bottom w:val="thickThinSmallGap" w:color="auto" w:sz="12" w:space="0"/>
              <w:right w:val="single" w:color="auto" w:sz="6" w:space="0"/>
            </w:tcBorders>
            <w:tcMar>
              <w:top w:w="0" w:type="dxa"/>
              <w:left w:w="108" w:type="dxa"/>
              <w:bottom w:w="0" w:type="dxa"/>
              <w:right w:w="108" w:type="dxa"/>
            </w:tcMar>
            <w:vAlign w:val="center"/>
          </w:tcPr>
          <w:p w14:paraId="4D43677A">
            <w:pPr>
              <w:spacing w:line="360" w:lineRule="auto"/>
              <w:jc w:val="center"/>
              <w:rPr>
                <w:rFonts w:cs="宋体"/>
                <w:sz w:val="24"/>
              </w:rPr>
            </w:pPr>
            <w:r>
              <w:rPr>
                <w:rFonts w:hint="eastAsia" w:cs="宋体"/>
                <w:sz w:val="24"/>
              </w:rPr>
              <w:t>12</w:t>
            </w:r>
          </w:p>
        </w:tc>
        <w:tc>
          <w:tcPr>
            <w:tcW w:w="1030" w:type="dxa"/>
            <w:tcBorders>
              <w:top w:val="single" w:color="auto" w:sz="6" w:space="0"/>
              <w:left w:val="single" w:color="auto" w:sz="6" w:space="0"/>
              <w:bottom w:val="thickThinSmallGap" w:color="auto" w:sz="12" w:space="0"/>
              <w:right w:val="single" w:color="auto" w:sz="6" w:space="0"/>
            </w:tcBorders>
            <w:tcMar>
              <w:top w:w="0" w:type="dxa"/>
              <w:left w:w="108" w:type="dxa"/>
              <w:bottom w:w="0" w:type="dxa"/>
              <w:right w:w="108" w:type="dxa"/>
            </w:tcMar>
            <w:vAlign w:val="center"/>
          </w:tcPr>
          <w:p w14:paraId="2DE5A2BD">
            <w:pPr>
              <w:spacing w:line="360" w:lineRule="auto"/>
              <w:jc w:val="center"/>
              <w:rPr>
                <w:rFonts w:cs="宋体"/>
                <w:sz w:val="24"/>
              </w:rPr>
            </w:pPr>
          </w:p>
        </w:tc>
        <w:tc>
          <w:tcPr>
            <w:tcW w:w="7081" w:type="dxa"/>
            <w:tcBorders>
              <w:top w:val="single" w:color="auto" w:sz="6" w:space="0"/>
              <w:left w:val="single" w:color="auto" w:sz="6" w:space="0"/>
              <w:bottom w:val="thickThinSmallGap" w:color="auto" w:sz="12" w:space="0"/>
              <w:right w:val="thickThinSmallGap" w:color="auto" w:sz="12" w:space="0"/>
            </w:tcBorders>
            <w:tcMar>
              <w:top w:w="0" w:type="dxa"/>
              <w:left w:w="108" w:type="dxa"/>
              <w:bottom w:w="0" w:type="dxa"/>
              <w:right w:w="108" w:type="dxa"/>
            </w:tcMar>
            <w:vAlign w:val="center"/>
          </w:tcPr>
          <w:p w14:paraId="5DA10A52">
            <w:pPr>
              <w:spacing w:line="360" w:lineRule="auto"/>
              <w:rPr>
                <w:rFonts w:cs="宋体"/>
                <w:sz w:val="24"/>
                <w:szCs w:val="24"/>
              </w:rPr>
            </w:pPr>
            <w:r>
              <w:rPr>
                <w:rFonts w:ascii="宋体" w:hAnsi="宋体" w:cs="宋体"/>
                <w:sz w:val="24"/>
                <w:szCs w:val="24"/>
              </w:rPr>
              <w:t>评标期间，所有参与本项目的投标单位须</w:t>
            </w:r>
            <w:r>
              <w:rPr>
                <w:rFonts w:hint="eastAsia" w:ascii="宋体" w:hAnsi="宋体" w:cs="宋体"/>
                <w:sz w:val="24"/>
                <w:szCs w:val="24"/>
              </w:rPr>
              <w:t>派拟委任本项目的项目经理</w:t>
            </w:r>
            <w:r>
              <w:rPr>
                <w:rFonts w:ascii="宋体" w:hAnsi="宋体" w:cs="宋体"/>
                <w:sz w:val="24"/>
                <w:szCs w:val="24"/>
              </w:rPr>
              <w:t>至评标现场，针对</w:t>
            </w:r>
            <w:r>
              <w:rPr>
                <w:rFonts w:hint="eastAsia" w:ascii="宋体" w:hAnsi="宋体" w:cs="宋体"/>
                <w:sz w:val="24"/>
                <w:szCs w:val="24"/>
              </w:rPr>
              <w:t>项目实施方案，实施计划和实施团队</w:t>
            </w:r>
            <w:r>
              <w:rPr>
                <w:rFonts w:ascii="宋体" w:hAnsi="宋体" w:cs="宋体"/>
                <w:sz w:val="24"/>
                <w:szCs w:val="24"/>
              </w:rPr>
              <w:t>开展现场汇报，</w:t>
            </w:r>
            <w:r>
              <w:rPr>
                <w:rFonts w:hint="eastAsia" w:ascii="宋体" w:hAnsi="宋体" w:cs="宋体"/>
                <w:sz w:val="24"/>
                <w:szCs w:val="24"/>
              </w:rPr>
              <w:t>汇报时长限时20分钟。</w:t>
            </w:r>
          </w:p>
        </w:tc>
      </w:tr>
    </w:tbl>
    <w:p w14:paraId="0C963FCD">
      <w:pPr>
        <w:pStyle w:val="3"/>
        <w:spacing w:before="0" w:after="0" w:line="360" w:lineRule="auto"/>
        <w:jc w:val="center"/>
        <w:rPr>
          <w:rFonts w:hint="eastAsia" w:ascii="宋体" w:hAnsi="宋体"/>
          <w:sz w:val="28"/>
          <w:szCs w:val="28"/>
        </w:rPr>
      </w:pPr>
      <w:bookmarkStart w:id="67" w:name="_Toc476128895"/>
      <w:bookmarkEnd w:id="67"/>
      <w:bookmarkStart w:id="68" w:name="_Toc23026"/>
      <w:bookmarkEnd w:id="68"/>
      <w:bookmarkStart w:id="69" w:name="_Toc398284535"/>
      <w:bookmarkEnd w:id="69"/>
      <w:bookmarkStart w:id="70" w:name="_Toc398504591"/>
      <w:bookmarkEnd w:id="70"/>
      <w:bookmarkStart w:id="71" w:name="_Toc8306"/>
      <w:bookmarkEnd w:id="71"/>
      <w:bookmarkStart w:id="72" w:name="_Toc18358"/>
      <w:bookmarkEnd w:id="72"/>
      <w:bookmarkStart w:id="73" w:name="_Toc19832"/>
      <w:bookmarkEnd w:id="73"/>
      <w:bookmarkStart w:id="74" w:name="_Toc8762"/>
      <w:bookmarkEnd w:id="74"/>
      <w:bookmarkStart w:id="75" w:name="_Toc22927"/>
      <w:bookmarkEnd w:id="75"/>
      <w:bookmarkStart w:id="76" w:name="_Toc32300"/>
      <w:bookmarkEnd w:id="76"/>
      <w:bookmarkStart w:id="77" w:name="_Toc422946677"/>
      <w:bookmarkEnd w:id="77"/>
      <w:bookmarkStart w:id="78" w:name="_Toc22409_WPSOffice_Level2"/>
      <w:r>
        <w:rPr>
          <w:rFonts w:hint="eastAsia" w:ascii="宋体" w:hAnsi="宋体"/>
          <w:sz w:val="28"/>
          <w:szCs w:val="28"/>
        </w:rPr>
        <w:br w:type="page"/>
      </w:r>
      <w:bookmarkEnd w:id="78"/>
      <w:bookmarkStart w:id="79" w:name="_Toc19532"/>
      <w:bookmarkEnd w:id="79"/>
      <w:bookmarkStart w:id="80" w:name="_Toc422946678"/>
      <w:bookmarkEnd w:id="80"/>
      <w:bookmarkStart w:id="81" w:name="_Toc22181"/>
      <w:bookmarkEnd w:id="81"/>
      <w:bookmarkStart w:id="82" w:name="_Toc5443"/>
      <w:bookmarkEnd w:id="82"/>
      <w:bookmarkStart w:id="83" w:name="_Toc633"/>
      <w:bookmarkEnd w:id="83"/>
      <w:bookmarkStart w:id="84" w:name="_Toc10811"/>
      <w:bookmarkEnd w:id="84"/>
      <w:bookmarkStart w:id="85" w:name="_Toc32088"/>
      <w:bookmarkEnd w:id="85"/>
      <w:bookmarkStart w:id="86" w:name="_Toc8128"/>
      <w:bookmarkEnd w:id="86"/>
      <w:bookmarkStart w:id="87" w:name="_Toc3706"/>
      <w:bookmarkEnd w:id="87"/>
      <w:bookmarkStart w:id="88" w:name="_Toc476128896"/>
      <w:bookmarkEnd w:id="88"/>
      <w:bookmarkStart w:id="89" w:name="_Toc14302"/>
      <w:bookmarkEnd w:id="89"/>
      <w:bookmarkStart w:id="90" w:name="_Toc398284536"/>
      <w:bookmarkEnd w:id="90"/>
      <w:bookmarkStart w:id="91" w:name="_Toc19608"/>
      <w:bookmarkEnd w:id="91"/>
      <w:bookmarkStart w:id="92" w:name="_Toc35266718"/>
      <w:bookmarkEnd w:id="92"/>
      <w:bookmarkStart w:id="93" w:name="_Toc15827"/>
      <w:bookmarkEnd w:id="93"/>
      <w:bookmarkStart w:id="94" w:name="_Toc398504592"/>
      <w:bookmarkEnd w:id="94"/>
      <w:bookmarkStart w:id="95" w:name="_Toc16740"/>
      <w:bookmarkStart w:id="96" w:name="_Toc12600"/>
      <w:r>
        <w:rPr>
          <w:rFonts w:hint="eastAsia" w:ascii="宋体" w:hAnsi="宋体"/>
          <w:sz w:val="28"/>
          <w:szCs w:val="28"/>
        </w:rPr>
        <w:t>第一节  说  明</w:t>
      </w:r>
      <w:bookmarkEnd w:id="95"/>
      <w:bookmarkEnd w:id="96"/>
    </w:p>
    <w:p w14:paraId="7B1A5670">
      <w:pPr>
        <w:pStyle w:val="4"/>
        <w:numPr>
          <w:ilvl w:val="0"/>
          <w:numId w:val="3"/>
        </w:numPr>
        <w:tabs>
          <w:tab w:val="left" w:pos="720"/>
        </w:tabs>
        <w:spacing w:before="0" w:after="0" w:line="360" w:lineRule="auto"/>
        <w:ind w:left="720" w:hanging="360"/>
        <w:rPr>
          <w:rFonts w:hint="eastAsia" w:ascii="宋体" w:hAnsi="宋体" w:cs="宋体"/>
          <w:sz w:val="24"/>
          <w:szCs w:val="24"/>
        </w:rPr>
      </w:pPr>
      <w:bookmarkStart w:id="97" w:name="_Toc29682"/>
      <w:bookmarkStart w:id="98" w:name="_Toc19226"/>
      <w:r>
        <w:rPr>
          <w:rFonts w:hint="eastAsia" w:ascii="宋体" w:hAnsi="宋体" w:cs="宋体"/>
          <w:sz w:val="24"/>
          <w:szCs w:val="24"/>
        </w:rPr>
        <w:t>适用范围</w:t>
      </w:r>
      <w:bookmarkEnd w:id="97"/>
      <w:bookmarkEnd w:id="98"/>
    </w:p>
    <w:p w14:paraId="3C730504">
      <w:pPr>
        <w:numPr>
          <w:ilvl w:val="1"/>
          <w:numId w:val="3"/>
        </w:numPr>
        <w:spacing w:line="360" w:lineRule="auto"/>
        <w:ind w:firstLine="480" w:firstLineChars="200"/>
        <w:rPr>
          <w:rFonts w:cs="宋体"/>
          <w:sz w:val="24"/>
        </w:rPr>
      </w:pPr>
      <w:r>
        <w:rPr>
          <w:rFonts w:hint="eastAsia" w:cs="宋体"/>
          <w:sz w:val="24"/>
        </w:rPr>
        <w:t>本招标文件仅适用于投标邀请中所叙述项目的招标采购活动。</w:t>
      </w:r>
    </w:p>
    <w:p w14:paraId="23944DE3">
      <w:pPr>
        <w:pStyle w:val="4"/>
        <w:numPr>
          <w:ilvl w:val="0"/>
          <w:numId w:val="3"/>
        </w:numPr>
        <w:tabs>
          <w:tab w:val="left" w:pos="720"/>
        </w:tabs>
        <w:spacing w:before="0" w:after="0" w:line="360" w:lineRule="auto"/>
        <w:ind w:left="720" w:hanging="360"/>
        <w:rPr>
          <w:rFonts w:hint="eastAsia" w:ascii="宋体" w:hAnsi="宋体" w:cs="宋体"/>
          <w:sz w:val="24"/>
          <w:szCs w:val="24"/>
        </w:rPr>
      </w:pPr>
      <w:bookmarkStart w:id="99" w:name="_Toc12779"/>
      <w:bookmarkStart w:id="100" w:name="_Toc32545"/>
      <w:r>
        <w:rPr>
          <w:rFonts w:hint="eastAsia" w:ascii="宋体" w:hAnsi="宋体" w:cs="宋体"/>
          <w:sz w:val="24"/>
          <w:szCs w:val="24"/>
        </w:rPr>
        <w:t>定义</w:t>
      </w:r>
      <w:bookmarkEnd w:id="99"/>
      <w:bookmarkEnd w:id="100"/>
    </w:p>
    <w:p w14:paraId="0B7CB25E">
      <w:pPr>
        <w:numPr>
          <w:ilvl w:val="1"/>
          <w:numId w:val="3"/>
        </w:numPr>
        <w:spacing w:line="360" w:lineRule="auto"/>
        <w:ind w:firstLine="480" w:firstLineChars="200"/>
        <w:rPr>
          <w:rFonts w:cs="宋体"/>
          <w:sz w:val="24"/>
        </w:rPr>
      </w:pPr>
      <w:r>
        <w:rPr>
          <w:rFonts w:hint="eastAsia" w:cs="宋体"/>
          <w:sz w:val="24"/>
        </w:rPr>
        <w:t>“招标人”系指本次采购项目的业主方。</w:t>
      </w:r>
    </w:p>
    <w:p w14:paraId="49D37CC4">
      <w:pPr>
        <w:numPr>
          <w:ilvl w:val="1"/>
          <w:numId w:val="3"/>
        </w:numPr>
        <w:spacing w:line="360" w:lineRule="auto"/>
        <w:ind w:firstLine="480" w:firstLineChars="200"/>
        <w:rPr>
          <w:rFonts w:cs="宋体"/>
          <w:sz w:val="24"/>
        </w:rPr>
      </w:pPr>
      <w:r>
        <w:rPr>
          <w:rFonts w:hint="eastAsia" w:cs="宋体"/>
          <w:sz w:val="24"/>
        </w:rPr>
        <w:t>“招标采购单位”系指组织本次招标活动的招标人。</w:t>
      </w:r>
    </w:p>
    <w:p w14:paraId="51664305">
      <w:pPr>
        <w:numPr>
          <w:ilvl w:val="1"/>
          <w:numId w:val="3"/>
        </w:numPr>
        <w:spacing w:line="360" w:lineRule="auto"/>
        <w:ind w:firstLine="480" w:firstLineChars="200"/>
        <w:rPr>
          <w:rFonts w:cs="宋体"/>
          <w:sz w:val="24"/>
        </w:rPr>
      </w:pPr>
      <w:r>
        <w:rPr>
          <w:rFonts w:hint="eastAsia" w:cs="宋体"/>
          <w:sz w:val="24"/>
        </w:rPr>
        <w:t>“潜在投标人”系指按招标文件规定进行报名获取招标文件，其有意向参加本项目投标的供应商。</w:t>
      </w:r>
    </w:p>
    <w:p w14:paraId="5B25EC29">
      <w:pPr>
        <w:numPr>
          <w:ilvl w:val="1"/>
          <w:numId w:val="3"/>
        </w:numPr>
        <w:spacing w:line="360" w:lineRule="auto"/>
        <w:ind w:firstLine="480" w:firstLineChars="200"/>
        <w:rPr>
          <w:rFonts w:cs="宋体"/>
          <w:sz w:val="24"/>
        </w:rPr>
      </w:pPr>
      <w:r>
        <w:rPr>
          <w:rFonts w:hint="eastAsia" w:cs="宋体"/>
          <w:sz w:val="24"/>
        </w:rPr>
        <w:t>“投标人”系指按招标文件规定进行报名获取招标文件，并参加本项目投标的供应商。</w:t>
      </w:r>
    </w:p>
    <w:p w14:paraId="58E1B676">
      <w:pPr>
        <w:numPr>
          <w:ilvl w:val="1"/>
          <w:numId w:val="3"/>
        </w:numPr>
        <w:spacing w:line="360" w:lineRule="auto"/>
        <w:ind w:firstLine="480" w:firstLineChars="200"/>
        <w:rPr>
          <w:rFonts w:cs="宋体"/>
          <w:sz w:val="24"/>
        </w:rPr>
      </w:pPr>
      <w:r>
        <w:rPr>
          <w:rFonts w:hint="eastAsia" w:cs="宋体"/>
          <w:sz w:val="24"/>
        </w:rPr>
        <w:t>“单位负责人”指单位法定代表人或法律、法规规定代表单位行使职权的主要负责人</w:t>
      </w:r>
    </w:p>
    <w:p w14:paraId="6621B757">
      <w:pPr>
        <w:numPr>
          <w:ilvl w:val="1"/>
          <w:numId w:val="3"/>
        </w:numPr>
        <w:spacing w:line="360" w:lineRule="auto"/>
        <w:ind w:firstLine="480" w:firstLineChars="200"/>
        <w:rPr>
          <w:rFonts w:cs="宋体"/>
          <w:sz w:val="24"/>
        </w:rPr>
      </w:pPr>
      <w:r>
        <w:rPr>
          <w:rFonts w:hint="eastAsia" w:cs="宋体"/>
          <w:sz w:val="24"/>
        </w:rPr>
        <w:t>“投标人代表”指投标人的单位负责人或其授权书中载明的接受授权方。</w:t>
      </w:r>
    </w:p>
    <w:p w14:paraId="368362B7">
      <w:pPr>
        <w:pStyle w:val="4"/>
        <w:numPr>
          <w:ilvl w:val="0"/>
          <w:numId w:val="3"/>
        </w:numPr>
        <w:tabs>
          <w:tab w:val="left" w:pos="720"/>
        </w:tabs>
        <w:spacing w:before="0" w:after="0" w:line="360" w:lineRule="auto"/>
        <w:ind w:left="720" w:hanging="360"/>
        <w:rPr>
          <w:rFonts w:hint="eastAsia" w:ascii="宋体" w:hAnsi="宋体" w:cs="宋体"/>
          <w:sz w:val="24"/>
          <w:szCs w:val="24"/>
        </w:rPr>
      </w:pPr>
      <w:bookmarkStart w:id="101" w:name="_Toc21455"/>
      <w:bookmarkStart w:id="102" w:name="_Toc682"/>
      <w:r>
        <w:rPr>
          <w:rFonts w:hint="eastAsia" w:ascii="宋体" w:hAnsi="宋体" w:cs="宋体"/>
          <w:sz w:val="24"/>
          <w:szCs w:val="24"/>
        </w:rPr>
        <w:t>合格的投标人</w:t>
      </w:r>
      <w:bookmarkEnd w:id="101"/>
      <w:bookmarkEnd w:id="102"/>
    </w:p>
    <w:p w14:paraId="696EE5B6">
      <w:pPr>
        <w:numPr>
          <w:ilvl w:val="1"/>
          <w:numId w:val="3"/>
        </w:numPr>
        <w:spacing w:line="360" w:lineRule="auto"/>
        <w:ind w:firstLine="480" w:firstLineChars="200"/>
        <w:rPr>
          <w:rFonts w:cs="宋体"/>
          <w:sz w:val="24"/>
        </w:rPr>
      </w:pPr>
      <w:r>
        <w:rPr>
          <w:rFonts w:hint="eastAsia" w:cs="宋体"/>
          <w:sz w:val="24"/>
        </w:rPr>
        <w:t>一般规定</w:t>
      </w:r>
    </w:p>
    <w:p w14:paraId="5E6F7226">
      <w:pPr>
        <w:tabs>
          <w:tab w:val="left" w:pos="425"/>
          <w:tab w:val="left" w:pos="964"/>
        </w:tabs>
        <w:spacing w:line="360" w:lineRule="auto"/>
        <w:ind w:firstLine="420" w:firstLineChars="175"/>
        <w:rPr>
          <w:rFonts w:cs="宋体"/>
          <w:sz w:val="24"/>
        </w:rPr>
      </w:pPr>
      <w:r>
        <w:rPr>
          <w:rFonts w:hint="eastAsia" w:cs="宋体"/>
          <w:sz w:val="24"/>
        </w:rPr>
        <w:t>（1）投标人应遵守《中华人民共和国招标投标法》及其实施条例等有关规定，同时还应遵守有关法律、法规和规章的强制性规定。</w:t>
      </w:r>
    </w:p>
    <w:p w14:paraId="747AFF62">
      <w:pPr>
        <w:tabs>
          <w:tab w:val="left" w:pos="425"/>
          <w:tab w:val="left" w:pos="964"/>
        </w:tabs>
        <w:spacing w:line="360" w:lineRule="auto"/>
        <w:ind w:firstLine="420" w:firstLineChars="175"/>
        <w:rPr>
          <w:rFonts w:cs="宋体"/>
          <w:sz w:val="24"/>
        </w:rPr>
      </w:pPr>
      <w:r>
        <w:rPr>
          <w:rFonts w:hint="eastAsia" w:cs="宋体"/>
          <w:sz w:val="24"/>
        </w:rPr>
        <w:t>（2）投标人应满足本招标文件规定的资格要求并按要求提供证明材料：详见招标文件第三章。</w:t>
      </w:r>
    </w:p>
    <w:p w14:paraId="2DA43BCD">
      <w:pPr>
        <w:numPr>
          <w:ilvl w:val="1"/>
          <w:numId w:val="3"/>
        </w:numPr>
        <w:spacing w:line="360" w:lineRule="auto"/>
        <w:ind w:firstLine="482" w:firstLineChars="200"/>
        <w:rPr>
          <w:rFonts w:cs="宋体"/>
          <w:b/>
          <w:bCs/>
          <w:sz w:val="24"/>
        </w:rPr>
      </w:pPr>
      <w:r>
        <w:rPr>
          <w:rFonts w:hint="eastAsia" w:cs="宋体"/>
          <w:b/>
          <w:bCs/>
          <w:sz w:val="24"/>
        </w:rPr>
        <w:t>若本项目接受联合体投标且投标人为联合体，除满足招标文件对联合体的特定要求外，联合体各方还应符合下列规定：</w:t>
      </w:r>
    </w:p>
    <w:p w14:paraId="10970237">
      <w:pPr>
        <w:tabs>
          <w:tab w:val="left" w:pos="425"/>
          <w:tab w:val="left" w:pos="964"/>
        </w:tabs>
        <w:spacing w:line="360" w:lineRule="auto"/>
        <w:ind w:firstLine="420" w:firstLineChars="175"/>
        <w:rPr>
          <w:rFonts w:cs="宋体"/>
          <w:sz w:val="24"/>
        </w:rPr>
      </w:pPr>
      <w:r>
        <w:rPr>
          <w:rFonts w:hint="eastAsia" w:cs="宋体"/>
          <w:sz w:val="24"/>
        </w:rPr>
        <w:t>（1）联合体各方应递交联合体协议，明确联合体牵头人和各方权利义务，并承诺就中标项目向招标人承担连带责任。联合体协议须加盖联合体各方公章。</w:t>
      </w:r>
    </w:p>
    <w:p w14:paraId="0C3CAA30">
      <w:pPr>
        <w:tabs>
          <w:tab w:val="left" w:pos="425"/>
          <w:tab w:val="left" w:pos="964"/>
        </w:tabs>
        <w:spacing w:line="360" w:lineRule="auto"/>
        <w:ind w:firstLine="420" w:firstLineChars="175"/>
        <w:rPr>
          <w:rFonts w:cs="宋体"/>
          <w:sz w:val="24"/>
        </w:rPr>
      </w:pPr>
      <w:r>
        <w:rPr>
          <w:rFonts w:hint="eastAsia" w:cs="宋体"/>
          <w:sz w:val="24"/>
        </w:rPr>
        <w:t>（2）联合体各方不得再以自己名义单独或参加其他联合体在本招标项目中投标，否则各相关投标无效。</w:t>
      </w:r>
    </w:p>
    <w:p w14:paraId="0E599B61">
      <w:pPr>
        <w:tabs>
          <w:tab w:val="left" w:pos="425"/>
          <w:tab w:val="left" w:pos="964"/>
        </w:tabs>
        <w:spacing w:line="360" w:lineRule="auto"/>
        <w:ind w:firstLine="420" w:firstLineChars="175"/>
        <w:rPr>
          <w:rFonts w:cs="宋体"/>
          <w:sz w:val="24"/>
        </w:rPr>
      </w:pPr>
      <w:r>
        <w:rPr>
          <w:rFonts w:hint="eastAsia" w:cs="宋体"/>
          <w:sz w:val="24"/>
        </w:rPr>
        <w:t>（3）联合体各方应就合同约定的事项对招标人承担连带责任。</w:t>
      </w:r>
    </w:p>
    <w:p w14:paraId="1EAA8499">
      <w:pPr>
        <w:tabs>
          <w:tab w:val="left" w:pos="425"/>
          <w:tab w:val="left" w:pos="964"/>
        </w:tabs>
        <w:spacing w:line="360" w:lineRule="auto"/>
        <w:ind w:firstLine="420" w:firstLineChars="175"/>
        <w:rPr>
          <w:rFonts w:cs="宋体"/>
          <w:sz w:val="24"/>
        </w:rPr>
      </w:pPr>
      <w:r>
        <w:rPr>
          <w:rFonts w:hint="eastAsia" w:cs="宋体"/>
          <w:sz w:val="24"/>
        </w:rPr>
        <w:t>（4）联合体各方均应遵守招标投标相关法律法规等有关规定，同时还应遵守有关法律、法规和规章的强制性规定。</w:t>
      </w:r>
    </w:p>
    <w:p w14:paraId="0EADA971">
      <w:pPr>
        <w:tabs>
          <w:tab w:val="left" w:pos="425"/>
          <w:tab w:val="left" w:pos="964"/>
        </w:tabs>
        <w:spacing w:line="360" w:lineRule="auto"/>
        <w:ind w:firstLine="420" w:firstLineChars="175"/>
        <w:rPr>
          <w:rFonts w:cs="宋体"/>
          <w:sz w:val="24"/>
        </w:rPr>
      </w:pPr>
      <w:r>
        <w:rPr>
          <w:rFonts w:hint="eastAsia" w:cs="宋体"/>
          <w:sz w:val="24"/>
        </w:rPr>
        <w:t>（5）联合体各方均应符合招标文件规定的一般资格要求。</w:t>
      </w:r>
    </w:p>
    <w:p w14:paraId="374A0EF2">
      <w:pPr>
        <w:tabs>
          <w:tab w:val="left" w:pos="425"/>
          <w:tab w:val="left" w:pos="964"/>
        </w:tabs>
        <w:spacing w:line="360" w:lineRule="auto"/>
        <w:ind w:firstLine="420" w:firstLineChars="175"/>
        <w:rPr>
          <w:rFonts w:cs="宋体"/>
          <w:sz w:val="24"/>
        </w:rPr>
      </w:pPr>
      <w:r>
        <w:rPr>
          <w:rFonts w:hint="eastAsia" w:cs="宋体"/>
          <w:sz w:val="24"/>
        </w:rPr>
        <w:t>（6）招标人根据招标项目的特殊要求规定投标人特定资格条件的，联合体各方中至少应当有一方符合招标人规定的特定条件。涉及特定资质要求的内容应由联合体中具有该资质的投标人承担，并在联合体协议中明确。联合体中有同类资质的投标人按联合体分工承担相同工作的，按照资质等级较低的投标人确定该联合体的资质等级。</w:t>
      </w:r>
    </w:p>
    <w:p w14:paraId="2F2C2AEA">
      <w:pPr>
        <w:numPr>
          <w:ilvl w:val="1"/>
          <w:numId w:val="3"/>
        </w:numPr>
        <w:spacing w:line="360" w:lineRule="auto"/>
        <w:ind w:firstLine="480" w:firstLineChars="200"/>
        <w:rPr>
          <w:rFonts w:cs="宋体"/>
          <w:sz w:val="24"/>
        </w:rPr>
      </w:pPr>
      <w:r>
        <w:rPr>
          <w:rFonts w:hint="eastAsia" w:cs="宋体"/>
          <w:sz w:val="24"/>
        </w:rPr>
        <w:t>一个投标人只能提交一个投标文件。如果投标人或投标人之间存在下列情形之一的，其投标作无效投标处理：</w:t>
      </w:r>
    </w:p>
    <w:p w14:paraId="4C77140C">
      <w:pPr>
        <w:numPr>
          <w:ilvl w:val="2"/>
          <w:numId w:val="3"/>
        </w:numPr>
        <w:spacing w:line="360" w:lineRule="auto"/>
        <w:ind w:firstLine="480" w:firstLineChars="200"/>
        <w:rPr>
          <w:rFonts w:cs="宋体"/>
          <w:sz w:val="24"/>
        </w:rPr>
      </w:pPr>
      <w:r>
        <w:rPr>
          <w:rFonts w:hint="eastAsia" w:cs="宋体"/>
          <w:sz w:val="24"/>
        </w:rPr>
        <w:t>与招标人存在利害关系且可能影响招标公正性；</w:t>
      </w:r>
    </w:p>
    <w:p w14:paraId="0F48DD50">
      <w:pPr>
        <w:numPr>
          <w:ilvl w:val="2"/>
          <w:numId w:val="3"/>
        </w:numPr>
        <w:spacing w:line="360" w:lineRule="auto"/>
        <w:ind w:firstLine="480" w:firstLineChars="200"/>
        <w:rPr>
          <w:rFonts w:cs="宋体"/>
          <w:sz w:val="24"/>
        </w:rPr>
      </w:pPr>
      <w:r>
        <w:rPr>
          <w:rFonts w:hint="eastAsia" w:cs="宋体"/>
          <w:sz w:val="24"/>
        </w:rPr>
        <w:t>法定代表人为同一人的两个及两个以上法人参与同一合同包的投标；</w:t>
      </w:r>
    </w:p>
    <w:p w14:paraId="795F0E71">
      <w:pPr>
        <w:numPr>
          <w:ilvl w:val="2"/>
          <w:numId w:val="3"/>
        </w:numPr>
        <w:spacing w:line="360" w:lineRule="auto"/>
        <w:ind w:firstLine="480" w:firstLineChars="200"/>
        <w:rPr>
          <w:rFonts w:cs="宋体"/>
          <w:sz w:val="24"/>
        </w:rPr>
      </w:pPr>
      <w:r>
        <w:rPr>
          <w:rFonts w:hint="eastAsia" w:cs="宋体"/>
          <w:sz w:val="24"/>
        </w:rPr>
        <w:t>母公司直接或间接持股50％及以上的被投资公司参与同一合同包的投标；</w:t>
      </w:r>
    </w:p>
    <w:p w14:paraId="4EB9F0B9">
      <w:pPr>
        <w:numPr>
          <w:ilvl w:val="2"/>
          <w:numId w:val="3"/>
        </w:numPr>
        <w:spacing w:line="360" w:lineRule="auto"/>
        <w:ind w:firstLine="480" w:firstLineChars="200"/>
        <w:rPr>
          <w:rFonts w:cs="宋体"/>
          <w:sz w:val="24"/>
        </w:rPr>
      </w:pPr>
      <w:r>
        <w:rPr>
          <w:rFonts w:hint="eastAsia" w:cs="宋体"/>
          <w:sz w:val="24"/>
        </w:rPr>
        <w:t>单位负责人（董事长或总经理）为同一人的不同单位，参加同一合同包的投标。</w:t>
      </w:r>
    </w:p>
    <w:p w14:paraId="4E54C3CB">
      <w:pPr>
        <w:numPr>
          <w:ilvl w:val="2"/>
          <w:numId w:val="3"/>
        </w:numPr>
        <w:spacing w:line="360" w:lineRule="auto"/>
        <w:ind w:firstLine="480" w:firstLineChars="200"/>
        <w:rPr>
          <w:rFonts w:cs="宋体"/>
          <w:sz w:val="24"/>
        </w:rPr>
      </w:pPr>
      <w:r>
        <w:rPr>
          <w:rFonts w:hint="eastAsia" w:cs="宋体"/>
          <w:sz w:val="24"/>
        </w:rPr>
        <w:t>为本招标项目的整体设计单位、规范编制单位、监理单位、管理单位、检测单位或与前述单位同为一个法定代表人或存在控股、管理关系；</w:t>
      </w:r>
    </w:p>
    <w:p w14:paraId="24E833BD">
      <w:pPr>
        <w:numPr>
          <w:ilvl w:val="2"/>
          <w:numId w:val="3"/>
        </w:numPr>
        <w:spacing w:line="360" w:lineRule="auto"/>
        <w:ind w:firstLine="480" w:firstLineChars="200"/>
        <w:rPr>
          <w:rFonts w:cs="宋体"/>
          <w:sz w:val="24"/>
        </w:rPr>
      </w:pPr>
      <w:r>
        <w:rPr>
          <w:rFonts w:hint="eastAsia" w:cs="宋体"/>
          <w:sz w:val="24"/>
        </w:rPr>
        <w:t>被本招标项目的监管部门依法暂停或者取消投标资格；</w:t>
      </w:r>
    </w:p>
    <w:p w14:paraId="7B15B033">
      <w:pPr>
        <w:numPr>
          <w:ilvl w:val="2"/>
          <w:numId w:val="3"/>
        </w:numPr>
        <w:spacing w:line="360" w:lineRule="auto"/>
        <w:ind w:firstLine="480" w:firstLineChars="200"/>
        <w:rPr>
          <w:rFonts w:cs="宋体"/>
          <w:sz w:val="24"/>
        </w:rPr>
      </w:pPr>
      <w:r>
        <w:rPr>
          <w:rFonts w:hint="eastAsia" w:cs="宋体"/>
          <w:sz w:val="24"/>
        </w:rPr>
        <w:t>被责令停产停业、暂扣或者吊销许可证、暂扣或者吊销执照；</w:t>
      </w:r>
    </w:p>
    <w:p w14:paraId="0A158CDE">
      <w:pPr>
        <w:numPr>
          <w:ilvl w:val="2"/>
          <w:numId w:val="3"/>
        </w:numPr>
        <w:spacing w:line="360" w:lineRule="auto"/>
        <w:ind w:firstLine="480" w:firstLineChars="200"/>
        <w:rPr>
          <w:rFonts w:cs="宋体"/>
          <w:sz w:val="24"/>
        </w:rPr>
      </w:pPr>
      <w:r>
        <w:rPr>
          <w:rFonts w:hint="eastAsia" w:cs="宋体"/>
          <w:sz w:val="24"/>
        </w:rPr>
        <w:t>进入清算程序，或被宣告破产，或其他丧失履约能力的情形；</w:t>
      </w:r>
    </w:p>
    <w:p w14:paraId="77C9C955">
      <w:pPr>
        <w:numPr>
          <w:ilvl w:val="2"/>
          <w:numId w:val="3"/>
        </w:numPr>
        <w:spacing w:line="360" w:lineRule="auto"/>
        <w:ind w:firstLine="480" w:firstLineChars="200"/>
        <w:rPr>
          <w:rFonts w:cs="宋体"/>
          <w:sz w:val="24"/>
        </w:rPr>
      </w:pPr>
      <w:r>
        <w:rPr>
          <w:rFonts w:hint="eastAsia" w:cs="宋体"/>
          <w:sz w:val="24"/>
        </w:rPr>
        <w:t>在最近三年内发生重大产品质量问题（以相关行业主管部门的行政处罚决定或司法机关出具的有关法律文书为准）；</w:t>
      </w:r>
    </w:p>
    <w:p w14:paraId="133DB3EC">
      <w:pPr>
        <w:numPr>
          <w:ilvl w:val="2"/>
          <w:numId w:val="3"/>
        </w:numPr>
        <w:spacing w:line="360" w:lineRule="auto"/>
        <w:ind w:firstLine="480" w:firstLineChars="200"/>
        <w:rPr>
          <w:rFonts w:cs="宋体"/>
          <w:sz w:val="24"/>
        </w:rPr>
      </w:pPr>
      <w:r>
        <w:rPr>
          <w:rFonts w:hint="eastAsia" w:cs="宋体"/>
          <w:sz w:val="24"/>
        </w:rPr>
        <w:t>被工商行政管理机关在全国企业信用信息公示系统中列入严重违法失信企业名单；</w:t>
      </w:r>
    </w:p>
    <w:p w14:paraId="412C29E5">
      <w:pPr>
        <w:numPr>
          <w:ilvl w:val="2"/>
          <w:numId w:val="3"/>
        </w:numPr>
        <w:spacing w:line="360" w:lineRule="auto"/>
        <w:ind w:firstLine="480" w:firstLineChars="200"/>
        <w:rPr>
          <w:rFonts w:cs="宋体"/>
          <w:sz w:val="24"/>
        </w:rPr>
      </w:pPr>
      <w:r>
        <w:rPr>
          <w:rFonts w:hint="eastAsia" w:cs="宋体"/>
          <w:sz w:val="24"/>
        </w:rPr>
        <w:t xml:space="preserve"> 被最高人民法院在“信用中国”网站（www.creditchina.gov.cn）或各级信用信息共享平台中列入严重失信主体名单；</w:t>
      </w:r>
    </w:p>
    <w:p w14:paraId="565002C4">
      <w:pPr>
        <w:numPr>
          <w:ilvl w:val="2"/>
          <w:numId w:val="3"/>
        </w:numPr>
        <w:spacing w:line="360" w:lineRule="auto"/>
        <w:ind w:firstLine="480" w:firstLineChars="200"/>
        <w:rPr>
          <w:rFonts w:cs="宋体"/>
          <w:sz w:val="24"/>
        </w:rPr>
      </w:pPr>
      <w:r>
        <w:rPr>
          <w:rFonts w:hint="eastAsia" w:cs="宋体"/>
          <w:sz w:val="24"/>
        </w:rPr>
        <w:t xml:space="preserve"> 以他人名义投标或者违反规定允许他人以自己名义投标。</w:t>
      </w:r>
    </w:p>
    <w:p w14:paraId="56870B78">
      <w:pPr>
        <w:numPr>
          <w:ilvl w:val="2"/>
          <w:numId w:val="4"/>
        </w:numPr>
        <w:tabs>
          <w:tab w:val="left" w:pos="964"/>
        </w:tabs>
        <w:spacing w:line="360" w:lineRule="auto"/>
        <w:ind w:firstLine="480" w:firstLineChars="200"/>
      </w:pPr>
      <w:r>
        <w:rPr>
          <w:rFonts w:hint="eastAsia" w:cs="宋体"/>
          <w:sz w:val="24"/>
        </w:rPr>
        <w:t>存在法人代表限制高消费，投标方存在失信执行人情形的，存在税务处罚未能及时缴费的。</w:t>
      </w:r>
    </w:p>
    <w:p w14:paraId="15CFD483">
      <w:pPr>
        <w:numPr>
          <w:ilvl w:val="2"/>
          <w:numId w:val="4"/>
        </w:numPr>
        <w:tabs>
          <w:tab w:val="left" w:pos="964"/>
        </w:tabs>
        <w:spacing w:line="360" w:lineRule="auto"/>
        <w:ind w:firstLine="480" w:firstLineChars="200"/>
        <w:rPr>
          <w:rFonts w:cs="宋体"/>
          <w:sz w:val="24"/>
        </w:rPr>
      </w:pPr>
      <w:r>
        <w:rPr>
          <w:rFonts w:hint="eastAsia" w:cs="宋体"/>
          <w:sz w:val="24"/>
        </w:rPr>
        <w:t xml:space="preserve"> 法律法规或投标人须知前附表规定的其他情形。</w:t>
      </w:r>
    </w:p>
    <w:p w14:paraId="611857DD">
      <w:pPr>
        <w:numPr>
          <w:ilvl w:val="1"/>
          <w:numId w:val="4"/>
        </w:numPr>
        <w:tabs>
          <w:tab w:val="left" w:pos="964"/>
        </w:tabs>
        <w:spacing w:line="360" w:lineRule="auto"/>
        <w:ind w:firstLine="480" w:firstLineChars="200"/>
        <w:rPr>
          <w:rFonts w:cs="宋体"/>
          <w:sz w:val="24"/>
        </w:rPr>
      </w:pPr>
      <w:r>
        <w:rPr>
          <w:rFonts w:hint="eastAsia" w:cs="宋体"/>
          <w:sz w:val="24"/>
        </w:rPr>
        <w:t>投标人存在下列情形之一的，将被认定为串通投标行为并作无效投标处理：</w:t>
      </w:r>
    </w:p>
    <w:p w14:paraId="7DEFB4EA">
      <w:pPr>
        <w:numPr>
          <w:ilvl w:val="2"/>
          <w:numId w:val="4"/>
        </w:numPr>
        <w:tabs>
          <w:tab w:val="left" w:pos="964"/>
        </w:tabs>
        <w:spacing w:line="360" w:lineRule="auto"/>
        <w:ind w:firstLine="480" w:firstLineChars="200"/>
        <w:rPr>
          <w:rFonts w:cs="宋体"/>
          <w:sz w:val="24"/>
        </w:rPr>
      </w:pPr>
      <w:r>
        <w:rPr>
          <w:rFonts w:hint="eastAsia" w:cs="宋体"/>
          <w:sz w:val="24"/>
        </w:rPr>
        <w:t>不同投标人的投标文件错、漏之处一致或雷同，且不能合理解释的；</w:t>
      </w:r>
    </w:p>
    <w:p w14:paraId="6FFC69F8">
      <w:pPr>
        <w:numPr>
          <w:ilvl w:val="2"/>
          <w:numId w:val="4"/>
        </w:numPr>
        <w:tabs>
          <w:tab w:val="left" w:pos="964"/>
        </w:tabs>
        <w:spacing w:line="360" w:lineRule="auto"/>
        <w:ind w:firstLine="480" w:firstLineChars="200"/>
        <w:rPr>
          <w:rFonts w:cs="宋体"/>
          <w:sz w:val="24"/>
        </w:rPr>
      </w:pPr>
      <w:r>
        <w:rPr>
          <w:rFonts w:hint="eastAsia" w:cs="宋体"/>
          <w:sz w:val="24"/>
        </w:rPr>
        <w:t>不同的投标人的法定代表人、委托代理人等由同一个单位缴纳社会保险的；</w:t>
      </w:r>
    </w:p>
    <w:p w14:paraId="417A3DC3">
      <w:pPr>
        <w:numPr>
          <w:ilvl w:val="2"/>
          <w:numId w:val="4"/>
        </w:numPr>
        <w:tabs>
          <w:tab w:val="left" w:pos="964"/>
        </w:tabs>
        <w:spacing w:line="360" w:lineRule="auto"/>
        <w:ind w:firstLine="480" w:firstLineChars="200"/>
        <w:rPr>
          <w:rFonts w:cs="宋体"/>
          <w:sz w:val="24"/>
        </w:rPr>
      </w:pPr>
      <w:r>
        <w:rPr>
          <w:rFonts w:hint="eastAsia" w:cs="宋体"/>
          <w:sz w:val="24"/>
        </w:rPr>
        <w:t>由同一人或分别由几个有利害关系的人携带两个以上（含两个）投标人的企业资料参与资格审查、领取招标资料，或代表两个以上（含两个）投标人参加招标答疑会、交纳或退还投标保证金、开标的；</w:t>
      </w:r>
    </w:p>
    <w:p w14:paraId="09A0469F">
      <w:pPr>
        <w:numPr>
          <w:ilvl w:val="2"/>
          <w:numId w:val="4"/>
        </w:numPr>
        <w:tabs>
          <w:tab w:val="left" w:pos="964"/>
        </w:tabs>
        <w:spacing w:line="360" w:lineRule="auto"/>
        <w:ind w:firstLine="480" w:firstLineChars="200"/>
        <w:rPr>
          <w:rFonts w:cs="宋体"/>
          <w:sz w:val="24"/>
        </w:rPr>
      </w:pPr>
      <w:r>
        <w:rPr>
          <w:rFonts w:hint="eastAsia" w:cs="宋体"/>
          <w:sz w:val="24"/>
        </w:rPr>
        <w:t>投标人之间协商投标报价等投标文件的实质性内容；</w:t>
      </w:r>
    </w:p>
    <w:p w14:paraId="64C20100">
      <w:pPr>
        <w:numPr>
          <w:ilvl w:val="2"/>
          <w:numId w:val="4"/>
        </w:numPr>
        <w:tabs>
          <w:tab w:val="left" w:pos="964"/>
        </w:tabs>
        <w:spacing w:line="360" w:lineRule="auto"/>
        <w:ind w:firstLine="480" w:firstLineChars="200"/>
        <w:rPr>
          <w:rFonts w:cs="宋体"/>
          <w:sz w:val="24"/>
        </w:rPr>
      </w:pPr>
      <w:r>
        <w:rPr>
          <w:rFonts w:hint="eastAsia" w:cs="宋体"/>
          <w:sz w:val="24"/>
        </w:rPr>
        <w:t>投标人之间约定中标人；</w:t>
      </w:r>
    </w:p>
    <w:p w14:paraId="01AD4288">
      <w:pPr>
        <w:numPr>
          <w:ilvl w:val="2"/>
          <w:numId w:val="4"/>
        </w:numPr>
        <w:tabs>
          <w:tab w:val="left" w:pos="964"/>
        </w:tabs>
        <w:spacing w:line="360" w:lineRule="auto"/>
        <w:ind w:firstLine="480" w:firstLineChars="200"/>
        <w:rPr>
          <w:rFonts w:cs="宋体"/>
          <w:sz w:val="24"/>
        </w:rPr>
      </w:pPr>
      <w:r>
        <w:rPr>
          <w:rFonts w:hint="eastAsia" w:cs="宋体"/>
          <w:sz w:val="24"/>
        </w:rPr>
        <w:t>投标人之间约定部分投标人放弃投标或者中标；</w:t>
      </w:r>
    </w:p>
    <w:p w14:paraId="6EDE139A">
      <w:pPr>
        <w:numPr>
          <w:ilvl w:val="2"/>
          <w:numId w:val="4"/>
        </w:numPr>
        <w:tabs>
          <w:tab w:val="left" w:pos="964"/>
        </w:tabs>
        <w:spacing w:line="360" w:lineRule="auto"/>
        <w:ind w:firstLine="480" w:firstLineChars="200"/>
        <w:rPr>
          <w:rFonts w:cs="宋体"/>
          <w:sz w:val="24"/>
        </w:rPr>
      </w:pPr>
      <w:r>
        <w:rPr>
          <w:rFonts w:hint="eastAsia" w:cs="宋体"/>
          <w:sz w:val="24"/>
        </w:rPr>
        <w:t>属于同一集团、协会、商会等组织成员的投标人按照该组织要求协同投标；</w:t>
      </w:r>
    </w:p>
    <w:p w14:paraId="58A2DDA1">
      <w:pPr>
        <w:numPr>
          <w:ilvl w:val="2"/>
          <w:numId w:val="4"/>
        </w:numPr>
        <w:tabs>
          <w:tab w:val="left" w:pos="964"/>
        </w:tabs>
        <w:spacing w:line="360" w:lineRule="auto"/>
        <w:ind w:firstLine="480" w:firstLineChars="200"/>
        <w:rPr>
          <w:rFonts w:cs="宋体"/>
          <w:sz w:val="24"/>
        </w:rPr>
      </w:pPr>
      <w:r>
        <w:rPr>
          <w:rFonts w:hint="eastAsia" w:cs="宋体"/>
          <w:sz w:val="24"/>
        </w:rPr>
        <w:t>投标人之间为谋取中标或者排斥特定投标人而采取的其他联合行动；</w:t>
      </w:r>
    </w:p>
    <w:p w14:paraId="7B1D3C6E">
      <w:pPr>
        <w:numPr>
          <w:ilvl w:val="2"/>
          <w:numId w:val="4"/>
        </w:numPr>
        <w:tabs>
          <w:tab w:val="left" w:pos="964"/>
        </w:tabs>
        <w:spacing w:line="360" w:lineRule="auto"/>
        <w:ind w:firstLine="480" w:firstLineChars="200"/>
        <w:rPr>
          <w:rFonts w:cs="宋体"/>
          <w:sz w:val="24"/>
        </w:rPr>
      </w:pPr>
      <w:r>
        <w:rPr>
          <w:rFonts w:hint="eastAsia" w:cs="宋体"/>
          <w:sz w:val="24"/>
        </w:rPr>
        <w:t>不同投标人的投标文件由同一单位或者个人编制；</w:t>
      </w:r>
    </w:p>
    <w:p w14:paraId="2BA44B16">
      <w:pPr>
        <w:numPr>
          <w:ilvl w:val="2"/>
          <w:numId w:val="4"/>
        </w:numPr>
        <w:tabs>
          <w:tab w:val="left" w:pos="964"/>
        </w:tabs>
        <w:spacing w:line="360" w:lineRule="auto"/>
        <w:ind w:firstLine="480" w:firstLineChars="200"/>
        <w:rPr>
          <w:rFonts w:cs="宋体"/>
          <w:sz w:val="24"/>
        </w:rPr>
      </w:pPr>
      <w:r>
        <w:rPr>
          <w:rFonts w:hint="eastAsia" w:cs="宋体"/>
          <w:sz w:val="24"/>
        </w:rPr>
        <w:t>不同投标人委托同一单位或者个人办理投标事宜；</w:t>
      </w:r>
    </w:p>
    <w:p w14:paraId="58E16009">
      <w:pPr>
        <w:numPr>
          <w:ilvl w:val="2"/>
          <w:numId w:val="4"/>
        </w:numPr>
        <w:tabs>
          <w:tab w:val="left" w:pos="964"/>
        </w:tabs>
        <w:spacing w:line="360" w:lineRule="auto"/>
        <w:ind w:firstLine="480" w:firstLineChars="200"/>
        <w:rPr>
          <w:rFonts w:cs="宋体"/>
          <w:sz w:val="24"/>
        </w:rPr>
      </w:pPr>
      <w:r>
        <w:rPr>
          <w:rFonts w:hint="eastAsia" w:cs="宋体"/>
          <w:sz w:val="24"/>
        </w:rPr>
        <w:t>不同投标人的投标文件载明的项目管理成员为同一人；</w:t>
      </w:r>
    </w:p>
    <w:p w14:paraId="592E1954">
      <w:pPr>
        <w:numPr>
          <w:ilvl w:val="2"/>
          <w:numId w:val="4"/>
        </w:numPr>
        <w:tabs>
          <w:tab w:val="left" w:pos="964"/>
        </w:tabs>
        <w:spacing w:line="360" w:lineRule="auto"/>
        <w:ind w:firstLine="480" w:firstLineChars="200"/>
        <w:rPr>
          <w:rFonts w:cs="宋体"/>
          <w:sz w:val="24"/>
        </w:rPr>
      </w:pPr>
      <w:r>
        <w:rPr>
          <w:rFonts w:hint="eastAsia" w:cs="宋体"/>
          <w:sz w:val="24"/>
        </w:rPr>
        <w:t>不同投标人的投标文件异常一致或者投标报价呈规律性差异；</w:t>
      </w:r>
    </w:p>
    <w:p w14:paraId="588E801C">
      <w:pPr>
        <w:numPr>
          <w:ilvl w:val="2"/>
          <w:numId w:val="4"/>
        </w:numPr>
        <w:tabs>
          <w:tab w:val="left" w:pos="964"/>
        </w:tabs>
        <w:spacing w:line="360" w:lineRule="auto"/>
        <w:ind w:firstLine="480" w:firstLineChars="200"/>
        <w:rPr>
          <w:rFonts w:cs="宋体"/>
          <w:sz w:val="24"/>
        </w:rPr>
      </w:pPr>
      <w:r>
        <w:rPr>
          <w:rFonts w:hint="eastAsia" w:cs="宋体"/>
          <w:sz w:val="24"/>
        </w:rPr>
        <w:t>不同投标人的投标文件相互混装；</w:t>
      </w:r>
    </w:p>
    <w:p w14:paraId="6DD58EC8">
      <w:pPr>
        <w:numPr>
          <w:ilvl w:val="2"/>
          <w:numId w:val="4"/>
        </w:numPr>
        <w:tabs>
          <w:tab w:val="left" w:pos="964"/>
        </w:tabs>
        <w:spacing w:line="360" w:lineRule="auto"/>
        <w:ind w:firstLine="480" w:firstLineChars="200"/>
        <w:rPr>
          <w:rFonts w:cs="宋体"/>
          <w:sz w:val="24"/>
        </w:rPr>
      </w:pPr>
      <w:r>
        <w:rPr>
          <w:rFonts w:hint="eastAsia" w:cs="宋体"/>
          <w:sz w:val="24"/>
        </w:rPr>
        <w:t>不同投标人的投标保证金从同一单位或者个人的账户转出；</w:t>
      </w:r>
    </w:p>
    <w:p w14:paraId="34D37BFA">
      <w:pPr>
        <w:numPr>
          <w:ilvl w:val="2"/>
          <w:numId w:val="4"/>
        </w:numPr>
        <w:tabs>
          <w:tab w:val="left" w:pos="964"/>
        </w:tabs>
        <w:spacing w:line="360" w:lineRule="auto"/>
        <w:ind w:firstLine="480" w:firstLineChars="200"/>
        <w:rPr>
          <w:rFonts w:cs="宋体"/>
          <w:sz w:val="24"/>
        </w:rPr>
      </w:pPr>
      <w:r>
        <w:rPr>
          <w:rFonts w:hint="eastAsia" w:cs="宋体"/>
          <w:sz w:val="24"/>
        </w:rPr>
        <w:t>有关法律、法规或规章规定的其他串通投标行为。</w:t>
      </w:r>
    </w:p>
    <w:p w14:paraId="30480043">
      <w:pPr>
        <w:pStyle w:val="4"/>
        <w:numPr>
          <w:ilvl w:val="0"/>
          <w:numId w:val="4"/>
        </w:numPr>
        <w:tabs>
          <w:tab w:val="left" w:pos="425"/>
          <w:tab w:val="left" w:pos="720"/>
        </w:tabs>
        <w:spacing w:before="0" w:after="0" w:line="360" w:lineRule="auto"/>
        <w:ind w:left="720" w:hanging="360"/>
        <w:rPr>
          <w:rFonts w:hint="eastAsia" w:ascii="宋体" w:hAnsi="宋体" w:cs="宋体"/>
          <w:sz w:val="24"/>
          <w:szCs w:val="24"/>
        </w:rPr>
      </w:pPr>
      <w:bookmarkStart w:id="103" w:name="_Toc27455"/>
      <w:bookmarkStart w:id="104" w:name="_Toc1163"/>
      <w:r>
        <w:rPr>
          <w:rFonts w:hint="eastAsia" w:ascii="宋体" w:hAnsi="宋体" w:cs="宋体"/>
          <w:sz w:val="24"/>
          <w:szCs w:val="24"/>
        </w:rPr>
        <w:t>投标费用</w:t>
      </w:r>
      <w:bookmarkEnd w:id="103"/>
      <w:bookmarkEnd w:id="104"/>
    </w:p>
    <w:p w14:paraId="553EC708">
      <w:pPr>
        <w:numPr>
          <w:ilvl w:val="1"/>
          <w:numId w:val="4"/>
        </w:numPr>
        <w:tabs>
          <w:tab w:val="left" w:pos="964"/>
        </w:tabs>
        <w:spacing w:line="360" w:lineRule="auto"/>
        <w:ind w:firstLine="480" w:firstLineChars="200"/>
        <w:rPr>
          <w:rFonts w:cs="宋体"/>
          <w:sz w:val="24"/>
        </w:rPr>
      </w:pPr>
      <w:r>
        <w:rPr>
          <w:rFonts w:hint="eastAsia" w:cs="宋体"/>
          <w:sz w:val="24"/>
        </w:rPr>
        <w:t>投标人自行承担其参加投标所涉及的一切费用。</w:t>
      </w:r>
    </w:p>
    <w:p w14:paraId="64665CB0">
      <w:pPr>
        <w:pStyle w:val="66"/>
        <w:rPr>
          <w:rFonts w:hint="eastAsia"/>
        </w:rPr>
      </w:pPr>
    </w:p>
    <w:p w14:paraId="45FEC386">
      <w:pPr>
        <w:pStyle w:val="66"/>
        <w:rPr>
          <w:rFonts w:hint="eastAsia"/>
        </w:rPr>
      </w:pPr>
    </w:p>
    <w:p w14:paraId="599FC19F">
      <w:pPr>
        <w:pStyle w:val="3"/>
        <w:spacing w:before="0" w:after="0" w:line="360" w:lineRule="auto"/>
        <w:jc w:val="center"/>
        <w:rPr>
          <w:rFonts w:hint="eastAsia" w:ascii="宋体" w:hAnsi="宋体"/>
          <w:sz w:val="28"/>
          <w:szCs w:val="28"/>
        </w:rPr>
      </w:pPr>
      <w:bookmarkStart w:id="105" w:name="_Toc8907"/>
      <w:bookmarkStart w:id="106" w:name="_Toc28835"/>
      <w:r>
        <w:rPr>
          <w:rFonts w:hint="eastAsia" w:ascii="宋体" w:hAnsi="宋体"/>
          <w:sz w:val="28"/>
          <w:szCs w:val="28"/>
        </w:rPr>
        <w:t>第二节  招标文件</w:t>
      </w:r>
      <w:bookmarkEnd w:id="105"/>
      <w:bookmarkEnd w:id="106"/>
    </w:p>
    <w:p w14:paraId="60D3D7B6">
      <w:pPr>
        <w:pStyle w:val="4"/>
        <w:numPr>
          <w:ilvl w:val="0"/>
          <w:numId w:val="4"/>
        </w:numPr>
        <w:tabs>
          <w:tab w:val="left" w:pos="425"/>
          <w:tab w:val="left" w:pos="720"/>
        </w:tabs>
        <w:spacing w:before="0" w:after="0" w:line="360" w:lineRule="auto"/>
        <w:ind w:left="720" w:hanging="360"/>
        <w:rPr>
          <w:rFonts w:hint="eastAsia" w:ascii="宋体" w:hAnsi="宋体" w:cs="宋体"/>
          <w:sz w:val="24"/>
          <w:szCs w:val="24"/>
        </w:rPr>
      </w:pPr>
      <w:bookmarkStart w:id="107" w:name="_Toc7070"/>
      <w:bookmarkStart w:id="108" w:name="_Toc6394"/>
      <w:r>
        <w:rPr>
          <w:rFonts w:hint="eastAsia" w:ascii="宋体" w:hAnsi="宋体" w:cs="宋体"/>
          <w:sz w:val="24"/>
          <w:szCs w:val="24"/>
        </w:rPr>
        <w:t>招标文件的组成</w:t>
      </w:r>
      <w:bookmarkEnd w:id="107"/>
      <w:bookmarkEnd w:id="108"/>
    </w:p>
    <w:p w14:paraId="3A0750FC">
      <w:pPr>
        <w:numPr>
          <w:ilvl w:val="1"/>
          <w:numId w:val="4"/>
        </w:numPr>
        <w:tabs>
          <w:tab w:val="left" w:pos="964"/>
        </w:tabs>
        <w:spacing w:line="360" w:lineRule="auto"/>
        <w:ind w:firstLine="480" w:firstLineChars="200"/>
        <w:rPr>
          <w:rFonts w:cs="宋体"/>
          <w:sz w:val="24"/>
        </w:rPr>
      </w:pPr>
      <w:r>
        <w:rPr>
          <w:rFonts w:hint="eastAsia" w:cs="宋体"/>
          <w:sz w:val="24"/>
        </w:rPr>
        <w:t>招标文件用以阐明所需货物及服务招标程序、内容和合同主要条款。招标文件由下述部分组成：</w:t>
      </w:r>
    </w:p>
    <w:p w14:paraId="45BAB4A7">
      <w:pPr>
        <w:pStyle w:val="9"/>
        <w:numPr>
          <w:ilvl w:val="0"/>
          <w:numId w:val="5"/>
        </w:numPr>
        <w:snapToGrid w:val="0"/>
        <w:spacing w:line="360" w:lineRule="auto"/>
        <w:ind w:left="482" w:firstLine="0"/>
        <w:rPr>
          <w:rFonts w:cs="宋体"/>
          <w:sz w:val="24"/>
          <w:szCs w:val="24"/>
        </w:rPr>
      </w:pPr>
      <w:r>
        <w:rPr>
          <w:rFonts w:hint="eastAsia" w:cs="宋体"/>
          <w:sz w:val="24"/>
          <w:szCs w:val="24"/>
        </w:rPr>
        <w:t>投标邀请</w:t>
      </w:r>
    </w:p>
    <w:p w14:paraId="26B15418">
      <w:pPr>
        <w:pStyle w:val="9"/>
        <w:numPr>
          <w:ilvl w:val="0"/>
          <w:numId w:val="5"/>
        </w:numPr>
        <w:snapToGrid w:val="0"/>
        <w:spacing w:line="360" w:lineRule="auto"/>
        <w:ind w:left="482" w:firstLine="0"/>
        <w:rPr>
          <w:rFonts w:cs="宋体"/>
          <w:sz w:val="24"/>
          <w:szCs w:val="24"/>
        </w:rPr>
      </w:pPr>
      <w:r>
        <w:rPr>
          <w:rFonts w:hint="eastAsia" w:cs="宋体"/>
          <w:sz w:val="24"/>
          <w:szCs w:val="24"/>
        </w:rPr>
        <w:t xml:space="preserve">投标人须知 </w:t>
      </w:r>
    </w:p>
    <w:p w14:paraId="7BF3E5FF">
      <w:pPr>
        <w:pStyle w:val="9"/>
        <w:numPr>
          <w:ilvl w:val="0"/>
          <w:numId w:val="5"/>
        </w:numPr>
        <w:snapToGrid w:val="0"/>
        <w:spacing w:line="360" w:lineRule="auto"/>
        <w:ind w:left="482" w:firstLine="0"/>
        <w:rPr>
          <w:rFonts w:cs="宋体"/>
          <w:sz w:val="24"/>
          <w:szCs w:val="24"/>
        </w:rPr>
      </w:pPr>
      <w:r>
        <w:rPr>
          <w:rFonts w:hint="eastAsia" w:cs="宋体"/>
          <w:sz w:val="24"/>
          <w:szCs w:val="24"/>
        </w:rPr>
        <w:t>招标内容及要求</w:t>
      </w:r>
    </w:p>
    <w:p w14:paraId="56CB5A33">
      <w:pPr>
        <w:pStyle w:val="9"/>
        <w:numPr>
          <w:ilvl w:val="0"/>
          <w:numId w:val="5"/>
        </w:numPr>
        <w:snapToGrid w:val="0"/>
        <w:spacing w:line="360" w:lineRule="auto"/>
        <w:ind w:left="482" w:firstLine="0"/>
        <w:rPr>
          <w:rFonts w:cs="宋体"/>
          <w:sz w:val="24"/>
          <w:szCs w:val="24"/>
        </w:rPr>
      </w:pPr>
      <w:r>
        <w:rPr>
          <w:rFonts w:hint="eastAsia" w:cs="宋体"/>
          <w:sz w:val="24"/>
          <w:szCs w:val="24"/>
        </w:rPr>
        <w:t>合同主要条款</w:t>
      </w:r>
    </w:p>
    <w:p w14:paraId="52504C64">
      <w:pPr>
        <w:pStyle w:val="9"/>
        <w:numPr>
          <w:ilvl w:val="0"/>
          <w:numId w:val="5"/>
        </w:numPr>
        <w:snapToGrid w:val="0"/>
        <w:spacing w:line="360" w:lineRule="auto"/>
        <w:ind w:left="482" w:firstLine="0"/>
        <w:rPr>
          <w:rFonts w:cs="宋体"/>
          <w:sz w:val="24"/>
          <w:szCs w:val="24"/>
        </w:rPr>
      </w:pPr>
      <w:r>
        <w:rPr>
          <w:rFonts w:hint="eastAsia" w:cs="宋体"/>
          <w:sz w:val="24"/>
          <w:szCs w:val="24"/>
        </w:rPr>
        <w:t>投标文件格式</w:t>
      </w:r>
    </w:p>
    <w:p w14:paraId="6D8F6773">
      <w:pPr>
        <w:pStyle w:val="9"/>
        <w:numPr>
          <w:ilvl w:val="0"/>
          <w:numId w:val="5"/>
        </w:numPr>
        <w:snapToGrid w:val="0"/>
        <w:spacing w:line="360" w:lineRule="auto"/>
        <w:ind w:left="482" w:firstLine="0"/>
        <w:rPr>
          <w:rFonts w:cs="宋体"/>
          <w:sz w:val="24"/>
          <w:szCs w:val="24"/>
        </w:rPr>
      </w:pPr>
      <w:r>
        <w:rPr>
          <w:rFonts w:hint="eastAsia" w:cs="宋体"/>
          <w:sz w:val="24"/>
          <w:szCs w:val="24"/>
        </w:rPr>
        <w:t>附件（若有的话，详见招标文件第四章）</w:t>
      </w:r>
    </w:p>
    <w:p w14:paraId="31809FCA">
      <w:pPr>
        <w:pStyle w:val="4"/>
        <w:numPr>
          <w:ilvl w:val="0"/>
          <w:numId w:val="4"/>
        </w:numPr>
        <w:tabs>
          <w:tab w:val="left" w:pos="425"/>
          <w:tab w:val="left" w:pos="720"/>
        </w:tabs>
        <w:spacing w:before="0" w:after="0" w:line="360" w:lineRule="auto"/>
        <w:ind w:left="720" w:hanging="360"/>
        <w:rPr>
          <w:rFonts w:hint="eastAsia" w:ascii="宋体" w:hAnsi="宋体" w:cs="宋体"/>
          <w:sz w:val="24"/>
          <w:szCs w:val="24"/>
        </w:rPr>
      </w:pPr>
      <w:bookmarkStart w:id="109" w:name="_Toc18333"/>
      <w:bookmarkStart w:id="110" w:name="_Toc21665"/>
      <w:r>
        <w:rPr>
          <w:rFonts w:hint="eastAsia" w:ascii="宋体" w:hAnsi="宋体" w:cs="宋体"/>
          <w:sz w:val="24"/>
          <w:szCs w:val="24"/>
        </w:rPr>
        <w:t>招标文件的澄清</w:t>
      </w:r>
      <w:bookmarkEnd w:id="109"/>
      <w:bookmarkEnd w:id="110"/>
    </w:p>
    <w:p w14:paraId="2E7EC959">
      <w:pPr>
        <w:numPr>
          <w:ilvl w:val="1"/>
          <w:numId w:val="4"/>
        </w:numPr>
        <w:tabs>
          <w:tab w:val="left" w:pos="964"/>
        </w:tabs>
        <w:spacing w:line="360" w:lineRule="auto"/>
        <w:ind w:firstLine="480" w:firstLineChars="200"/>
        <w:rPr>
          <w:rFonts w:cs="宋体"/>
          <w:sz w:val="24"/>
        </w:rPr>
      </w:pPr>
      <w:r>
        <w:rPr>
          <w:rFonts w:hint="eastAsia" w:cs="宋体"/>
          <w:sz w:val="24"/>
        </w:rPr>
        <w:t>投标人对招标文件如有疑点，可要求澄清。要求澄清应按投标邀请中载明的地址以书面形式（包括信函、电报或传真，下同）通知招标代理机构。</w:t>
      </w:r>
    </w:p>
    <w:p w14:paraId="50FF2150">
      <w:pPr>
        <w:numPr>
          <w:ilvl w:val="1"/>
          <w:numId w:val="4"/>
        </w:numPr>
        <w:tabs>
          <w:tab w:val="left" w:pos="964"/>
        </w:tabs>
        <w:spacing w:line="360" w:lineRule="auto"/>
        <w:ind w:firstLine="480" w:firstLineChars="200"/>
        <w:rPr>
          <w:rFonts w:cs="宋体"/>
          <w:sz w:val="24"/>
        </w:rPr>
      </w:pPr>
      <w:r>
        <w:rPr>
          <w:rFonts w:hint="eastAsia" w:cs="宋体"/>
          <w:sz w:val="24"/>
        </w:rPr>
        <w:t>招标人可以视情况对已发出的招标文件进行必要的澄清或者答复。澄清或者答复的内容影响投标文件编制的，招标人应当在投标截止时间至少</w:t>
      </w:r>
      <w:r>
        <w:rPr>
          <w:rFonts w:hint="eastAsia" w:cs="宋体"/>
          <w:sz w:val="24"/>
          <w:lang w:val="en-US" w:eastAsia="zh-CN"/>
        </w:rPr>
        <w:t>10</w:t>
      </w:r>
      <w:r>
        <w:rPr>
          <w:rFonts w:hint="eastAsia" w:cs="宋体"/>
          <w:sz w:val="24"/>
        </w:rPr>
        <w:t>日前，在发布招标公告的媒体上发布公告（适用于公开招标项目）通知所有获取招标文件的潜在投标人；不足</w:t>
      </w:r>
      <w:r>
        <w:rPr>
          <w:rFonts w:hint="eastAsia" w:cs="宋体"/>
          <w:sz w:val="24"/>
          <w:lang w:val="en-US" w:eastAsia="zh-CN"/>
        </w:rPr>
        <w:t>10</w:t>
      </w:r>
      <w:r>
        <w:rPr>
          <w:rFonts w:hint="eastAsia" w:cs="宋体"/>
          <w:sz w:val="24"/>
        </w:rPr>
        <w:t>日的，招标人应当顺延提交投标文件的截止时间。</w:t>
      </w:r>
    </w:p>
    <w:p w14:paraId="66ADECED">
      <w:pPr>
        <w:numPr>
          <w:ilvl w:val="1"/>
          <w:numId w:val="4"/>
        </w:numPr>
        <w:tabs>
          <w:tab w:val="left" w:pos="964"/>
        </w:tabs>
        <w:spacing w:line="360" w:lineRule="auto"/>
        <w:ind w:firstLine="480" w:firstLineChars="200"/>
        <w:rPr>
          <w:rFonts w:cs="宋体"/>
          <w:sz w:val="24"/>
        </w:rPr>
      </w:pPr>
      <w:r>
        <w:rPr>
          <w:rFonts w:hint="eastAsia" w:cs="宋体"/>
          <w:sz w:val="24"/>
        </w:rPr>
        <w:t>招标文件澄清或者答复的内容为招标文件的组成部分。</w:t>
      </w:r>
    </w:p>
    <w:p w14:paraId="39672B65">
      <w:pPr>
        <w:pStyle w:val="4"/>
        <w:numPr>
          <w:ilvl w:val="0"/>
          <w:numId w:val="4"/>
        </w:numPr>
        <w:tabs>
          <w:tab w:val="left" w:pos="425"/>
          <w:tab w:val="left" w:pos="720"/>
        </w:tabs>
        <w:spacing w:before="0" w:after="0" w:line="360" w:lineRule="auto"/>
        <w:ind w:left="720" w:hanging="360"/>
        <w:rPr>
          <w:rFonts w:hint="eastAsia" w:ascii="宋体" w:hAnsi="宋体" w:cs="宋体"/>
          <w:sz w:val="24"/>
          <w:szCs w:val="24"/>
        </w:rPr>
      </w:pPr>
      <w:bookmarkStart w:id="111" w:name="_Toc10524"/>
      <w:bookmarkStart w:id="112" w:name="_Toc3240"/>
      <w:r>
        <w:rPr>
          <w:rFonts w:hint="eastAsia" w:ascii="宋体" w:hAnsi="宋体" w:cs="宋体"/>
          <w:sz w:val="24"/>
          <w:szCs w:val="24"/>
        </w:rPr>
        <w:t>招标文件的修改</w:t>
      </w:r>
      <w:bookmarkEnd w:id="111"/>
      <w:bookmarkEnd w:id="112"/>
    </w:p>
    <w:p w14:paraId="45F89FBA">
      <w:pPr>
        <w:numPr>
          <w:ilvl w:val="1"/>
          <w:numId w:val="4"/>
        </w:numPr>
        <w:tabs>
          <w:tab w:val="left" w:pos="964"/>
        </w:tabs>
        <w:spacing w:line="360" w:lineRule="auto"/>
        <w:ind w:firstLine="480" w:firstLineChars="200"/>
        <w:rPr>
          <w:rFonts w:cs="宋体"/>
          <w:sz w:val="24"/>
        </w:rPr>
      </w:pPr>
      <w:r>
        <w:rPr>
          <w:rFonts w:hint="eastAsia" w:cs="宋体"/>
          <w:sz w:val="24"/>
        </w:rPr>
        <w:t>招标人或者招标代理机构可以主动或依投标人要求澄清的问题对已发出的招标文件进行必要的补充或修改。补充或修改的内容影响投标文件编制的，招标人或者招标代理机构应当在投标截止时间至少</w:t>
      </w:r>
      <w:r>
        <w:rPr>
          <w:rFonts w:hint="eastAsia" w:cs="宋体"/>
          <w:sz w:val="24"/>
          <w:lang w:val="en-US" w:eastAsia="zh-CN"/>
        </w:rPr>
        <w:t>10</w:t>
      </w:r>
      <w:r>
        <w:rPr>
          <w:rFonts w:hint="eastAsia" w:cs="宋体"/>
          <w:sz w:val="24"/>
        </w:rPr>
        <w:t>日前，在发布招标公告的媒体上发布公告（适用于公开招标项目）通知所有获取招标文件的潜在投标人；不足</w:t>
      </w:r>
      <w:r>
        <w:rPr>
          <w:rFonts w:hint="eastAsia" w:cs="宋体"/>
          <w:sz w:val="24"/>
          <w:lang w:val="en-US" w:eastAsia="zh-CN"/>
        </w:rPr>
        <w:t>10</w:t>
      </w:r>
      <w:r>
        <w:rPr>
          <w:rFonts w:hint="eastAsia" w:cs="宋体"/>
          <w:sz w:val="24"/>
        </w:rPr>
        <w:t>日的，顺延提交投标文件的截止时间。该补充或修改内容为招标文件的组成部分，对投标人具有约束力。但本招标文件第7.2条规定的推迟投标截止时间和开标时间情形不受本条约束。</w:t>
      </w:r>
    </w:p>
    <w:p w14:paraId="6E147AD5">
      <w:pPr>
        <w:numPr>
          <w:ilvl w:val="1"/>
          <w:numId w:val="4"/>
        </w:numPr>
        <w:tabs>
          <w:tab w:val="left" w:pos="964"/>
        </w:tabs>
        <w:spacing w:line="360" w:lineRule="auto"/>
        <w:ind w:firstLine="480" w:firstLineChars="200"/>
        <w:rPr>
          <w:rFonts w:cs="宋体"/>
          <w:sz w:val="24"/>
        </w:rPr>
      </w:pPr>
      <w:r>
        <w:rPr>
          <w:rFonts w:hint="eastAsia" w:cs="宋体"/>
          <w:sz w:val="24"/>
        </w:rPr>
        <w:t>为使投标人在准备投标文件时有合理的时间考虑投标文件的修改，招标代理机构可酌情推迟投标截止时间和开标时间，但应当至少在投标截止时间3个日历日前在发布招标公告的媒体上发布公告（适用于公开招标项目）通知所有获取招标文件的潜在投标人，请投标人关注。在此情况下，招标人和投标人受投标截止期制约的所有权利和义务均应延长至新的截止日期。</w:t>
      </w:r>
    </w:p>
    <w:p w14:paraId="22B93C89">
      <w:pPr>
        <w:numPr>
          <w:ilvl w:val="1"/>
          <w:numId w:val="4"/>
        </w:numPr>
        <w:tabs>
          <w:tab w:val="left" w:pos="964"/>
        </w:tabs>
        <w:spacing w:line="360" w:lineRule="auto"/>
        <w:ind w:firstLine="480" w:firstLineChars="200"/>
        <w:rPr>
          <w:rFonts w:cs="宋体"/>
          <w:sz w:val="24"/>
        </w:rPr>
      </w:pPr>
      <w:r>
        <w:rPr>
          <w:rFonts w:hint="eastAsia" w:cs="宋体"/>
          <w:sz w:val="24"/>
        </w:rPr>
        <w:t>答疑文件、补充通知、延期通知、最高限价通知（控制价通知）等相关材料将构成招标文件的一部分，对招投标双方均具有约束力。招标文件、答疑文件、补充通知、延期通知、最高限价通知（控制价通知）等相关材料的内容不一致的，以发文时间在后的为准。</w:t>
      </w:r>
    </w:p>
    <w:p w14:paraId="375410B0">
      <w:pPr>
        <w:pStyle w:val="3"/>
        <w:spacing w:before="0" w:after="0" w:line="360" w:lineRule="auto"/>
        <w:jc w:val="center"/>
        <w:rPr>
          <w:rFonts w:hint="eastAsia" w:ascii="宋体" w:hAnsi="宋体"/>
          <w:sz w:val="28"/>
          <w:szCs w:val="28"/>
        </w:rPr>
      </w:pPr>
      <w:bookmarkStart w:id="113" w:name="_Toc32036"/>
      <w:bookmarkStart w:id="114" w:name="_Toc25865"/>
      <w:r>
        <w:rPr>
          <w:rFonts w:hint="eastAsia" w:ascii="宋体" w:hAnsi="宋体"/>
          <w:sz w:val="28"/>
          <w:szCs w:val="28"/>
        </w:rPr>
        <w:t>第三节  投标文件的编写</w:t>
      </w:r>
      <w:bookmarkEnd w:id="113"/>
      <w:bookmarkEnd w:id="114"/>
    </w:p>
    <w:p w14:paraId="2F10FD44">
      <w:pPr>
        <w:pStyle w:val="4"/>
        <w:numPr>
          <w:ilvl w:val="0"/>
          <w:numId w:val="4"/>
        </w:numPr>
        <w:tabs>
          <w:tab w:val="left" w:pos="425"/>
          <w:tab w:val="left" w:pos="720"/>
        </w:tabs>
        <w:spacing w:before="0" w:after="0" w:line="360" w:lineRule="auto"/>
        <w:ind w:left="720" w:hanging="360"/>
        <w:rPr>
          <w:rFonts w:hint="eastAsia" w:ascii="宋体" w:hAnsi="宋体" w:cs="宋体"/>
          <w:sz w:val="24"/>
          <w:szCs w:val="24"/>
        </w:rPr>
      </w:pPr>
      <w:bookmarkStart w:id="115" w:name="_Toc22036"/>
      <w:bookmarkStart w:id="116" w:name="_Toc23757"/>
      <w:r>
        <w:rPr>
          <w:rFonts w:hint="eastAsia" w:ascii="宋体" w:hAnsi="宋体" w:cs="宋体"/>
          <w:sz w:val="24"/>
          <w:szCs w:val="24"/>
        </w:rPr>
        <w:t>投标要求</w:t>
      </w:r>
      <w:bookmarkEnd w:id="115"/>
      <w:bookmarkEnd w:id="116"/>
    </w:p>
    <w:p w14:paraId="39D0DE90">
      <w:pPr>
        <w:numPr>
          <w:ilvl w:val="1"/>
          <w:numId w:val="4"/>
        </w:numPr>
        <w:tabs>
          <w:tab w:val="left" w:pos="964"/>
        </w:tabs>
        <w:spacing w:line="360" w:lineRule="auto"/>
        <w:ind w:firstLine="480" w:firstLineChars="200"/>
        <w:rPr>
          <w:rFonts w:cs="宋体"/>
          <w:sz w:val="24"/>
        </w:rPr>
      </w:pPr>
      <w:r>
        <w:rPr>
          <w:rFonts w:hint="eastAsia" w:cs="宋体"/>
          <w:sz w:val="24"/>
        </w:rPr>
        <w:t>投标人应仔细阅读招标文件的所有内容，按照招标文件的要求提交投标文件。投标文件应对招标文件的要求作出实质性响应，并保证所提供的全部资料的真实性，否则其投标将被拒绝。</w:t>
      </w:r>
    </w:p>
    <w:p w14:paraId="1CF71162">
      <w:pPr>
        <w:numPr>
          <w:ilvl w:val="1"/>
          <w:numId w:val="4"/>
        </w:numPr>
        <w:tabs>
          <w:tab w:val="left" w:pos="964"/>
        </w:tabs>
        <w:spacing w:line="360" w:lineRule="auto"/>
        <w:ind w:firstLine="480" w:firstLineChars="200"/>
        <w:rPr>
          <w:rFonts w:cs="宋体"/>
          <w:sz w:val="24"/>
        </w:rPr>
      </w:pPr>
      <w:r>
        <w:rPr>
          <w:rFonts w:hint="eastAsia" w:cs="宋体"/>
          <w:sz w:val="24"/>
        </w:rPr>
        <w:t>除非有另外的规定，投标人可对招标项目一览表所列的全部合同包或部分合同包进行投标。招标代理机构不接受有任何可选择性的报价，每个合同包只能有一个报价。</w:t>
      </w:r>
    </w:p>
    <w:p w14:paraId="4D6292A0">
      <w:pPr>
        <w:numPr>
          <w:ilvl w:val="1"/>
          <w:numId w:val="4"/>
        </w:numPr>
        <w:tabs>
          <w:tab w:val="left" w:pos="964"/>
        </w:tabs>
        <w:spacing w:line="360" w:lineRule="auto"/>
        <w:ind w:firstLine="480" w:firstLineChars="200"/>
        <w:rPr>
          <w:rFonts w:cs="宋体"/>
          <w:sz w:val="24"/>
        </w:rPr>
      </w:pPr>
      <w:r>
        <w:rPr>
          <w:rFonts w:hint="eastAsia" w:cs="宋体"/>
          <w:sz w:val="24"/>
        </w:rPr>
        <w:t>分包</w:t>
      </w:r>
    </w:p>
    <w:p w14:paraId="599FDC8A">
      <w:pPr>
        <w:tabs>
          <w:tab w:val="left" w:pos="425"/>
          <w:tab w:val="left" w:pos="964"/>
        </w:tabs>
        <w:spacing w:line="360" w:lineRule="auto"/>
        <w:ind w:firstLine="420" w:firstLineChars="175"/>
        <w:rPr>
          <w:rFonts w:cs="宋体"/>
          <w:sz w:val="24"/>
        </w:rPr>
      </w:pPr>
      <w:r>
        <w:rPr>
          <w:rFonts w:hint="eastAsia" w:cs="宋体"/>
          <w:sz w:val="24"/>
        </w:rPr>
        <w:t>8.3.1 是否允许中标人将本项目的非主体、非关键性工作进行分包：详见投标人须知前附表。</w:t>
      </w:r>
    </w:p>
    <w:p w14:paraId="64DC80DC">
      <w:pPr>
        <w:tabs>
          <w:tab w:val="left" w:pos="425"/>
          <w:tab w:val="left" w:pos="964"/>
        </w:tabs>
        <w:spacing w:line="360" w:lineRule="auto"/>
        <w:ind w:firstLine="420" w:firstLineChars="175"/>
        <w:rPr>
          <w:rFonts w:cs="宋体"/>
          <w:sz w:val="24"/>
        </w:rPr>
      </w:pPr>
      <w:r>
        <w:rPr>
          <w:rFonts w:hint="eastAsia" w:cs="宋体"/>
          <w:sz w:val="24"/>
        </w:rPr>
        <w:t>8.3.2 招标文件允许中标人将非主体、非关键性工作进行分包的项目，有下列情形之一的，中标人不得分包：</w:t>
      </w:r>
    </w:p>
    <w:p w14:paraId="7A4852E2">
      <w:pPr>
        <w:tabs>
          <w:tab w:val="left" w:pos="425"/>
          <w:tab w:val="left" w:pos="964"/>
        </w:tabs>
        <w:spacing w:line="360" w:lineRule="auto"/>
        <w:ind w:left="420" w:leftChars="200"/>
        <w:rPr>
          <w:rFonts w:cs="宋体"/>
          <w:sz w:val="24"/>
        </w:rPr>
      </w:pPr>
      <w:r>
        <w:rPr>
          <w:rFonts w:hint="eastAsia" w:cs="宋体"/>
          <w:sz w:val="24"/>
        </w:rPr>
        <w:t>①投标文件中未载明分包承担主体；</w:t>
      </w:r>
    </w:p>
    <w:p w14:paraId="43A09592">
      <w:pPr>
        <w:tabs>
          <w:tab w:val="left" w:pos="425"/>
          <w:tab w:val="left" w:pos="964"/>
        </w:tabs>
        <w:spacing w:line="360" w:lineRule="auto"/>
        <w:ind w:left="420" w:leftChars="200"/>
        <w:rPr>
          <w:rFonts w:cs="宋体"/>
          <w:sz w:val="24"/>
        </w:rPr>
      </w:pPr>
      <w:r>
        <w:rPr>
          <w:rFonts w:hint="eastAsia" w:cs="宋体"/>
          <w:sz w:val="24"/>
        </w:rPr>
        <w:t>②投标文件载明的分包承担主体不具备相应资质条件；</w:t>
      </w:r>
    </w:p>
    <w:p w14:paraId="0296EA6B">
      <w:pPr>
        <w:tabs>
          <w:tab w:val="left" w:pos="425"/>
          <w:tab w:val="left" w:pos="964"/>
        </w:tabs>
        <w:spacing w:line="360" w:lineRule="auto"/>
        <w:ind w:left="420" w:leftChars="200"/>
        <w:rPr>
          <w:rFonts w:cs="宋体"/>
          <w:sz w:val="24"/>
        </w:rPr>
      </w:pPr>
      <w:r>
        <w:rPr>
          <w:rFonts w:hint="eastAsia" w:cs="宋体"/>
          <w:sz w:val="24"/>
        </w:rPr>
        <w:t>③投标文件载明的分包承担主体拟再次分包。</w:t>
      </w:r>
    </w:p>
    <w:p w14:paraId="72ABBF51">
      <w:pPr>
        <w:numPr>
          <w:ilvl w:val="1"/>
          <w:numId w:val="4"/>
        </w:numPr>
        <w:tabs>
          <w:tab w:val="left" w:pos="964"/>
        </w:tabs>
        <w:spacing w:line="360" w:lineRule="auto"/>
        <w:ind w:firstLine="480" w:firstLineChars="200"/>
        <w:rPr>
          <w:rFonts w:cs="宋体"/>
          <w:sz w:val="24"/>
          <w:szCs w:val="22"/>
        </w:rPr>
      </w:pPr>
      <w:r>
        <w:rPr>
          <w:rFonts w:hint="eastAsia" w:cs="宋体"/>
          <w:sz w:val="24"/>
          <w:szCs w:val="22"/>
        </w:rPr>
        <w:t>投标方须提供投标截止日前的全国企业信用信息公示系统和“信用中国”等其他企业认为应当提供的资信证明。</w:t>
      </w:r>
    </w:p>
    <w:p w14:paraId="41D78C53">
      <w:pPr>
        <w:pStyle w:val="4"/>
        <w:numPr>
          <w:ilvl w:val="0"/>
          <w:numId w:val="4"/>
        </w:numPr>
        <w:tabs>
          <w:tab w:val="left" w:pos="425"/>
          <w:tab w:val="left" w:pos="720"/>
        </w:tabs>
        <w:spacing w:before="0" w:after="0" w:line="360" w:lineRule="auto"/>
        <w:ind w:left="720" w:hanging="360"/>
        <w:rPr>
          <w:rFonts w:hint="eastAsia" w:ascii="宋体" w:hAnsi="宋体" w:cs="宋体"/>
          <w:sz w:val="24"/>
          <w:szCs w:val="24"/>
        </w:rPr>
      </w:pPr>
      <w:bookmarkStart w:id="117" w:name="_Toc6822"/>
      <w:bookmarkStart w:id="118" w:name="_Toc25008"/>
      <w:r>
        <w:rPr>
          <w:rFonts w:hint="eastAsia" w:ascii="宋体" w:hAnsi="宋体" w:cs="宋体"/>
          <w:sz w:val="24"/>
          <w:szCs w:val="24"/>
        </w:rPr>
        <w:t>投标文件语言</w:t>
      </w:r>
      <w:bookmarkEnd w:id="117"/>
      <w:bookmarkEnd w:id="118"/>
    </w:p>
    <w:p w14:paraId="052F2D57">
      <w:pPr>
        <w:numPr>
          <w:ilvl w:val="1"/>
          <w:numId w:val="4"/>
        </w:numPr>
        <w:tabs>
          <w:tab w:val="left" w:pos="964"/>
        </w:tabs>
        <w:spacing w:line="360" w:lineRule="auto"/>
        <w:ind w:firstLine="480" w:firstLineChars="200"/>
        <w:rPr>
          <w:rFonts w:cs="宋体"/>
          <w:sz w:val="24"/>
        </w:rPr>
      </w:pPr>
      <w:r>
        <w:rPr>
          <w:rFonts w:hint="eastAsia" w:cs="宋体"/>
          <w:sz w:val="24"/>
        </w:rPr>
        <w:t>投标文件应用中文书写。投标文件中所附或所引用的原件不是中文时，应附中文译本。各种计量单位及符号应采用国际上统一使用的公制计量单位和符号。</w:t>
      </w:r>
    </w:p>
    <w:p w14:paraId="7DEB0645">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19" w:name="_Toc31513"/>
      <w:bookmarkStart w:id="120" w:name="_Toc14861"/>
      <w:r>
        <w:rPr>
          <w:rFonts w:hint="eastAsia" w:ascii="宋体" w:hAnsi="宋体" w:cs="宋体"/>
          <w:sz w:val="24"/>
          <w:szCs w:val="24"/>
        </w:rPr>
        <w:t>投标文件的组成</w:t>
      </w:r>
      <w:bookmarkEnd w:id="119"/>
      <w:bookmarkEnd w:id="120"/>
    </w:p>
    <w:p w14:paraId="3C5C7097">
      <w:pPr>
        <w:numPr>
          <w:ilvl w:val="1"/>
          <w:numId w:val="4"/>
        </w:numPr>
        <w:tabs>
          <w:tab w:val="left" w:pos="964"/>
        </w:tabs>
        <w:spacing w:line="360" w:lineRule="auto"/>
        <w:ind w:firstLine="480" w:firstLineChars="200"/>
        <w:rPr>
          <w:rFonts w:cs="宋体"/>
          <w:sz w:val="24"/>
        </w:rPr>
      </w:pPr>
      <w:r>
        <w:rPr>
          <w:rFonts w:hint="eastAsia" w:cs="宋体"/>
          <w:sz w:val="24"/>
        </w:rPr>
        <w:t>投标文件应包括但不限于下列部分：</w:t>
      </w:r>
    </w:p>
    <w:p w14:paraId="41581D82">
      <w:pPr>
        <w:spacing w:line="360" w:lineRule="auto"/>
        <w:ind w:left="69" w:firstLine="470" w:firstLineChars="196"/>
        <w:rPr>
          <w:rFonts w:cs="宋体"/>
          <w:sz w:val="24"/>
        </w:rPr>
      </w:pPr>
      <w:r>
        <w:rPr>
          <w:rFonts w:hint="eastAsia" w:cs="宋体"/>
          <w:sz w:val="24"/>
        </w:rPr>
        <w:t>10.1.1资格文件</w:t>
      </w:r>
    </w:p>
    <w:p w14:paraId="6C70D718">
      <w:pPr>
        <w:spacing w:line="360" w:lineRule="auto"/>
        <w:ind w:left="69" w:firstLine="470" w:firstLineChars="196"/>
        <w:rPr>
          <w:rFonts w:cs="宋体"/>
          <w:sz w:val="24"/>
        </w:rPr>
      </w:pPr>
      <w:r>
        <w:rPr>
          <w:rFonts w:hint="eastAsia" w:cs="宋体"/>
          <w:sz w:val="24"/>
        </w:rPr>
        <w:t>10.1.2技术文件</w:t>
      </w:r>
    </w:p>
    <w:p w14:paraId="3FF8AFE0">
      <w:pPr>
        <w:spacing w:line="360" w:lineRule="auto"/>
        <w:ind w:left="69" w:firstLine="470" w:firstLineChars="196"/>
        <w:rPr>
          <w:rFonts w:cs="宋体"/>
          <w:sz w:val="24"/>
        </w:rPr>
      </w:pPr>
      <w:r>
        <w:rPr>
          <w:rFonts w:hint="eastAsia" w:cs="宋体"/>
          <w:sz w:val="24"/>
        </w:rPr>
        <w:t>10.1.3商务文件</w:t>
      </w:r>
    </w:p>
    <w:p w14:paraId="427FFD77">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21" w:name="_Toc12500"/>
      <w:bookmarkStart w:id="122" w:name="_Toc17076"/>
      <w:r>
        <w:rPr>
          <w:rFonts w:hint="eastAsia" w:ascii="宋体" w:hAnsi="宋体" w:cs="宋体"/>
          <w:sz w:val="24"/>
          <w:szCs w:val="24"/>
        </w:rPr>
        <w:t>投标有效期</w:t>
      </w:r>
      <w:bookmarkEnd w:id="121"/>
      <w:bookmarkEnd w:id="122"/>
    </w:p>
    <w:p w14:paraId="432B96F2">
      <w:pPr>
        <w:numPr>
          <w:ilvl w:val="1"/>
          <w:numId w:val="4"/>
        </w:numPr>
        <w:tabs>
          <w:tab w:val="left" w:pos="964"/>
        </w:tabs>
        <w:spacing w:line="360" w:lineRule="auto"/>
        <w:ind w:firstLine="480" w:firstLineChars="200"/>
        <w:rPr>
          <w:rFonts w:cs="宋体"/>
          <w:sz w:val="24"/>
        </w:rPr>
      </w:pPr>
      <w:r>
        <w:rPr>
          <w:rFonts w:hint="eastAsia" w:cs="宋体"/>
          <w:sz w:val="24"/>
        </w:rPr>
        <w:t>投标文件从招标文件所规定的投标截止期之后开始生效，在《投标人须知前附表1》所规定的期限内保持有效。有效期不足将导致其投标文件被拒绝。</w:t>
      </w:r>
    </w:p>
    <w:p w14:paraId="7A4A9E26">
      <w:pPr>
        <w:numPr>
          <w:ilvl w:val="1"/>
          <w:numId w:val="4"/>
        </w:numPr>
        <w:tabs>
          <w:tab w:val="left" w:pos="964"/>
        </w:tabs>
        <w:spacing w:line="360" w:lineRule="auto"/>
        <w:ind w:firstLine="480" w:firstLineChars="200"/>
        <w:rPr>
          <w:rFonts w:cs="宋体"/>
          <w:sz w:val="24"/>
        </w:rPr>
      </w:pPr>
      <w:r>
        <w:rPr>
          <w:rFonts w:hint="eastAsia" w:cs="宋体"/>
          <w:sz w:val="24"/>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1BA208A6">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23" w:name="_Toc9649"/>
      <w:bookmarkStart w:id="124" w:name="_Toc24342"/>
      <w:r>
        <w:rPr>
          <w:rFonts w:hint="eastAsia" w:ascii="宋体" w:hAnsi="宋体" w:cs="宋体"/>
          <w:sz w:val="24"/>
          <w:szCs w:val="24"/>
        </w:rPr>
        <w:t>投标保证金</w:t>
      </w:r>
      <w:bookmarkEnd w:id="123"/>
      <w:bookmarkEnd w:id="124"/>
    </w:p>
    <w:p w14:paraId="32329110">
      <w:pPr>
        <w:numPr>
          <w:ilvl w:val="1"/>
          <w:numId w:val="4"/>
        </w:numPr>
        <w:tabs>
          <w:tab w:val="left" w:pos="964"/>
        </w:tabs>
        <w:spacing w:line="360" w:lineRule="auto"/>
        <w:ind w:firstLine="480" w:firstLineChars="200"/>
        <w:rPr>
          <w:rFonts w:cs="宋体"/>
          <w:sz w:val="24"/>
        </w:rPr>
      </w:pPr>
      <w:r>
        <w:rPr>
          <w:rFonts w:hint="eastAsia" w:cs="宋体"/>
          <w:sz w:val="24"/>
        </w:rPr>
        <w:t xml:space="preserve"> 投标保证金</w:t>
      </w:r>
    </w:p>
    <w:p w14:paraId="58F3D499">
      <w:pPr>
        <w:numPr>
          <w:ilvl w:val="2"/>
          <w:numId w:val="4"/>
        </w:numPr>
        <w:tabs>
          <w:tab w:val="left" w:pos="964"/>
        </w:tabs>
        <w:spacing w:line="360" w:lineRule="auto"/>
        <w:ind w:firstLine="480" w:firstLineChars="200"/>
        <w:rPr>
          <w:rFonts w:cs="宋体"/>
          <w:sz w:val="24"/>
        </w:rPr>
      </w:pPr>
      <w:r>
        <w:rPr>
          <w:rFonts w:hint="eastAsia" w:cs="宋体"/>
          <w:sz w:val="24"/>
        </w:rPr>
        <w:t>投标保证金为投标文件的组成部分之一。</w:t>
      </w:r>
    </w:p>
    <w:p w14:paraId="1D2FDDDB">
      <w:pPr>
        <w:numPr>
          <w:ilvl w:val="2"/>
          <w:numId w:val="4"/>
        </w:numPr>
        <w:tabs>
          <w:tab w:val="left" w:pos="964"/>
        </w:tabs>
        <w:spacing w:line="360" w:lineRule="auto"/>
        <w:ind w:firstLine="480" w:firstLineChars="200"/>
        <w:rPr>
          <w:rFonts w:cs="宋体"/>
          <w:sz w:val="24"/>
        </w:rPr>
      </w:pPr>
      <w:r>
        <w:rPr>
          <w:rFonts w:hint="eastAsia" w:cs="宋体"/>
          <w:sz w:val="24"/>
        </w:rPr>
        <w:t>投标人应在提交投标文件之前向招标人或招标代理机构指定的保证金专户缴交《投标人须知前附表1》要求的投标保证金。</w:t>
      </w:r>
    </w:p>
    <w:p w14:paraId="505EE017">
      <w:pPr>
        <w:numPr>
          <w:ilvl w:val="2"/>
          <w:numId w:val="4"/>
        </w:numPr>
        <w:tabs>
          <w:tab w:val="left" w:pos="964"/>
        </w:tabs>
        <w:spacing w:line="360" w:lineRule="auto"/>
        <w:ind w:firstLine="480" w:firstLineChars="200"/>
        <w:rPr>
          <w:rFonts w:cs="宋体"/>
          <w:sz w:val="24"/>
        </w:rPr>
      </w:pPr>
      <w:r>
        <w:rPr>
          <w:rFonts w:hint="eastAsia" w:cs="宋体"/>
          <w:sz w:val="24"/>
        </w:rPr>
        <w:t>投标保证金用于保护本次招标活动免受投标人的行为而引起的风险。</w:t>
      </w:r>
    </w:p>
    <w:p w14:paraId="62C7C1C6">
      <w:pPr>
        <w:numPr>
          <w:ilvl w:val="2"/>
          <w:numId w:val="4"/>
        </w:numPr>
        <w:tabs>
          <w:tab w:val="left" w:pos="964"/>
        </w:tabs>
        <w:spacing w:line="360" w:lineRule="auto"/>
        <w:ind w:firstLine="480" w:firstLineChars="200"/>
        <w:rPr>
          <w:rFonts w:cs="宋体"/>
          <w:sz w:val="24"/>
        </w:rPr>
      </w:pPr>
      <w:r>
        <w:rPr>
          <w:rFonts w:hint="eastAsia" w:cs="宋体"/>
          <w:sz w:val="24"/>
        </w:rPr>
        <w:t>投标保证金采用转账方式提交，须从投标人账户转出，必须在投标截止时间前到达指定账户。</w:t>
      </w:r>
    </w:p>
    <w:p w14:paraId="2461A698">
      <w:pPr>
        <w:numPr>
          <w:ilvl w:val="2"/>
          <w:numId w:val="4"/>
        </w:numPr>
        <w:tabs>
          <w:tab w:val="left" w:pos="964"/>
        </w:tabs>
        <w:spacing w:line="360" w:lineRule="auto"/>
        <w:ind w:firstLine="480" w:firstLineChars="200"/>
        <w:rPr>
          <w:rFonts w:cs="宋体"/>
          <w:sz w:val="24"/>
        </w:rPr>
      </w:pPr>
      <w:r>
        <w:rPr>
          <w:rFonts w:hint="eastAsia" w:cs="宋体"/>
          <w:sz w:val="24"/>
        </w:rPr>
        <w:t>未按规定缴交投标保证金的投标，将被视为无效投标。</w:t>
      </w:r>
    </w:p>
    <w:p w14:paraId="5140CAA4">
      <w:pPr>
        <w:numPr>
          <w:ilvl w:val="2"/>
          <w:numId w:val="4"/>
        </w:numPr>
        <w:tabs>
          <w:tab w:val="left" w:pos="964"/>
        </w:tabs>
        <w:spacing w:line="360" w:lineRule="auto"/>
        <w:ind w:firstLine="480" w:firstLineChars="200"/>
        <w:rPr>
          <w:rFonts w:cs="宋体"/>
          <w:sz w:val="24"/>
        </w:rPr>
      </w:pPr>
      <w:r>
        <w:rPr>
          <w:rFonts w:hint="eastAsia" w:cs="宋体"/>
          <w:sz w:val="24"/>
        </w:rPr>
        <w:t>招标单位将在招标人与中标人签订书面合同后5个日历日内向未中标的投标人退还投标保证金。</w:t>
      </w:r>
    </w:p>
    <w:p w14:paraId="3DAAE2F9">
      <w:pPr>
        <w:numPr>
          <w:ilvl w:val="2"/>
          <w:numId w:val="4"/>
        </w:numPr>
        <w:tabs>
          <w:tab w:val="left" w:pos="964"/>
        </w:tabs>
        <w:spacing w:line="360" w:lineRule="auto"/>
        <w:ind w:firstLine="480" w:firstLineChars="200"/>
        <w:rPr>
          <w:rFonts w:cs="宋体"/>
          <w:sz w:val="24"/>
        </w:rPr>
      </w:pPr>
      <w:r>
        <w:rPr>
          <w:rFonts w:hint="eastAsia" w:cs="宋体"/>
          <w:sz w:val="24"/>
        </w:rPr>
        <w:t>招标单位将在中标人签订书面合同（招标人如有要求中标人支付履约保证金的，则增加：并向招标人支付履约保证金）后，且中标人提交采购合同等有关资料之日起的5个日历日内向中标人退还投标保证金。</w:t>
      </w:r>
    </w:p>
    <w:p w14:paraId="5FD24BCA">
      <w:pPr>
        <w:numPr>
          <w:ilvl w:val="2"/>
          <w:numId w:val="4"/>
        </w:numPr>
        <w:tabs>
          <w:tab w:val="left" w:pos="964"/>
        </w:tabs>
        <w:spacing w:line="360" w:lineRule="auto"/>
        <w:ind w:firstLine="480" w:firstLineChars="200"/>
        <w:rPr>
          <w:rFonts w:cs="宋体"/>
          <w:sz w:val="24"/>
        </w:rPr>
      </w:pPr>
      <w:r>
        <w:rPr>
          <w:rFonts w:hint="eastAsia" w:cs="宋体"/>
          <w:sz w:val="24"/>
        </w:rPr>
        <w:t>投标保证金有效期与投标有效期一致。</w:t>
      </w:r>
    </w:p>
    <w:p w14:paraId="21B25C5A">
      <w:pPr>
        <w:numPr>
          <w:ilvl w:val="2"/>
          <w:numId w:val="4"/>
        </w:numPr>
        <w:tabs>
          <w:tab w:val="left" w:pos="964"/>
        </w:tabs>
        <w:spacing w:line="360" w:lineRule="auto"/>
        <w:ind w:firstLine="480" w:firstLineChars="200"/>
        <w:rPr>
          <w:rFonts w:cs="宋体"/>
          <w:sz w:val="24"/>
        </w:rPr>
      </w:pPr>
      <w:r>
        <w:rPr>
          <w:rFonts w:hint="eastAsia" w:cs="宋体"/>
          <w:sz w:val="24"/>
        </w:rPr>
        <w:t>发生以下情形之一的，投标保证金将不予退还：</w:t>
      </w:r>
    </w:p>
    <w:p w14:paraId="528DA59C">
      <w:pPr>
        <w:numPr>
          <w:ilvl w:val="3"/>
          <w:numId w:val="4"/>
        </w:numPr>
        <w:tabs>
          <w:tab w:val="left" w:pos="964"/>
        </w:tabs>
        <w:spacing w:line="360" w:lineRule="auto"/>
        <w:ind w:firstLine="480" w:firstLineChars="200"/>
        <w:rPr>
          <w:rFonts w:cs="宋体"/>
          <w:sz w:val="24"/>
        </w:rPr>
      </w:pPr>
      <w:r>
        <w:rPr>
          <w:rFonts w:hint="eastAsia" w:cs="宋体"/>
          <w:sz w:val="24"/>
        </w:rPr>
        <w:t>投标人在投标截止时间后，投标有效期内撤回投标；</w:t>
      </w:r>
    </w:p>
    <w:p w14:paraId="1F17455D">
      <w:pPr>
        <w:numPr>
          <w:ilvl w:val="3"/>
          <w:numId w:val="4"/>
        </w:numPr>
        <w:tabs>
          <w:tab w:val="left" w:pos="964"/>
        </w:tabs>
        <w:spacing w:line="360" w:lineRule="auto"/>
        <w:ind w:firstLine="480" w:firstLineChars="200"/>
        <w:rPr>
          <w:rFonts w:cs="宋体"/>
          <w:sz w:val="24"/>
        </w:rPr>
      </w:pPr>
      <w:r>
        <w:rPr>
          <w:rFonts w:hint="eastAsia" w:cs="宋体"/>
          <w:sz w:val="24"/>
        </w:rPr>
        <w:t>中标人未能按本须知第22条规定签订合同；</w:t>
      </w:r>
    </w:p>
    <w:p w14:paraId="5ACCC5A5">
      <w:pPr>
        <w:numPr>
          <w:ilvl w:val="3"/>
          <w:numId w:val="4"/>
        </w:numPr>
        <w:tabs>
          <w:tab w:val="left" w:pos="964"/>
        </w:tabs>
        <w:spacing w:line="360" w:lineRule="auto"/>
        <w:ind w:firstLine="480" w:firstLineChars="200"/>
        <w:rPr>
          <w:rFonts w:cs="宋体"/>
          <w:sz w:val="24"/>
        </w:rPr>
      </w:pPr>
      <w:r>
        <w:rPr>
          <w:rFonts w:hint="eastAsia" w:cs="宋体"/>
          <w:sz w:val="24"/>
        </w:rPr>
        <w:t>以他人名义投标或者以其他方式弄虚作假，骗取中标、</w:t>
      </w:r>
      <w:r>
        <w:rPr>
          <w:rFonts w:ascii="宋体" w:hAnsi="宋体" w:cs="宋体"/>
          <w:sz w:val="24"/>
          <w:szCs w:val="24"/>
        </w:rPr>
        <w:t>串通投标</w:t>
      </w:r>
      <w:r>
        <w:rPr>
          <w:rFonts w:hint="eastAsia" w:ascii="宋体" w:hAnsi="宋体" w:cs="宋体"/>
          <w:sz w:val="24"/>
          <w:szCs w:val="24"/>
        </w:rPr>
        <w:t>的</w:t>
      </w:r>
      <w:r>
        <w:rPr>
          <w:rFonts w:hint="eastAsia" w:cs="宋体"/>
          <w:sz w:val="24"/>
        </w:rPr>
        <w:t>；</w:t>
      </w:r>
    </w:p>
    <w:p w14:paraId="7CC72201">
      <w:pPr>
        <w:numPr>
          <w:ilvl w:val="3"/>
          <w:numId w:val="4"/>
        </w:numPr>
        <w:tabs>
          <w:tab w:val="left" w:pos="964"/>
        </w:tabs>
        <w:spacing w:line="360" w:lineRule="auto"/>
        <w:ind w:firstLine="480" w:firstLineChars="200"/>
        <w:rPr>
          <w:rFonts w:cs="宋体"/>
          <w:sz w:val="24"/>
        </w:rPr>
      </w:pPr>
      <w:r>
        <w:rPr>
          <w:rFonts w:hint="eastAsia" w:cs="宋体"/>
          <w:sz w:val="24"/>
        </w:rPr>
        <w:t>本招标文件或法律法规中规定的其他没收投标保证金的情形。</w:t>
      </w:r>
    </w:p>
    <w:p w14:paraId="7E70831C">
      <w:pPr>
        <w:spacing w:line="360" w:lineRule="auto"/>
        <w:ind w:firstLine="480" w:firstLineChars="200"/>
        <w:rPr>
          <w:rFonts w:cs="宋体"/>
          <w:sz w:val="24"/>
        </w:rPr>
      </w:pPr>
      <w:r>
        <w:rPr>
          <w:rFonts w:hint="eastAsia" w:cs="宋体"/>
          <w:sz w:val="24"/>
        </w:rPr>
        <w:t>上述不予退还投标保证金的情形给招标采购单位造成损失的，相关责任人还应当承担赔偿责任。</w:t>
      </w:r>
    </w:p>
    <w:p w14:paraId="3D62C807">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25" w:name="_Toc26142"/>
      <w:bookmarkStart w:id="126" w:name="_Toc28961"/>
      <w:r>
        <w:rPr>
          <w:rFonts w:hint="eastAsia" w:ascii="宋体" w:hAnsi="宋体" w:cs="宋体"/>
          <w:sz w:val="24"/>
          <w:szCs w:val="24"/>
        </w:rPr>
        <w:t>投标文件的格式</w:t>
      </w:r>
      <w:bookmarkEnd w:id="125"/>
      <w:bookmarkEnd w:id="126"/>
    </w:p>
    <w:p w14:paraId="11A07BF4">
      <w:pPr>
        <w:numPr>
          <w:ilvl w:val="1"/>
          <w:numId w:val="4"/>
        </w:numPr>
        <w:tabs>
          <w:tab w:val="left" w:pos="964"/>
        </w:tabs>
        <w:spacing w:line="360" w:lineRule="auto"/>
        <w:ind w:firstLine="480" w:firstLineChars="200"/>
        <w:rPr>
          <w:rFonts w:cs="宋体"/>
          <w:sz w:val="24"/>
        </w:rPr>
      </w:pPr>
      <w:r>
        <w:rPr>
          <w:rFonts w:hint="eastAsia" w:cs="宋体"/>
          <w:sz w:val="24"/>
          <w:szCs w:val="24"/>
        </w:rPr>
        <w:t>投标人须编制由本须知第10条规定文件组成的投标文件正本一份，副本一份，正本必须用A4幅面纸张打印装订，副本可以用正本的完整复印件。图纸可用A3幅面纸打印并单独装订（一正一副）。并在封面标明“正本”、“副本”字样。正本、副本、电子档如有不一致，则以正本为准。</w:t>
      </w:r>
    </w:p>
    <w:p w14:paraId="54BFF716">
      <w:pPr>
        <w:numPr>
          <w:ilvl w:val="1"/>
          <w:numId w:val="4"/>
        </w:numPr>
        <w:tabs>
          <w:tab w:val="left" w:pos="964"/>
        </w:tabs>
        <w:spacing w:line="360" w:lineRule="auto"/>
        <w:ind w:firstLine="480" w:firstLineChars="200"/>
        <w:rPr>
          <w:rFonts w:cs="宋体"/>
          <w:sz w:val="24"/>
        </w:rPr>
      </w:pPr>
      <w:r>
        <w:rPr>
          <w:rFonts w:hint="eastAsia" w:cs="宋体"/>
          <w:sz w:val="24"/>
        </w:rPr>
        <w:t>投标文件应由投标人的法定代表人或者其授权代表签字并加盖公章，如由后者签字，应提供“法定代表人授权委托书”。</w:t>
      </w:r>
    </w:p>
    <w:p w14:paraId="6376F0B7">
      <w:pPr>
        <w:numPr>
          <w:ilvl w:val="1"/>
          <w:numId w:val="4"/>
        </w:numPr>
        <w:tabs>
          <w:tab w:val="left" w:pos="964"/>
        </w:tabs>
        <w:spacing w:line="360" w:lineRule="auto"/>
        <w:ind w:firstLine="480" w:firstLineChars="200"/>
        <w:rPr>
          <w:rFonts w:cs="宋体"/>
          <w:sz w:val="24"/>
        </w:rPr>
      </w:pPr>
      <w:r>
        <w:rPr>
          <w:rFonts w:hint="eastAsia" w:cs="宋体"/>
          <w:sz w:val="24"/>
        </w:rPr>
        <w:t>除非有另外的规定或许可，投标使用货币为人民币。</w:t>
      </w:r>
    </w:p>
    <w:p w14:paraId="64FD81A2">
      <w:pPr>
        <w:numPr>
          <w:ilvl w:val="1"/>
          <w:numId w:val="4"/>
        </w:numPr>
        <w:tabs>
          <w:tab w:val="left" w:pos="964"/>
        </w:tabs>
        <w:spacing w:line="360" w:lineRule="auto"/>
        <w:ind w:firstLine="480" w:firstLineChars="200"/>
        <w:rPr>
          <w:rFonts w:cs="宋体"/>
          <w:sz w:val="24"/>
        </w:rPr>
      </w:pPr>
      <w:r>
        <w:rPr>
          <w:rFonts w:hint="eastAsia" w:cs="宋体"/>
          <w:sz w:val="24"/>
        </w:rPr>
        <w:t>投标人应提交证明其拟供货物符合招标文件要求的技术响应文件，该文件可以是文字资料、图纸和数据，并须提供货物主要技术性能的详细描述。</w:t>
      </w:r>
    </w:p>
    <w:p w14:paraId="6C6305EE">
      <w:pPr>
        <w:numPr>
          <w:ilvl w:val="1"/>
          <w:numId w:val="4"/>
        </w:numPr>
        <w:tabs>
          <w:tab w:val="left" w:pos="964"/>
        </w:tabs>
        <w:spacing w:line="360" w:lineRule="auto"/>
        <w:ind w:firstLine="480" w:firstLineChars="200"/>
        <w:rPr>
          <w:rFonts w:cs="宋体"/>
          <w:sz w:val="24"/>
        </w:rPr>
      </w:pPr>
      <w:r>
        <w:rPr>
          <w:rFonts w:hint="eastAsia" w:cs="宋体"/>
          <w:sz w:val="24"/>
        </w:rPr>
        <w:t>未按本须知规定的格式填写投标文件、投标文件字迹模糊不清的，其投标可能被承担不利的评标结果。</w:t>
      </w:r>
    </w:p>
    <w:p w14:paraId="2DE772C0">
      <w:pPr>
        <w:numPr>
          <w:ilvl w:val="1"/>
          <w:numId w:val="4"/>
        </w:numPr>
        <w:tabs>
          <w:tab w:val="left" w:pos="964"/>
        </w:tabs>
        <w:spacing w:line="360" w:lineRule="auto"/>
        <w:ind w:firstLine="480" w:firstLineChars="200"/>
        <w:rPr>
          <w:rFonts w:cs="宋体"/>
          <w:sz w:val="24"/>
        </w:rPr>
      </w:pPr>
      <w:r>
        <w:rPr>
          <w:rFonts w:hint="eastAsia" w:cs="宋体"/>
          <w:sz w:val="24"/>
        </w:rPr>
        <w:t>项目为多个合同包的，每个合同包均须单独递交投标文件。</w:t>
      </w:r>
    </w:p>
    <w:p w14:paraId="2329E9D2">
      <w:pPr>
        <w:pStyle w:val="3"/>
        <w:spacing w:before="0" w:after="0" w:line="360" w:lineRule="auto"/>
        <w:jc w:val="center"/>
        <w:rPr>
          <w:rFonts w:hint="eastAsia" w:ascii="宋体" w:hAnsi="宋体"/>
          <w:sz w:val="28"/>
          <w:szCs w:val="28"/>
        </w:rPr>
      </w:pPr>
      <w:bookmarkStart w:id="127" w:name="_Toc32493"/>
      <w:bookmarkStart w:id="128" w:name="_Toc3112"/>
      <w:r>
        <w:rPr>
          <w:rFonts w:hint="eastAsia" w:ascii="宋体" w:hAnsi="宋体"/>
          <w:sz w:val="28"/>
          <w:szCs w:val="28"/>
        </w:rPr>
        <w:t>第四节  投标文件的提交</w:t>
      </w:r>
      <w:bookmarkEnd w:id="127"/>
      <w:bookmarkEnd w:id="128"/>
    </w:p>
    <w:p w14:paraId="19FBEE5D">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29" w:name="_Toc9083"/>
      <w:bookmarkStart w:id="130" w:name="_Toc4284"/>
      <w:r>
        <w:rPr>
          <w:rFonts w:hint="eastAsia" w:ascii="宋体" w:hAnsi="宋体" w:cs="宋体"/>
          <w:sz w:val="24"/>
          <w:szCs w:val="24"/>
        </w:rPr>
        <w:t>投标文件的密封、标记和递交</w:t>
      </w:r>
      <w:bookmarkEnd w:id="129"/>
      <w:bookmarkEnd w:id="130"/>
    </w:p>
    <w:p w14:paraId="70F42DCA">
      <w:pPr>
        <w:numPr>
          <w:ilvl w:val="1"/>
          <w:numId w:val="4"/>
        </w:numPr>
        <w:tabs>
          <w:tab w:val="left" w:pos="964"/>
        </w:tabs>
        <w:spacing w:line="360" w:lineRule="auto"/>
        <w:ind w:firstLine="480" w:firstLineChars="200"/>
        <w:rPr>
          <w:rFonts w:cs="宋体"/>
          <w:sz w:val="24"/>
        </w:rPr>
      </w:pPr>
      <w:r>
        <w:rPr>
          <w:rFonts w:hint="eastAsia" w:cs="宋体"/>
          <w:sz w:val="24"/>
        </w:rPr>
        <w:t>投标人应将投标文件正本和全部副本分别用信封密封，标明招标编号、投标人名称、投标货物名称及“正本”或“副本”字样，并在封口处加盖投标人公章。投标文件未密封将导致其投标被拒绝。</w:t>
      </w:r>
    </w:p>
    <w:p w14:paraId="628D8D93">
      <w:pPr>
        <w:numPr>
          <w:ilvl w:val="1"/>
          <w:numId w:val="4"/>
        </w:numPr>
        <w:tabs>
          <w:tab w:val="left" w:pos="964"/>
        </w:tabs>
        <w:spacing w:line="360" w:lineRule="auto"/>
        <w:ind w:firstLine="480" w:firstLineChars="200"/>
        <w:rPr>
          <w:rFonts w:cs="宋体"/>
          <w:sz w:val="24"/>
        </w:rPr>
      </w:pPr>
      <w:r>
        <w:rPr>
          <w:rFonts w:hint="eastAsia" w:cs="宋体"/>
          <w:sz w:val="24"/>
        </w:rPr>
        <w:t>每一信封密封处应加盖投标人公章。</w:t>
      </w:r>
    </w:p>
    <w:p w14:paraId="6B7D2F85">
      <w:pPr>
        <w:numPr>
          <w:ilvl w:val="1"/>
          <w:numId w:val="4"/>
        </w:numPr>
        <w:tabs>
          <w:tab w:val="left" w:pos="964"/>
        </w:tabs>
        <w:spacing w:line="360" w:lineRule="auto"/>
        <w:ind w:firstLine="480" w:firstLineChars="200"/>
        <w:rPr>
          <w:rFonts w:cs="宋体"/>
          <w:sz w:val="24"/>
        </w:rPr>
      </w:pPr>
      <w:r>
        <w:rPr>
          <w:rFonts w:hint="eastAsia" w:cs="宋体"/>
          <w:sz w:val="24"/>
        </w:rPr>
        <w:t>如果投标文件由邮局或专人送交，投标人应将投标文件按照本须知第14.1条至第14.2条的规定进行密封和标记后，按投标人须知前附表1注明的地址送至接收人。</w:t>
      </w:r>
    </w:p>
    <w:p w14:paraId="3C94E978">
      <w:pPr>
        <w:numPr>
          <w:ilvl w:val="1"/>
          <w:numId w:val="4"/>
        </w:numPr>
        <w:tabs>
          <w:tab w:val="left" w:pos="964"/>
        </w:tabs>
        <w:spacing w:line="360" w:lineRule="auto"/>
        <w:ind w:firstLine="480" w:firstLineChars="200"/>
        <w:rPr>
          <w:rFonts w:cs="宋体"/>
          <w:sz w:val="24"/>
        </w:rPr>
      </w:pPr>
      <w:r>
        <w:rPr>
          <w:rFonts w:hint="eastAsia" w:cs="宋体"/>
          <w:sz w:val="24"/>
        </w:rPr>
        <w:t>如果未按上述规定进行密封和标记，招标单位将不承担由此造成的对投标文件的误投或提前拆封的责任。</w:t>
      </w:r>
    </w:p>
    <w:p w14:paraId="37CD66A7">
      <w:pPr>
        <w:numPr>
          <w:ilvl w:val="1"/>
          <w:numId w:val="4"/>
        </w:numPr>
        <w:tabs>
          <w:tab w:val="left" w:pos="964"/>
        </w:tabs>
        <w:spacing w:line="360" w:lineRule="auto"/>
        <w:ind w:firstLine="480" w:firstLineChars="200"/>
        <w:rPr>
          <w:rFonts w:cs="宋体"/>
          <w:sz w:val="24"/>
        </w:rPr>
      </w:pPr>
      <w:r>
        <w:rPr>
          <w:rFonts w:hint="eastAsia" w:cs="宋体"/>
          <w:sz w:val="24"/>
        </w:rPr>
        <w:t>投标文件应在投标邀请中规定的截止时间前送达，迟到的投标文件为无效投标文件, 将被拒收。</w:t>
      </w:r>
    </w:p>
    <w:p w14:paraId="5DE7E823">
      <w:pPr>
        <w:numPr>
          <w:ilvl w:val="1"/>
          <w:numId w:val="4"/>
        </w:numPr>
        <w:tabs>
          <w:tab w:val="left" w:pos="964"/>
        </w:tabs>
        <w:spacing w:line="360" w:lineRule="auto"/>
        <w:ind w:firstLine="480" w:firstLineChars="200"/>
        <w:rPr>
          <w:rFonts w:cs="宋体"/>
          <w:sz w:val="24"/>
        </w:rPr>
      </w:pPr>
      <w:r>
        <w:rPr>
          <w:rFonts w:hint="eastAsia" w:cs="宋体"/>
          <w:sz w:val="24"/>
        </w:rPr>
        <w:t>投标人在投标截止时间前，可以对所提交的投标文件进行修改或者撤回，并书面通知招标单位。修改的内容和撤回通知应当按本须知要求签署、盖章、密封，并作为投标文件的组成部分。</w:t>
      </w:r>
    </w:p>
    <w:p w14:paraId="24C16DE5">
      <w:pPr>
        <w:numPr>
          <w:ilvl w:val="1"/>
          <w:numId w:val="4"/>
        </w:numPr>
        <w:tabs>
          <w:tab w:val="left" w:pos="964"/>
        </w:tabs>
        <w:spacing w:line="360" w:lineRule="auto"/>
        <w:ind w:firstLine="480" w:firstLineChars="200"/>
        <w:rPr>
          <w:rFonts w:cs="宋体"/>
          <w:sz w:val="24"/>
        </w:rPr>
      </w:pPr>
      <w:r>
        <w:rPr>
          <w:rFonts w:hint="eastAsia" w:cs="宋体"/>
          <w:sz w:val="24"/>
        </w:rPr>
        <w:t>投标人在投标截止时间后不得修改、撤回投标文件。投标人在投标截止时间后修改投标文件的，其投标将被拒绝。</w:t>
      </w:r>
    </w:p>
    <w:p w14:paraId="2BA1A23D">
      <w:pPr>
        <w:numPr>
          <w:ilvl w:val="1"/>
          <w:numId w:val="4"/>
        </w:numPr>
        <w:tabs>
          <w:tab w:val="left" w:pos="964"/>
        </w:tabs>
        <w:spacing w:line="360" w:lineRule="auto"/>
        <w:ind w:firstLine="480" w:firstLineChars="200"/>
        <w:rPr>
          <w:rFonts w:cs="宋体"/>
          <w:sz w:val="24"/>
        </w:rPr>
      </w:pPr>
      <w:r>
        <w:rPr>
          <w:rFonts w:hint="eastAsia" w:cs="宋体"/>
          <w:sz w:val="24"/>
        </w:rPr>
        <w:t>投标截止时间结束后参加投标的投标人不足3家的，除采购任务取消情形外，招标采购单位将依法重新组织招标或者采用其他方式进行采购。</w:t>
      </w:r>
    </w:p>
    <w:p w14:paraId="72D9D2E7">
      <w:pPr>
        <w:pStyle w:val="3"/>
        <w:spacing w:before="0" w:after="0" w:line="360" w:lineRule="auto"/>
        <w:jc w:val="center"/>
        <w:rPr>
          <w:rFonts w:hint="eastAsia" w:ascii="宋体" w:hAnsi="宋体"/>
          <w:sz w:val="28"/>
          <w:szCs w:val="28"/>
        </w:rPr>
      </w:pPr>
      <w:bookmarkStart w:id="131" w:name="_Toc22773"/>
      <w:bookmarkStart w:id="132" w:name="_Toc16076"/>
      <w:r>
        <w:rPr>
          <w:rFonts w:hint="eastAsia" w:ascii="宋体" w:hAnsi="宋体"/>
          <w:sz w:val="28"/>
          <w:szCs w:val="28"/>
        </w:rPr>
        <w:t>第五节  开标和评标</w:t>
      </w:r>
      <w:bookmarkEnd w:id="131"/>
      <w:bookmarkEnd w:id="132"/>
    </w:p>
    <w:p w14:paraId="297CD278">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33" w:name="_Toc14747"/>
      <w:bookmarkStart w:id="134" w:name="_Toc4123"/>
      <w:r>
        <w:rPr>
          <w:rFonts w:hint="eastAsia" w:ascii="宋体" w:hAnsi="宋体" w:cs="宋体"/>
          <w:sz w:val="24"/>
          <w:szCs w:val="24"/>
        </w:rPr>
        <w:t>开标、评标时间</w:t>
      </w:r>
      <w:bookmarkEnd w:id="133"/>
      <w:bookmarkEnd w:id="134"/>
    </w:p>
    <w:p w14:paraId="34A30476">
      <w:pPr>
        <w:numPr>
          <w:ilvl w:val="1"/>
          <w:numId w:val="4"/>
        </w:numPr>
        <w:tabs>
          <w:tab w:val="left" w:pos="964"/>
        </w:tabs>
        <w:spacing w:line="360" w:lineRule="auto"/>
        <w:ind w:firstLine="480" w:firstLineChars="200"/>
        <w:rPr>
          <w:rFonts w:cs="宋体"/>
          <w:sz w:val="24"/>
        </w:rPr>
      </w:pPr>
      <w:r>
        <w:rPr>
          <w:rFonts w:hint="eastAsia" w:cs="宋体"/>
          <w:sz w:val="24"/>
        </w:rPr>
        <w:t>在《投标人须知前附表1》中所规定的时间、地点开标（如有推迟情形，以推迟后的时间、地点为准）。</w:t>
      </w:r>
    </w:p>
    <w:p w14:paraId="6CEEE58D">
      <w:pPr>
        <w:numPr>
          <w:ilvl w:val="1"/>
          <w:numId w:val="4"/>
        </w:numPr>
        <w:tabs>
          <w:tab w:val="left" w:pos="964"/>
        </w:tabs>
        <w:spacing w:line="360" w:lineRule="auto"/>
        <w:ind w:firstLine="480" w:firstLineChars="200"/>
        <w:rPr>
          <w:rFonts w:cs="宋体"/>
          <w:sz w:val="24"/>
        </w:rPr>
      </w:pPr>
      <w:r>
        <w:rPr>
          <w:rFonts w:hint="eastAsia" w:cs="宋体"/>
          <w:sz w:val="24"/>
        </w:rPr>
        <w:t>开标由招标单位主持，邀请有关方面代表参加。投标人一般应派授权代表参加开标会，并办理签到手续（如有需要的话）。</w:t>
      </w:r>
    </w:p>
    <w:p w14:paraId="23E94564">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35" w:name="_Toc31271"/>
      <w:bookmarkStart w:id="136" w:name="_Toc14295"/>
      <w:r>
        <w:rPr>
          <w:rFonts w:hint="eastAsia" w:ascii="宋体" w:hAnsi="宋体" w:cs="宋体"/>
          <w:sz w:val="24"/>
          <w:szCs w:val="24"/>
        </w:rPr>
        <w:t>评标</w:t>
      </w:r>
      <w:bookmarkEnd w:id="135"/>
      <w:bookmarkEnd w:id="136"/>
    </w:p>
    <w:p w14:paraId="4717C7D9">
      <w:pPr>
        <w:numPr>
          <w:ilvl w:val="1"/>
          <w:numId w:val="4"/>
        </w:numPr>
        <w:tabs>
          <w:tab w:val="left" w:pos="964"/>
        </w:tabs>
        <w:spacing w:line="360" w:lineRule="auto"/>
        <w:ind w:firstLine="480" w:firstLineChars="200"/>
        <w:rPr>
          <w:rFonts w:cs="宋体"/>
          <w:sz w:val="24"/>
        </w:rPr>
      </w:pPr>
      <w:r>
        <w:rPr>
          <w:rFonts w:hint="eastAsia" w:cs="宋体"/>
          <w:sz w:val="24"/>
        </w:rPr>
        <w:t>评标委员会将按照招标文件第三章“评标办法”的规定进行评标。</w:t>
      </w:r>
    </w:p>
    <w:p w14:paraId="765AA459">
      <w:pPr>
        <w:pStyle w:val="67"/>
        <w:ind w:firstLine="261"/>
        <w:rPr>
          <w:rFonts w:hint="eastAsia" w:ascii="宋体" w:hAnsi="宋体"/>
        </w:rPr>
      </w:pPr>
    </w:p>
    <w:p w14:paraId="0E5FE657">
      <w:pPr>
        <w:pStyle w:val="3"/>
        <w:spacing w:before="0" w:after="0" w:line="360" w:lineRule="auto"/>
        <w:jc w:val="center"/>
        <w:rPr>
          <w:rFonts w:hint="eastAsia" w:ascii="宋体" w:hAnsi="宋体"/>
          <w:sz w:val="28"/>
          <w:szCs w:val="28"/>
        </w:rPr>
      </w:pPr>
      <w:bookmarkStart w:id="137" w:name="_Toc9659"/>
      <w:bookmarkStart w:id="138" w:name="_Toc7513"/>
      <w:r>
        <w:rPr>
          <w:rFonts w:hint="eastAsia" w:ascii="宋体" w:hAnsi="宋体"/>
          <w:sz w:val="28"/>
          <w:szCs w:val="28"/>
        </w:rPr>
        <w:t>第六节  定标与签订合同</w:t>
      </w:r>
      <w:bookmarkEnd w:id="137"/>
      <w:bookmarkEnd w:id="138"/>
    </w:p>
    <w:p w14:paraId="101462C3">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39" w:name="_Toc23881"/>
      <w:bookmarkStart w:id="140" w:name="_Toc1949"/>
      <w:r>
        <w:rPr>
          <w:rFonts w:hint="eastAsia" w:ascii="宋体" w:hAnsi="宋体" w:cs="宋体"/>
          <w:sz w:val="24"/>
          <w:szCs w:val="24"/>
        </w:rPr>
        <w:t>定标准则</w:t>
      </w:r>
      <w:bookmarkEnd w:id="139"/>
      <w:bookmarkEnd w:id="140"/>
    </w:p>
    <w:p w14:paraId="791D8D6E">
      <w:pPr>
        <w:numPr>
          <w:ilvl w:val="1"/>
          <w:numId w:val="4"/>
        </w:numPr>
        <w:tabs>
          <w:tab w:val="left" w:pos="964"/>
        </w:tabs>
        <w:spacing w:line="360" w:lineRule="auto"/>
        <w:ind w:firstLine="480" w:firstLineChars="200"/>
        <w:rPr>
          <w:rFonts w:cs="宋体"/>
          <w:sz w:val="24"/>
        </w:rPr>
      </w:pPr>
      <w:r>
        <w:rPr>
          <w:rFonts w:hint="eastAsia" w:cs="宋体"/>
          <w:sz w:val="24"/>
        </w:rPr>
        <w:t>最低投标价不作为中标的保证。</w:t>
      </w:r>
    </w:p>
    <w:p w14:paraId="7DC7B6CF">
      <w:pPr>
        <w:numPr>
          <w:ilvl w:val="1"/>
          <w:numId w:val="4"/>
        </w:numPr>
        <w:tabs>
          <w:tab w:val="left" w:pos="964"/>
        </w:tabs>
        <w:spacing w:line="360" w:lineRule="auto"/>
        <w:ind w:firstLine="480" w:firstLineChars="200"/>
        <w:rPr>
          <w:rFonts w:cs="宋体"/>
          <w:sz w:val="24"/>
          <w:szCs w:val="22"/>
        </w:rPr>
      </w:pPr>
      <w:r>
        <w:rPr>
          <w:rFonts w:hint="eastAsia" w:cs="宋体"/>
          <w:sz w:val="24"/>
          <w:szCs w:val="22"/>
        </w:rPr>
        <w:t>投标人的投标文件符合招标文件要求，按招标文件确定评标方法、标准，经评委评审并推荐中标候选人。</w:t>
      </w:r>
    </w:p>
    <w:p w14:paraId="71BD1B28">
      <w:pPr>
        <w:numPr>
          <w:ilvl w:val="1"/>
          <w:numId w:val="4"/>
        </w:numPr>
        <w:tabs>
          <w:tab w:val="left" w:pos="964"/>
        </w:tabs>
        <w:spacing w:line="360" w:lineRule="auto"/>
        <w:ind w:firstLine="480" w:firstLineChars="200"/>
        <w:rPr>
          <w:rFonts w:cs="宋体"/>
          <w:sz w:val="24"/>
          <w:szCs w:val="22"/>
        </w:rPr>
      </w:pPr>
      <w:r>
        <w:rPr>
          <w:rFonts w:hint="eastAsia" w:cs="宋体"/>
          <w:sz w:val="24"/>
          <w:szCs w:val="22"/>
        </w:rPr>
        <w:t>若出现以下情况，招标人有权要求投标人进行二次报价：</w:t>
      </w:r>
    </w:p>
    <w:p w14:paraId="7EC7C663">
      <w:pPr>
        <w:numPr>
          <w:ilvl w:val="2"/>
          <w:numId w:val="4"/>
        </w:numPr>
        <w:tabs>
          <w:tab w:val="left" w:pos="964"/>
        </w:tabs>
        <w:spacing w:line="360" w:lineRule="auto"/>
        <w:ind w:firstLine="480" w:firstLineChars="200"/>
        <w:rPr>
          <w:rFonts w:cs="宋体"/>
          <w:sz w:val="24"/>
          <w:szCs w:val="22"/>
        </w:rPr>
      </w:pPr>
      <w:r>
        <w:rPr>
          <w:rFonts w:hint="eastAsia" w:cs="宋体"/>
          <w:sz w:val="24"/>
          <w:szCs w:val="22"/>
        </w:rPr>
        <w:t>所有有效投标人的初次报价均超出项目预算；</w:t>
      </w:r>
    </w:p>
    <w:p w14:paraId="5112C3B8">
      <w:pPr>
        <w:numPr>
          <w:ilvl w:val="2"/>
          <w:numId w:val="4"/>
        </w:numPr>
        <w:tabs>
          <w:tab w:val="left" w:pos="964"/>
        </w:tabs>
        <w:spacing w:line="360" w:lineRule="auto"/>
        <w:ind w:firstLine="480" w:firstLineChars="200"/>
        <w:rPr>
          <w:rFonts w:cs="宋体"/>
          <w:sz w:val="24"/>
          <w:szCs w:val="22"/>
        </w:rPr>
      </w:pPr>
      <w:r>
        <w:rPr>
          <w:rFonts w:hint="eastAsia" w:cs="宋体"/>
          <w:sz w:val="24"/>
          <w:szCs w:val="22"/>
        </w:rPr>
        <w:t>评标小组认为报价存在不合理或需进一步澄清的情况；</w:t>
      </w:r>
    </w:p>
    <w:p w14:paraId="57EB3825">
      <w:pPr>
        <w:numPr>
          <w:ilvl w:val="2"/>
          <w:numId w:val="4"/>
        </w:numPr>
        <w:tabs>
          <w:tab w:val="left" w:pos="964"/>
        </w:tabs>
        <w:spacing w:line="360" w:lineRule="auto"/>
        <w:ind w:firstLine="480" w:firstLineChars="200"/>
        <w:rPr>
          <w:rFonts w:cs="宋体"/>
          <w:sz w:val="24"/>
          <w:szCs w:val="22"/>
        </w:rPr>
      </w:pPr>
      <w:r>
        <w:rPr>
          <w:rFonts w:hint="eastAsia" w:cs="宋体"/>
          <w:sz w:val="24"/>
          <w:szCs w:val="22"/>
        </w:rPr>
        <w:t>二次报价不得高于初次报价，且需基于相同的技术方案和服务承诺。</w:t>
      </w:r>
      <w:r>
        <w:rPr>
          <w:rFonts w:hint="eastAsia" w:cs="宋体"/>
          <w:color w:val="auto"/>
          <w:sz w:val="24"/>
          <w:szCs w:val="22"/>
        </w:rPr>
        <w:t>没有进行二次报价的投标人，</w:t>
      </w:r>
      <w:r>
        <w:rPr>
          <w:rFonts w:hint="eastAsia" w:cs="宋体"/>
          <w:sz w:val="24"/>
          <w:szCs w:val="22"/>
        </w:rPr>
        <w:t>其初次报价仍为最终报价。</w:t>
      </w:r>
    </w:p>
    <w:p w14:paraId="75D5B629">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41" w:name="_Toc16884"/>
      <w:bookmarkStart w:id="142" w:name="_Toc9639"/>
      <w:r>
        <w:rPr>
          <w:rFonts w:hint="eastAsia" w:ascii="宋体" w:hAnsi="宋体" w:cs="宋体"/>
          <w:sz w:val="24"/>
          <w:szCs w:val="24"/>
        </w:rPr>
        <w:t>接受和拒绝任何或所有投标的权利</w:t>
      </w:r>
      <w:bookmarkEnd w:id="141"/>
      <w:bookmarkEnd w:id="142"/>
    </w:p>
    <w:p w14:paraId="22BA311E">
      <w:pPr>
        <w:numPr>
          <w:ilvl w:val="1"/>
          <w:numId w:val="4"/>
        </w:numPr>
        <w:tabs>
          <w:tab w:val="left" w:pos="964"/>
        </w:tabs>
        <w:spacing w:line="360" w:lineRule="auto"/>
        <w:ind w:firstLine="480" w:firstLineChars="200"/>
        <w:rPr>
          <w:rFonts w:cs="宋体"/>
          <w:sz w:val="24"/>
        </w:rPr>
      </w:pPr>
      <w:r>
        <w:rPr>
          <w:rFonts w:hint="eastAsia" w:cs="宋体"/>
          <w:sz w:val="24"/>
        </w:rPr>
        <w:t>招标单位保留在定标之前任何时候接受或拒绝任何投标，以及宣布招标程序无效或拒绝所有投标的权利，对受影响的投标人不承担任何责任，也无义务向受影响的投标人解释采取这一行动的理由。</w:t>
      </w:r>
    </w:p>
    <w:p w14:paraId="5BFB06DE">
      <w:pPr>
        <w:pStyle w:val="65"/>
        <w:rPr>
          <w:rFonts w:hint="eastAsia" w:cs="宋体"/>
        </w:rPr>
      </w:pPr>
    </w:p>
    <w:p w14:paraId="48434A9D">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43" w:name="_Toc866"/>
      <w:bookmarkStart w:id="144" w:name="_Toc28030"/>
      <w:r>
        <w:rPr>
          <w:rFonts w:hint="eastAsia" w:ascii="宋体" w:hAnsi="宋体" w:cs="宋体"/>
          <w:sz w:val="24"/>
          <w:szCs w:val="24"/>
        </w:rPr>
        <w:t>中标通知</w:t>
      </w:r>
      <w:bookmarkEnd w:id="143"/>
      <w:bookmarkEnd w:id="144"/>
    </w:p>
    <w:p w14:paraId="58924C50">
      <w:pPr>
        <w:numPr>
          <w:ilvl w:val="1"/>
          <w:numId w:val="4"/>
        </w:numPr>
        <w:tabs>
          <w:tab w:val="left" w:pos="964"/>
        </w:tabs>
        <w:spacing w:line="360" w:lineRule="auto"/>
        <w:ind w:firstLine="480" w:firstLineChars="200"/>
        <w:rPr>
          <w:rFonts w:cs="宋体"/>
          <w:sz w:val="24"/>
        </w:rPr>
      </w:pPr>
      <w:r>
        <w:rPr>
          <w:rFonts w:hint="eastAsia" w:cs="宋体"/>
          <w:sz w:val="24"/>
        </w:rPr>
        <w:t>评标结束后，评标结果经招标人确认后，招标单位应在刊登本采购项目招标公告的媒介上对中标结果进行公示，公示期满后，招标单位向中标人发出中标通知书。《中标通知书》对招标人和中标人具有同等法律效力。《中标通知书》发出后，招标人改变中标结果，或者中标人放弃中标，应当承担相应的法律责任。</w:t>
      </w:r>
    </w:p>
    <w:p w14:paraId="7F868CC0">
      <w:pPr>
        <w:numPr>
          <w:ilvl w:val="1"/>
          <w:numId w:val="4"/>
        </w:numPr>
        <w:tabs>
          <w:tab w:val="left" w:pos="964"/>
        </w:tabs>
        <w:spacing w:line="360" w:lineRule="auto"/>
        <w:ind w:firstLine="480" w:firstLineChars="200"/>
        <w:rPr>
          <w:rFonts w:cs="宋体"/>
          <w:sz w:val="24"/>
        </w:rPr>
      </w:pPr>
      <w:r>
        <w:rPr>
          <w:rFonts w:hint="eastAsia" w:cs="宋体"/>
          <w:sz w:val="24"/>
        </w:rPr>
        <w:t>投标人对评标结果有异议的，应当在中标公示期内，以书面形式向招标代理机构提出质疑。</w:t>
      </w:r>
    </w:p>
    <w:p w14:paraId="67D28CF8">
      <w:pPr>
        <w:numPr>
          <w:ilvl w:val="1"/>
          <w:numId w:val="4"/>
        </w:numPr>
        <w:tabs>
          <w:tab w:val="left" w:pos="964"/>
        </w:tabs>
        <w:spacing w:line="360" w:lineRule="auto"/>
        <w:ind w:firstLine="480" w:firstLineChars="200"/>
        <w:rPr>
          <w:rFonts w:cs="宋体"/>
          <w:sz w:val="24"/>
        </w:rPr>
      </w:pPr>
      <w:r>
        <w:rPr>
          <w:rFonts w:hint="eastAsia" w:cs="宋体"/>
          <w:sz w:val="24"/>
        </w:rPr>
        <w:t>《中标通知书》将作为签订合同的依据。合同签订后，《中标通知书》成为合同的一部分。</w:t>
      </w:r>
    </w:p>
    <w:p w14:paraId="1377039A">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45" w:name="_Toc18119"/>
      <w:bookmarkStart w:id="146" w:name="_Toc31865"/>
      <w:r>
        <w:rPr>
          <w:rFonts w:hint="eastAsia" w:ascii="宋体" w:hAnsi="宋体" w:cs="宋体"/>
          <w:sz w:val="24"/>
          <w:szCs w:val="24"/>
        </w:rPr>
        <w:t>签订合同</w:t>
      </w:r>
      <w:bookmarkEnd w:id="145"/>
      <w:bookmarkEnd w:id="146"/>
    </w:p>
    <w:p w14:paraId="57D1E7F0">
      <w:pPr>
        <w:numPr>
          <w:ilvl w:val="1"/>
          <w:numId w:val="4"/>
        </w:numPr>
        <w:tabs>
          <w:tab w:val="left" w:pos="964"/>
        </w:tabs>
        <w:spacing w:line="360" w:lineRule="auto"/>
        <w:ind w:firstLine="480" w:firstLineChars="200"/>
        <w:rPr>
          <w:rFonts w:cs="宋体"/>
          <w:sz w:val="24"/>
        </w:rPr>
      </w:pPr>
      <w:r>
        <w:rPr>
          <w:rFonts w:hint="eastAsia" w:cs="宋体"/>
          <w:sz w:val="24"/>
        </w:rPr>
        <w:t>招标人（或招标人指定的合同签订单位）、中标人应当在《中标通知书》发出之日起7日内，根据招标文件确定的事项和中标人的投标文件，参照本招标文件第五章的《合同》文本签订合同。逾期未签订合同，按照有关法律规定承担相应的法律责任。属中标人责任的，招标单位将没收其投标保证金，以抵偿对招标人造成的损失。</w:t>
      </w:r>
    </w:p>
    <w:p w14:paraId="2ABBB67C">
      <w:pPr>
        <w:numPr>
          <w:ilvl w:val="1"/>
          <w:numId w:val="4"/>
        </w:numPr>
        <w:tabs>
          <w:tab w:val="left" w:pos="964"/>
        </w:tabs>
        <w:spacing w:line="360" w:lineRule="auto"/>
        <w:ind w:firstLine="480" w:firstLineChars="200"/>
        <w:rPr>
          <w:rFonts w:cs="宋体"/>
          <w:sz w:val="24"/>
        </w:rPr>
      </w:pPr>
      <w:r>
        <w:rPr>
          <w:rFonts w:hint="eastAsia" w:cs="宋体"/>
          <w:sz w:val="24"/>
        </w:rPr>
        <w:t>招标文件、招标文件的修改文件、中标人的投标文件、补充或修改的文件及澄清或承诺文件等，均为双方签订采购合同的组成部分，并与合同一并作为本招标文件所列采购项目的互补性法律文件，与合同具有同等法律效力。</w:t>
      </w:r>
    </w:p>
    <w:p w14:paraId="7E5473C8">
      <w:pPr>
        <w:numPr>
          <w:ilvl w:val="1"/>
          <w:numId w:val="4"/>
        </w:numPr>
        <w:tabs>
          <w:tab w:val="left" w:pos="964"/>
        </w:tabs>
        <w:spacing w:line="360" w:lineRule="auto"/>
        <w:ind w:firstLine="480" w:firstLineChars="200"/>
        <w:rPr>
          <w:rFonts w:cs="宋体"/>
          <w:sz w:val="24"/>
        </w:rPr>
      </w:pPr>
      <w:r>
        <w:rPr>
          <w:rFonts w:hint="eastAsia" w:cs="宋体"/>
          <w:sz w:val="24"/>
        </w:rPr>
        <w:t>中标人因不可抗力或者自身原因不能履行合同的，招标人可以与其他中标候选人签订合同，或重新组织采购。</w:t>
      </w:r>
    </w:p>
    <w:p w14:paraId="08EABD77">
      <w:pPr>
        <w:pStyle w:val="3"/>
        <w:spacing w:line="360" w:lineRule="auto"/>
        <w:jc w:val="center"/>
        <w:rPr>
          <w:rFonts w:hint="eastAsia" w:ascii="宋体" w:hAnsi="宋体"/>
          <w:sz w:val="28"/>
          <w:szCs w:val="28"/>
        </w:rPr>
      </w:pPr>
      <w:bookmarkStart w:id="147" w:name="_Toc30206"/>
      <w:bookmarkStart w:id="148" w:name="_Toc9329"/>
      <w:r>
        <w:rPr>
          <w:rFonts w:hint="eastAsia" w:ascii="宋体" w:hAnsi="宋体"/>
          <w:sz w:val="28"/>
          <w:szCs w:val="28"/>
        </w:rPr>
        <w:t>第七节  询问与异议</w:t>
      </w:r>
      <w:bookmarkEnd w:id="147"/>
      <w:bookmarkEnd w:id="148"/>
    </w:p>
    <w:p w14:paraId="307330CF">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49" w:name="_Toc6931"/>
      <w:bookmarkStart w:id="150" w:name="_Toc17478"/>
      <w:r>
        <w:rPr>
          <w:rFonts w:hint="eastAsia" w:ascii="宋体" w:hAnsi="宋体" w:cs="宋体"/>
          <w:sz w:val="24"/>
          <w:szCs w:val="24"/>
        </w:rPr>
        <w:t>询问</w:t>
      </w:r>
      <w:bookmarkEnd w:id="149"/>
      <w:bookmarkEnd w:id="150"/>
    </w:p>
    <w:p w14:paraId="4E243FFA">
      <w:pPr>
        <w:numPr>
          <w:ilvl w:val="1"/>
          <w:numId w:val="4"/>
        </w:numPr>
        <w:tabs>
          <w:tab w:val="left" w:pos="964"/>
        </w:tabs>
        <w:spacing w:line="360" w:lineRule="auto"/>
        <w:ind w:firstLine="480" w:firstLineChars="200"/>
        <w:rPr>
          <w:rFonts w:cs="宋体"/>
          <w:sz w:val="24"/>
          <w:szCs w:val="24"/>
        </w:rPr>
      </w:pPr>
      <w:r>
        <w:rPr>
          <w:rFonts w:hint="eastAsia" w:cs="宋体"/>
          <w:sz w:val="24"/>
        </w:rPr>
        <w:t xml:space="preserve"> 潜在投标人或投标人对本次招标活动的有关事项若有疑问，可向招标单位提出询问，招标单位将按照有关规定进行答复。</w:t>
      </w:r>
    </w:p>
    <w:p w14:paraId="5FB73E4C">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51" w:name="_Toc11610"/>
      <w:bookmarkStart w:id="152" w:name="_Toc25531"/>
      <w:r>
        <w:rPr>
          <w:rFonts w:hint="eastAsia" w:ascii="宋体" w:hAnsi="宋体" w:cs="宋体"/>
          <w:sz w:val="24"/>
          <w:szCs w:val="24"/>
        </w:rPr>
        <w:t>异议</w:t>
      </w:r>
      <w:bookmarkEnd w:id="151"/>
      <w:bookmarkEnd w:id="152"/>
    </w:p>
    <w:p w14:paraId="13DDD9B5">
      <w:pPr>
        <w:numPr>
          <w:ilvl w:val="1"/>
          <w:numId w:val="4"/>
        </w:numPr>
        <w:tabs>
          <w:tab w:val="left" w:pos="964"/>
        </w:tabs>
        <w:spacing w:line="360" w:lineRule="auto"/>
        <w:ind w:firstLine="480" w:firstLineChars="200"/>
        <w:rPr>
          <w:rFonts w:cs="宋体"/>
          <w:sz w:val="24"/>
        </w:rPr>
      </w:pPr>
      <w:r>
        <w:rPr>
          <w:rFonts w:hint="eastAsia" w:cs="宋体"/>
          <w:sz w:val="24"/>
        </w:rPr>
        <w:t>投标人对本项目提出的异议应符合招标投标相关法律法规的规定。超过法定期限提出的异议，招标人可不予受理。</w:t>
      </w:r>
    </w:p>
    <w:p w14:paraId="40F59E0A">
      <w:pPr>
        <w:numPr>
          <w:ilvl w:val="1"/>
          <w:numId w:val="4"/>
        </w:numPr>
        <w:tabs>
          <w:tab w:val="left" w:pos="964"/>
        </w:tabs>
        <w:spacing w:line="360" w:lineRule="auto"/>
        <w:ind w:firstLine="480" w:firstLineChars="200"/>
        <w:rPr>
          <w:rFonts w:cs="宋体"/>
          <w:sz w:val="24"/>
        </w:rPr>
      </w:pPr>
      <w:r>
        <w:rPr>
          <w:rFonts w:hint="eastAsia" w:cs="宋体"/>
          <w:sz w:val="24"/>
        </w:rPr>
        <w:t>除针对开标提出的异议外，针对招标文件、招标过程、结果的异议应符合下列条件：</w:t>
      </w:r>
    </w:p>
    <w:p w14:paraId="29BCC2B2">
      <w:pPr>
        <w:spacing w:line="360" w:lineRule="auto"/>
        <w:ind w:firstLine="420" w:firstLineChars="175"/>
        <w:rPr>
          <w:rFonts w:cs="宋体"/>
          <w:sz w:val="24"/>
        </w:rPr>
      </w:pPr>
      <w:r>
        <w:rPr>
          <w:rFonts w:hint="eastAsia" w:cs="宋体"/>
          <w:sz w:val="24"/>
        </w:rPr>
        <w:t>（1）对招标文件提出异议的，异议人应为潜在投标人或者其他利害关系人。对招标过程、结果提出异议的，异议人应为投标人或者其他利害关系人。</w:t>
      </w:r>
    </w:p>
    <w:p w14:paraId="4985F111">
      <w:pPr>
        <w:spacing w:line="360" w:lineRule="auto"/>
        <w:ind w:firstLine="420" w:firstLineChars="175"/>
        <w:rPr>
          <w:rFonts w:cs="宋体"/>
          <w:sz w:val="24"/>
        </w:rPr>
      </w:pPr>
      <w:r>
        <w:rPr>
          <w:rFonts w:hint="eastAsia" w:cs="宋体"/>
          <w:sz w:val="24"/>
        </w:rPr>
        <w:t>（2）异议人应按照招标文件规定的方式递交异议函。</w:t>
      </w:r>
    </w:p>
    <w:p w14:paraId="327E012D">
      <w:pPr>
        <w:spacing w:line="360" w:lineRule="auto"/>
        <w:ind w:firstLine="420" w:firstLineChars="175"/>
        <w:rPr>
          <w:rFonts w:cs="宋体"/>
          <w:sz w:val="24"/>
        </w:rPr>
      </w:pPr>
      <w:r>
        <w:rPr>
          <w:rFonts w:hint="eastAsia" w:cs="宋体"/>
          <w:sz w:val="24"/>
        </w:rPr>
        <w:t>（3）异议函应包括下列主要内容：</w:t>
      </w:r>
    </w:p>
    <w:p w14:paraId="26FFF9AF">
      <w:pPr>
        <w:spacing w:line="360" w:lineRule="auto"/>
        <w:ind w:firstLine="480" w:firstLineChars="200"/>
        <w:rPr>
          <w:rFonts w:cs="宋体"/>
          <w:sz w:val="24"/>
        </w:rPr>
      </w:pPr>
      <w:r>
        <w:rPr>
          <w:rFonts w:hint="eastAsia" w:cs="宋体"/>
          <w:sz w:val="24"/>
        </w:rPr>
        <w:t>①异议人的基本信息，联系方式；</w:t>
      </w:r>
    </w:p>
    <w:p w14:paraId="451A7C5A">
      <w:pPr>
        <w:spacing w:line="360" w:lineRule="auto"/>
        <w:ind w:firstLine="480" w:firstLineChars="200"/>
        <w:rPr>
          <w:rFonts w:cs="宋体"/>
          <w:sz w:val="24"/>
        </w:rPr>
      </w:pPr>
      <w:r>
        <w:rPr>
          <w:rFonts w:hint="eastAsia" w:cs="宋体"/>
          <w:sz w:val="24"/>
        </w:rPr>
        <w:t>②所异议项目的基本信息，至少包括：招标编号、项目名称等；</w:t>
      </w:r>
    </w:p>
    <w:p w14:paraId="24215101">
      <w:pPr>
        <w:spacing w:line="360" w:lineRule="auto"/>
        <w:ind w:firstLine="480" w:firstLineChars="200"/>
        <w:rPr>
          <w:rFonts w:cs="宋体"/>
          <w:sz w:val="24"/>
        </w:rPr>
      </w:pPr>
      <w:r>
        <w:rPr>
          <w:rFonts w:hint="eastAsia" w:cs="宋体"/>
          <w:sz w:val="24"/>
        </w:rPr>
        <w:t>③所异议的具体事项；</w:t>
      </w:r>
    </w:p>
    <w:p w14:paraId="2D2D51B5">
      <w:pPr>
        <w:spacing w:line="360" w:lineRule="auto"/>
        <w:ind w:firstLine="480" w:firstLineChars="200"/>
        <w:rPr>
          <w:rFonts w:cs="宋体"/>
          <w:sz w:val="24"/>
        </w:rPr>
      </w:pPr>
      <w:r>
        <w:rPr>
          <w:rFonts w:hint="eastAsia" w:cs="宋体"/>
          <w:sz w:val="24"/>
        </w:rPr>
        <w:t>④针对异议事项提出的明确请求；</w:t>
      </w:r>
    </w:p>
    <w:p w14:paraId="3EA44507">
      <w:pPr>
        <w:spacing w:line="360" w:lineRule="auto"/>
        <w:ind w:firstLine="480" w:firstLineChars="200"/>
        <w:rPr>
          <w:rFonts w:cs="宋体"/>
          <w:sz w:val="24"/>
        </w:rPr>
      </w:pPr>
      <w:r>
        <w:rPr>
          <w:rFonts w:hint="eastAsia" w:cs="宋体"/>
          <w:sz w:val="24"/>
        </w:rPr>
        <w:t>⑤相关证明材料：</w:t>
      </w:r>
    </w:p>
    <w:p w14:paraId="3EF8E0D4">
      <w:pPr>
        <w:spacing w:line="360" w:lineRule="auto"/>
        <w:ind w:firstLine="480" w:firstLineChars="200"/>
        <w:rPr>
          <w:rFonts w:cs="宋体"/>
          <w:sz w:val="24"/>
        </w:rPr>
      </w:pPr>
      <w:r>
        <w:rPr>
          <w:rFonts w:hint="eastAsia" w:cs="宋体"/>
          <w:sz w:val="24"/>
        </w:rPr>
        <w:t>⑥提出异议的日期。</w:t>
      </w:r>
    </w:p>
    <w:p w14:paraId="6CD60333">
      <w:pPr>
        <w:spacing w:line="360" w:lineRule="auto"/>
        <w:ind w:firstLine="480" w:firstLineChars="200"/>
        <w:rPr>
          <w:rFonts w:cs="宋体"/>
          <w:sz w:val="24"/>
        </w:rPr>
      </w:pPr>
      <w:r>
        <w:rPr>
          <w:rFonts w:hint="eastAsia" w:cs="宋体"/>
          <w:sz w:val="24"/>
        </w:rPr>
        <w:t>注：异议人为法人或其他组织的，异议函应由单位负责人或委托代理人签字或盖章，并加盖投标人的单位公章。异议人为自然人的，异议函应由本人签字。</w:t>
      </w:r>
    </w:p>
    <w:p w14:paraId="6945A1BA">
      <w:pPr>
        <w:numPr>
          <w:ilvl w:val="1"/>
          <w:numId w:val="4"/>
        </w:numPr>
        <w:tabs>
          <w:tab w:val="left" w:pos="964"/>
        </w:tabs>
        <w:spacing w:line="360" w:lineRule="auto"/>
        <w:ind w:firstLine="480" w:firstLineChars="200"/>
        <w:rPr>
          <w:rFonts w:cs="宋体"/>
          <w:sz w:val="24"/>
        </w:rPr>
      </w:pPr>
      <w:r>
        <w:rPr>
          <w:rFonts w:hint="eastAsia" w:cs="宋体"/>
          <w:sz w:val="24"/>
        </w:rPr>
        <w:t>对符合本章第22.1、22.2条规定的异议，招标人将按照有关规定进行答复。</w:t>
      </w:r>
    </w:p>
    <w:p w14:paraId="2F5A537C">
      <w:pPr>
        <w:pStyle w:val="15"/>
        <w:spacing w:line="360" w:lineRule="auto"/>
        <w:jc w:val="center"/>
        <w:outlineLvl w:val="0"/>
        <w:rPr>
          <w:rFonts w:hint="eastAsia" w:hAnsi="宋体"/>
          <w:sz w:val="28"/>
        </w:rPr>
      </w:pPr>
      <w:r>
        <w:rPr>
          <w:rFonts w:hint="eastAsia" w:hAnsi="宋体"/>
          <w:b/>
          <w:bCs/>
          <w:sz w:val="36"/>
          <w:szCs w:val="36"/>
        </w:rPr>
        <w:br w:type="page"/>
      </w:r>
      <w:bookmarkStart w:id="153" w:name="_Toc12741"/>
      <w:bookmarkStart w:id="154" w:name="_Toc10504"/>
      <w:r>
        <w:rPr>
          <w:rFonts w:hint="eastAsia" w:hAnsi="宋体"/>
          <w:b/>
          <w:bCs/>
          <w:sz w:val="36"/>
          <w:szCs w:val="36"/>
        </w:rPr>
        <w:t>第三章  评标办法</w:t>
      </w:r>
      <w:bookmarkEnd w:id="153"/>
      <w:bookmarkEnd w:id="154"/>
    </w:p>
    <w:p w14:paraId="374179A4">
      <w:pPr>
        <w:pStyle w:val="3"/>
        <w:spacing w:before="0" w:after="0" w:line="360" w:lineRule="auto"/>
        <w:rPr>
          <w:rFonts w:hint="eastAsia" w:ascii="宋体" w:hAnsi="宋体"/>
          <w:sz w:val="24"/>
          <w:szCs w:val="24"/>
        </w:rPr>
      </w:pPr>
      <w:bookmarkStart w:id="155" w:name="_Toc1684"/>
      <w:bookmarkStart w:id="156" w:name="_Toc14642"/>
      <w:r>
        <w:rPr>
          <w:rFonts w:hint="eastAsia" w:ascii="宋体" w:hAnsi="宋体"/>
          <w:sz w:val="24"/>
          <w:szCs w:val="24"/>
        </w:rPr>
        <w:t>1、总则</w:t>
      </w:r>
      <w:bookmarkEnd w:id="155"/>
      <w:bookmarkEnd w:id="156"/>
    </w:p>
    <w:p w14:paraId="65E447E4">
      <w:pPr>
        <w:spacing w:line="360" w:lineRule="auto"/>
        <w:ind w:firstLine="480" w:firstLineChars="200"/>
        <w:rPr>
          <w:rFonts w:cs="宋体"/>
          <w:sz w:val="24"/>
          <w:szCs w:val="24"/>
        </w:rPr>
      </w:pPr>
      <w:r>
        <w:rPr>
          <w:rFonts w:hint="eastAsia" w:cs="宋体"/>
          <w:sz w:val="24"/>
          <w:szCs w:val="24"/>
        </w:rPr>
        <w:t>1.1本评标办法为招标项目的招标文件的组成部分。评标委员会应当按照有关法律法规和招标文件的规定进行评标，招标文件没有规定的评标办法和标准不得作为评标依据。</w:t>
      </w:r>
    </w:p>
    <w:p w14:paraId="01A6E254">
      <w:pPr>
        <w:spacing w:line="360" w:lineRule="auto"/>
        <w:ind w:firstLine="480" w:firstLineChars="200"/>
        <w:rPr>
          <w:rFonts w:cs="宋体"/>
          <w:sz w:val="24"/>
          <w:szCs w:val="24"/>
        </w:rPr>
      </w:pPr>
      <w:r>
        <w:rPr>
          <w:rFonts w:hint="eastAsia" w:cs="宋体"/>
          <w:sz w:val="24"/>
          <w:szCs w:val="24"/>
        </w:rPr>
        <w:t>1.2评标委员会对投标人递交的投标文件，按照本评标办法规定的评标程序及评标办法和标准进行评审，推荐中标候选人。招标人根据评标委员会的评标结果和推荐的中标候选人依法确定中标人。</w:t>
      </w:r>
    </w:p>
    <w:p w14:paraId="7A456496">
      <w:pPr>
        <w:pStyle w:val="3"/>
        <w:spacing w:before="0" w:after="0" w:line="360" w:lineRule="auto"/>
        <w:rPr>
          <w:rFonts w:hint="eastAsia" w:ascii="宋体" w:hAnsi="宋体"/>
          <w:sz w:val="24"/>
          <w:szCs w:val="24"/>
        </w:rPr>
      </w:pPr>
      <w:bookmarkStart w:id="157" w:name="_Toc18245"/>
      <w:bookmarkStart w:id="158" w:name="_Toc26255"/>
      <w:r>
        <w:rPr>
          <w:rFonts w:hint="eastAsia" w:ascii="宋体" w:hAnsi="宋体"/>
          <w:sz w:val="24"/>
          <w:szCs w:val="24"/>
        </w:rPr>
        <w:t>2、评标委员会的组建</w:t>
      </w:r>
      <w:bookmarkEnd w:id="157"/>
      <w:bookmarkEnd w:id="158"/>
    </w:p>
    <w:p w14:paraId="5330D7E9">
      <w:pPr>
        <w:spacing w:line="360" w:lineRule="auto"/>
        <w:ind w:left="69" w:firstLine="480" w:firstLineChars="200"/>
        <w:rPr>
          <w:rFonts w:cs="宋体"/>
          <w:sz w:val="24"/>
          <w:szCs w:val="24"/>
        </w:rPr>
      </w:pPr>
      <w:r>
        <w:rPr>
          <w:rFonts w:hint="eastAsia" w:cs="宋体"/>
          <w:sz w:val="24"/>
          <w:szCs w:val="24"/>
        </w:rPr>
        <w:t>2.1评标委员会由招标人依法组建，负责评标活动，在开标后的适当时间里由评标委员会对投标文件进行审查、质疑、评估和比较，并做出授予合同的建议。</w:t>
      </w:r>
    </w:p>
    <w:p w14:paraId="13D7EFF9">
      <w:pPr>
        <w:spacing w:line="360" w:lineRule="auto"/>
        <w:ind w:left="69" w:firstLine="480" w:firstLineChars="200"/>
        <w:rPr>
          <w:rFonts w:cs="宋体"/>
          <w:sz w:val="24"/>
          <w:szCs w:val="24"/>
        </w:rPr>
      </w:pPr>
      <w:r>
        <w:rPr>
          <w:rFonts w:hint="eastAsia" w:cs="宋体"/>
          <w:sz w:val="24"/>
          <w:szCs w:val="24"/>
        </w:rPr>
        <w:t>2.2评标委员会构成：评标委员会由公司内部</w:t>
      </w:r>
      <w:r>
        <w:rPr>
          <w:rFonts w:hint="eastAsia" w:cs="宋体"/>
          <w:sz w:val="24"/>
          <w:szCs w:val="24"/>
          <w:lang w:val="en-US" w:eastAsia="zh-CN"/>
        </w:rPr>
        <w:t>相关</w:t>
      </w:r>
      <w:r>
        <w:rPr>
          <w:rFonts w:hint="eastAsia" w:cs="宋体"/>
          <w:sz w:val="24"/>
          <w:szCs w:val="24"/>
        </w:rPr>
        <w:t>部门的专业人员组成。</w:t>
      </w:r>
    </w:p>
    <w:p w14:paraId="5E1DCD44">
      <w:pPr>
        <w:pStyle w:val="3"/>
        <w:spacing w:before="0" w:after="0"/>
        <w:rPr>
          <w:rFonts w:hint="eastAsia" w:ascii="宋体" w:hAnsi="宋体"/>
          <w:sz w:val="24"/>
          <w:szCs w:val="24"/>
        </w:rPr>
      </w:pPr>
      <w:bookmarkStart w:id="159" w:name="_Toc6613"/>
      <w:bookmarkStart w:id="160" w:name="_Toc18629"/>
      <w:r>
        <w:rPr>
          <w:rFonts w:hint="eastAsia" w:ascii="宋体" w:hAnsi="宋体"/>
          <w:sz w:val="24"/>
          <w:szCs w:val="24"/>
        </w:rPr>
        <w:t>3、评标原则和评标纪律</w:t>
      </w:r>
      <w:bookmarkEnd w:id="159"/>
      <w:bookmarkEnd w:id="160"/>
    </w:p>
    <w:p w14:paraId="3858912E">
      <w:pPr>
        <w:spacing w:line="360" w:lineRule="auto"/>
        <w:ind w:firstLine="540" w:firstLineChars="225"/>
        <w:rPr>
          <w:rFonts w:cs="宋体"/>
          <w:sz w:val="24"/>
          <w:szCs w:val="24"/>
        </w:rPr>
      </w:pPr>
      <w:r>
        <w:rPr>
          <w:rFonts w:hint="eastAsia" w:cs="宋体"/>
          <w:sz w:val="24"/>
          <w:szCs w:val="24"/>
        </w:rPr>
        <w:t>3.1 评标活动遵循公平、公正、科学和择优的原则。</w:t>
      </w:r>
    </w:p>
    <w:p w14:paraId="38C665A2">
      <w:pPr>
        <w:spacing w:line="360" w:lineRule="auto"/>
        <w:ind w:firstLine="540" w:firstLineChars="225"/>
        <w:rPr>
          <w:rFonts w:cs="宋体"/>
          <w:sz w:val="24"/>
          <w:szCs w:val="24"/>
        </w:rPr>
      </w:pPr>
      <w:r>
        <w:rPr>
          <w:rFonts w:hint="eastAsia" w:cs="宋体"/>
          <w:sz w:val="24"/>
          <w:szCs w:val="24"/>
        </w:rPr>
        <w:t>3.2 评标委员会及其成员的权利、义务和评标纪律：</w:t>
      </w:r>
    </w:p>
    <w:p w14:paraId="2E35BC1D">
      <w:pPr>
        <w:spacing w:line="360" w:lineRule="auto"/>
        <w:ind w:firstLine="540" w:firstLineChars="225"/>
        <w:rPr>
          <w:rFonts w:cs="宋体"/>
          <w:sz w:val="24"/>
          <w:szCs w:val="24"/>
        </w:rPr>
      </w:pPr>
      <w:r>
        <w:rPr>
          <w:rFonts w:hint="eastAsia" w:cs="宋体"/>
          <w:sz w:val="24"/>
          <w:szCs w:val="24"/>
        </w:rPr>
        <w:t>3.2.1 评标委员会成员享有依据招标文件规定的评标办法和标准对投标文件进行评审、充分发表自己的评审意见或保留自己的评审意见的权利，但招标文件没有规定的评标办法和标准，不得作为评标依据。</w:t>
      </w:r>
    </w:p>
    <w:p w14:paraId="32BDBD56">
      <w:pPr>
        <w:spacing w:line="360" w:lineRule="auto"/>
        <w:ind w:firstLine="540" w:firstLineChars="225"/>
        <w:rPr>
          <w:rFonts w:cs="宋体"/>
          <w:sz w:val="24"/>
          <w:szCs w:val="24"/>
        </w:rPr>
      </w:pPr>
      <w:r>
        <w:rPr>
          <w:rFonts w:hint="eastAsia" w:cs="宋体"/>
          <w:sz w:val="24"/>
          <w:szCs w:val="24"/>
        </w:rPr>
        <w:t>3.2.2 评标委员会成员应在评标前认真审阅招标文件。</w:t>
      </w:r>
    </w:p>
    <w:p w14:paraId="0ADC85D2">
      <w:pPr>
        <w:spacing w:line="360" w:lineRule="auto"/>
        <w:ind w:firstLine="540" w:firstLineChars="225"/>
        <w:rPr>
          <w:rFonts w:cs="宋体"/>
          <w:sz w:val="24"/>
          <w:szCs w:val="24"/>
        </w:rPr>
      </w:pPr>
      <w:bookmarkStart w:id="161" w:name="_Toc31507"/>
      <w:r>
        <w:rPr>
          <w:rFonts w:hint="eastAsia" w:cs="宋体"/>
          <w:sz w:val="24"/>
          <w:szCs w:val="24"/>
        </w:rPr>
        <w:t>3.2.</w:t>
      </w:r>
      <w:r>
        <w:rPr>
          <w:rFonts w:hint="eastAsia" w:cs="宋体"/>
          <w:sz w:val="24"/>
          <w:szCs w:val="24"/>
          <w:lang w:val="en-US" w:eastAsia="zh-CN"/>
        </w:rPr>
        <w:t>3</w:t>
      </w:r>
      <w:r>
        <w:rPr>
          <w:rFonts w:hint="eastAsia" w:cs="宋体"/>
          <w:sz w:val="24"/>
          <w:szCs w:val="24"/>
        </w:rPr>
        <w:t xml:space="preserve"> 评标委员会对同一招标项目只能做出一种评标结论，评标委员会成员对评标结论如有异议，应按少数服从多数的原则投票表决。对评标结论持有异议的，评标委员会成员可以书面方式阐述其不同意见和理由。评标委员会成员拒绝在评标报告上签字且不陈述其不同意见和理由的，视为同意评标结论，并由评标委员会作出书面说明并存档。</w:t>
      </w:r>
    </w:p>
    <w:p w14:paraId="49067DD0">
      <w:pPr>
        <w:spacing w:line="360" w:lineRule="auto"/>
        <w:ind w:firstLine="540" w:firstLineChars="225"/>
        <w:rPr>
          <w:rFonts w:cs="宋体"/>
          <w:sz w:val="24"/>
          <w:szCs w:val="24"/>
        </w:rPr>
      </w:pPr>
      <w:r>
        <w:rPr>
          <w:rFonts w:hint="eastAsia" w:cs="宋体"/>
          <w:sz w:val="24"/>
          <w:szCs w:val="24"/>
        </w:rPr>
        <w:t>3.2.</w:t>
      </w:r>
      <w:r>
        <w:rPr>
          <w:rFonts w:hint="eastAsia" w:cs="宋体"/>
          <w:sz w:val="24"/>
          <w:szCs w:val="24"/>
          <w:lang w:val="en-US" w:eastAsia="zh-CN"/>
        </w:rPr>
        <w:t>4</w:t>
      </w:r>
      <w:r>
        <w:rPr>
          <w:rFonts w:hint="eastAsia" w:cs="宋体"/>
          <w:sz w:val="24"/>
          <w:szCs w:val="24"/>
        </w:rPr>
        <w:t xml:space="preserve"> 评标委员会成员应当客观公正地履行职责，遵守职业道德，并对所提出的评审意见承担个人责任。</w:t>
      </w:r>
    </w:p>
    <w:p w14:paraId="19157B11">
      <w:pPr>
        <w:spacing w:line="360" w:lineRule="auto"/>
        <w:ind w:firstLine="540" w:firstLineChars="225"/>
        <w:rPr>
          <w:rFonts w:cs="宋体"/>
          <w:sz w:val="24"/>
          <w:szCs w:val="24"/>
        </w:rPr>
      </w:pPr>
      <w:r>
        <w:rPr>
          <w:rFonts w:hint="eastAsia" w:cs="宋体"/>
          <w:sz w:val="24"/>
          <w:szCs w:val="24"/>
        </w:rPr>
        <w:t>3.2.</w:t>
      </w:r>
      <w:r>
        <w:rPr>
          <w:rFonts w:hint="eastAsia" w:cs="宋体"/>
          <w:sz w:val="24"/>
          <w:szCs w:val="24"/>
          <w:lang w:val="en-US" w:eastAsia="zh-CN"/>
        </w:rPr>
        <w:t>5</w:t>
      </w:r>
      <w:r>
        <w:rPr>
          <w:rFonts w:hint="eastAsia" w:cs="宋体"/>
          <w:sz w:val="24"/>
          <w:szCs w:val="24"/>
        </w:rPr>
        <w:t xml:space="preserve"> 评标委员会成员不得与任何投标人或者与招标结果有利害关系的人进行私下接触，不得收受投标人、中介人、其他利害关系人的财物或者其他好处。</w:t>
      </w:r>
    </w:p>
    <w:p w14:paraId="681F013B">
      <w:pPr>
        <w:spacing w:line="360" w:lineRule="auto"/>
        <w:ind w:firstLine="540" w:firstLineChars="225"/>
        <w:rPr>
          <w:rFonts w:cs="宋体"/>
          <w:sz w:val="24"/>
          <w:szCs w:val="24"/>
        </w:rPr>
      </w:pPr>
      <w:r>
        <w:rPr>
          <w:rFonts w:hint="eastAsia" w:cs="宋体"/>
          <w:sz w:val="24"/>
          <w:szCs w:val="24"/>
        </w:rPr>
        <w:t>3.2.</w:t>
      </w:r>
      <w:r>
        <w:rPr>
          <w:rFonts w:hint="eastAsia" w:cs="宋体"/>
          <w:sz w:val="24"/>
          <w:szCs w:val="24"/>
          <w:lang w:val="en-US" w:eastAsia="zh-CN"/>
        </w:rPr>
        <w:t>6</w:t>
      </w:r>
      <w:r>
        <w:rPr>
          <w:rFonts w:hint="eastAsia" w:cs="宋体"/>
          <w:sz w:val="24"/>
          <w:szCs w:val="24"/>
        </w:rPr>
        <w:t xml:space="preserve"> 评标委员会成员以及与评标活动有关的工作人员不得对外透露评标委员会对投标文件的评审和比较情况、中标候选人的推荐情况以及与评标有关的其他情况。</w:t>
      </w:r>
    </w:p>
    <w:p w14:paraId="087F2E45">
      <w:pPr>
        <w:spacing w:line="360" w:lineRule="auto"/>
        <w:ind w:firstLine="540" w:firstLineChars="225"/>
        <w:rPr>
          <w:rFonts w:cs="宋体"/>
          <w:sz w:val="24"/>
          <w:szCs w:val="24"/>
        </w:rPr>
      </w:pPr>
      <w:r>
        <w:rPr>
          <w:rFonts w:hint="eastAsia" w:cs="宋体"/>
          <w:sz w:val="24"/>
          <w:szCs w:val="24"/>
        </w:rPr>
        <w:t>3.2.</w:t>
      </w:r>
      <w:r>
        <w:rPr>
          <w:rFonts w:hint="eastAsia" w:cs="宋体"/>
          <w:sz w:val="24"/>
          <w:szCs w:val="24"/>
          <w:lang w:val="en-US" w:eastAsia="zh-CN"/>
        </w:rPr>
        <w:t>7</w:t>
      </w:r>
      <w:r>
        <w:rPr>
          <w:rFonts w:hint="eastAsia" w:cs="宋体"/>
          <w:sz w:val="24"/>
          <w:szCs w:val="24"/>
        </w:rPr>
        <w:t xml:space="preserve"> 评标委员会成员在评标过程中不得擅离职守影响评标程序正常进行，评审活动未结束，无正当理由不得中途退出评标委员会。</w:t>
      </w:r>
    </w:p>
    <w:p w14:paraId="121ECDE2">
      <w:pPr>
        <w:spacing w:line="360" w:lineRule="auto"/>
        <w:ind w:firstLine="540" w:firstLineChars="225"/>
        <w:rPr>
          <w:rFonts w:cs="宋体"/>
          <w:sz w:val="24"/>
          <w:szCs w:val="24"/>
        </w:rPr>
      </w:pPr>
      <w:r>
        <w:rPr>
          <w:rFonts w:hint="eastAsia" w:cs="宋体"/>
          <w:sz w:val="24"/>
          <w:szCs w:val="24"/>
        </w:rPr>
        <w:t>3.2.</w:t>
      </w:r>
      <w:r>
        <w:rPr>
          <w:rFonts w:hint="eastAsia" w:cs="宋体"/>
          <w:sz w:val="24"/>
          <w:szCs w:val="24"/>
          <w:lang w:val="en-US" w:eastAsia="zh-CN"/>
        </w:rPr>
        <w:t>8</w:t>
      </w:r>
      <w:r>
        <w:rPr>
          <w:rFonts w:hint="eastAsia" w:cs="宋体"/>
          <w:sz w:val="24"/>
          <w:szCs w:val="24"/>
        </w:rPr>
        <w:t xml:space="preserve"> 评标委员会及其成员还享有并应遵守有关法律、法规、规章等政策法规文件规定的权力、义务和评标纪律。</w:t>
      </w:r>
    </w:p>
    <w:p w14:paraId="42CD0F26">
      <w:pPr>
        <w:spacing w:line="360" w:lineRule="auto"/>
        <w:ind w:firstLine="540" w:firstLineChars="225"/>
        <w:rPr>
          <w:rFonts w:cs="宋体"/>
          <w:sz w:val="24"/>
          <w:szCs w:val="24"/>
        </w:rPr>
      </w:pPr>
      <w:r>
        <w:rPr>
          <w:rFonts w:hint="eastAsia" w:cs="宋体"/>
          <w:sz w:val="24"/>
          <w:szCs w:val="24"/>
        </w:rPr>
        <w:t>3.2.</w:t>
      </w:r>
      <w:r>
        <w:rPr>
          <w:rFonts w:hint="eastAsia" w:cs="宋体"/>
          <w:sz w:val="24"/>
          <w:szCs w:val="24"/>
          <w:lang w:val="en-US" w:eastAsia="zh-CN"/>
        </w:rPr>
        <w:t>9</w:t>
      </w:r>
      <w:r>
        <w:rPr>
          <w:rFonts w:hint="eastAsia" w:cs="宋体"/>
          <w:sz w:val="24"/>
          <w:szCs w:val="24"/>
        </w:rPr>
        <w:t xml:space="preserve"> 评标委员会成员有违反以上行为的，将由违反者承担道德、纪律或法律责任。</w:t>
      </w:r>
    </w:p>
    <w:p w14:paraId="55180D89">
      <w:pPr>
        <w:pStyle w:val="3"/>
        <w:spacing w:before="0" w:after="0" w:line="360" w:lineRule="auto"/>
        <w:rPr>
          <w:rFonts w:hint="eastAsia" w:ascii="宋体" w:hAnsi="宋体"/>
          <w:sz w:val="24"/>
          <w:szCs w:val="24"/>
        </w:rPr>
      </w:pPr>
      <w:bookmarkStart w:id="162" w:name="_Toc19153"/>
      <w:r>
        <w:rPr>
          <w:rFonts w:hint="eastAsia" w:ascii="宋体" w:hAnsi="宋体"/>
          <w:sz w:val="24"/>
          <w:szCs w:val="24"/>
        </w:rPr>
        <w:t>4、评标程序、评标办法和标准</w:t>
      </w:r>
      <w:bookmarkEnd w:id="161"/>
      <w:bookmarkEnd w:id="162"/>
    </w:p>
    <w:p w14:paraId="16CC2374">
      <w:pPr>
        <w:tabs>
          <w:tab w:val="left" w:pos="425"/>
        </w:tabs>
        <w:spacing w:line="360" w:lineRule="auto"/>
        <w:ind w:firstLine="540" w:firstLineChars="225"/>
        <w:rPr>
          <w:rFonts w:cs="宋体"/>
          <w:sz w:val="24"/>
          <w:szCs w:val="24"/>
        </w:rPr>
      </w:pPr>
      <w:r>
        <w:rPr>
          <w:rFonts w:hint="eastAsia" w:cs="宋体"/>
          <w:sz w:val="24"/>
          <w:szCs w:val="24"/>
        </w:rPr>
        <w:t>4.1投标文件的初审</w:t>
      </w:r>
    </w:p>
    <w:p w14:paraId="3078D516">
      <w:pPr>
        <w:tabs>
          <w:tab w:val="left" w:pos="425"/>
          <w:tab w:val="left" w:pos="964"/>
        </w:tabs>
        <w:spacing w:line="360" w:lineRule="auto"/>
        <w:ind w:firstLine="540" w:firstLineChars="225"/>
        <w:rPr>
          <w:rFonts w:cs="宋体"/>
          <w:sz w:val="24"/>
          <w:szCs w:val="24"/>
        </w:rPr>
      </w:pPr>
      <w:r>
        <w:rPr>
          <w:rFonts w:hint="eastAsia" w:cs="宋体"/>
          <w:sz w:val="24"/>
          <w:szCs w:val="24"/>
        </w:rPr>
        <w:t>4.1.1对所有投标人的评估，都采用相同的程序和标准。评议过程将严格按照招标文件的要求和条件进行。</w:t>
      </w:r>
    </w:p>
    <w:p w14:paraId="26936C75">
      <w:pPr>
        <w:tabs>
          <w:tab w:val="left" w:pos="425"/>
          <w:tab w:val="left" w:pos="964"/>
        </w:tabs>
        <w:spacing w:line="360" w:lineRule="auto"/>
        <w:ind w:firstLine="540" w:firstLineChars="225"/>
        <w:rPr>
          <w:rFonts w:cs="宋体"/>
          <w:sz w:val="24"/>
          <w:szCs w:val="24"/>
        </w:rPr>
      </w:pPr>
      <w:r>
        <w:rPr>
          <w:rFonts w:hint="eastAsia" w:cs="宋体"/>
          <w:sz w:val="24"/>
          <w:szCs w:val="24"/>
        </w:rPr>
        <w:t>4.1.2有关投标文件的审查、澄清、评估和比较以及推荐中标候选人的一切情况都不得透露给任一投标人或与上述评标工作无关的人员。</w:t>
      </w:r>
    </w:p>
    <w:p w14:paraId="00B49894">
      <w:pPr>
        <w:tabs>
          <w:tab w:val="left" w:pos="425"/>
          <w:tab w:val="left" w:pos="964"/>
        </w:tabs>
        <w:spacing w:line="360" w:lineRule="auto"/>
        <w:ind w:firstLine="540" w:firstLineChars="225"/>
        <w:rPr>
          <w:rFonts w:cs="宋体"/>
          <w:sz w:val="24"/>
          <w:szCs w:val="24"/>
        </w:rPr>
      </w:pPr>
      <w:r>
        <w:rPr>
          <w:rFonts w:hint="eastAsia" w:cs="宋体"/>
          <w:sz w:val="24"/>
          <w:szCs w:val="24"/>
        </w:rPr>
        <w:t>4.1.3投标人任何试图影响评委会对投标文件的评估、比较或者推荐候选人的行为，都将导致其投标被拒绝，并被没收投标保证金。</w:t>
      </w:r>
    </w:p>
    <w:p w14:paraId="2B4E119A">
      <w:pPr>
        <w:tabs>
          <w:tab w:val="left" w:pos="425"/>
          <w:tab w:val="left" w:pos="964"/>
        </w:tabs>
        <w:spacing w:line="360" w:lineRule="auto"/>
        <w:ind w:firstLine="540" w:firstLineChars="225"/>
        <w:rPr>
          <w:rFonts w:cs="宋体"/>
          <w:sz w:val="24"/>
          <w:szCs w:val="24"/>
        </w:rPr>
      </w:pPr>
      <w:r>
        <w:rPr>
          <w:rFonts w:hint="eastAsia" w:cs="宋体"/>
          <w:sz w:val="24"/>
          <w:szCs w:val="24"/>
        </w:rPr>
        <w:t xml:space="preserve">4.1.4评委会将对投标文件进行审查，以确定投标文件是否完整、有无计算上的错误、是否提交了投标保证金、文件是否已正确签署。 </w:t>
      </w:r>
    </w:p>
    <w:p w14:paraId="6D05FE63">
      <w:pPr>
        <w:tabs>
          <w:tab w:val="left" w:pos="425"/>
          <w:tab w:val="left" w:pos="964"/>
        </w:tabs>
        <w:spacing w:line="360" w:lineRule="auto"/>
        <w:ind w:firstLine="540" w:firstLineChars="225"/>
        <w:rPr>
          <w:rFonts w:cs="宋体"/>
          <w:sz w:val="24"/>
          <w:szCs w:val="24"/>
        </w:rPr>
      </w:pPr>
      <w:r>
        <w:rPr>
          <w:rFonts w:hint="eastAsia" w:cs="宋体"/>
          <w:sz w:val="24"/>
          <w:szCs w:val="24"/>
        </w:rPr>
        <w:t>4.1.5算术错误将按以下方法更正：</w:t>
      </w:r>
    </w:p>
    <w:p w14:paraId="19FCFF36">
      <w:pPr>
        <w:tabs>
          <w:tab w:val="left" w:pos="425"/>
          <w:tab w:val="left" w:pos="964"/>
        </w:tabs>
        <w:spacing w:line="360" w:lineRule="auto"/>
        <w:ind w:firstLine="540" w:firstLineChars="225"/>
        <w:rPr>
          <w:rFonts w:cs="宋体"/>
          <w:sz w:val="24"/>
          <w:szCs w:val="24"/>
        </w:rPr>
      </w:pPr>
      <w:r>
        <w:rPr>
          <w:rFonts w:hint="eastAsia" w:cs="宋体"/>
          <w:sz w:val="24"/>
          <w:szCs w:val="24"/>
        </w:rPr>
        <w:t>（1）投标文件中“开标一览表(报价表)”内容与投标文件中明细表内容不一致的，以“开标一览表(报价表)”为准。</w:t>
      </w:r>
    </w:p>
    <w:p w14:paraId="19D77164">
      <w:pPr>
        <w:tabs>
          <w:tab w:val="left" w:pos="425"/>
          <w:tab w:val="left" w:pos="964"/>
        </w:tabs>
        <w:spacing w:line="360" w:lineRule="auto"/>
        <w:ind w:firstLine="540" w:firstLineChars="225"/>
        <w:rPr>
          <w:rFonts w:cs="宋体"/>
          <w:sz w:val="24"/>
          <w:szCs w:val="24"/>
        </w:rPr>
      </w:pPr>
      <w:r>
        <w:rPr>
          <w:rFonts w:hint="eastAsia" w:cs="宋体"/>
          <w:sz w:val="24"/>
          <w:szCs w:val="24"/>
        </w:rPr>
        <w:t>（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7925DAB2">
      <w:pPr>
        <w:spacing w:line="360" w:lineRule="auto"/>
        <w:ind w:firstLine="540" w:firstLineChars="225"/>
        <w:rPr>
          <w:rFonts w:cs="宋体"/>
          <w:sz w:val="24"/>
          <w:szCs w:val="24"/>
        </w:rPr>
      </w:pPr>
      <w:r>
        <w:rPr>
          <w:rFonts w:hint="eastAsia" w:cs="宋体"/>
          <w:sz w:val="24"/>
          <w:szCs w:val="24"/>
        </w:rPr>
        <w:t>如果投标人不接受按上述方法对投标文件中的算术错误进行更正，其投标将被拒绝并不退还其投标保证金。</w:t>
      </w:r>
    </w:p>
    <w:p w14:paraId="3C43E8E8">
      <w:pPr>
        <w:tabs>
          <w:tab w:val="left" w:pos="425"/>
          <w:tab w:val="left" w:pos="964"/>
        </w:tabs>
        <w:spacing w:line="360" w:lineRule="auto"/>
        <w:ind w:firstLine="540" w:firstLineChars="225"/>
        <w:rPr>
          <w:rFonts w:cs="宋体"/>
          <w:sz w:val="24"/>
          <w:szCs w:val="24"/>
        </w:rPr>
      </w:pPr>
      <w:r>
        <w:rPr>
          <w:rFonts w:hint="eastAsia" w:cs="宋体"/>
          <w:sz w:val="24"/>
          <w:szCs w:val="24"/>
        </w:rPr>
        <w:t>4.2资格性检查和符合性检查</w:t>
      </w:r>
    </w:p>
    <w:p w14:paraId="144AEB12">
      <w:pPr>
        <w:tabs>
          <w:tab w:val="left" w:pos="425"/>
          <w:tab w:val="left" w:pos="964"/>
        </w:tabs>
        <w:spacing w:line="360" w:lineRule="auto"/>
        <w:ind w:firstLine="540" w:firstLineChars="225"/>
        <w:rPr>
          <w:rFonts w:cs="宋体"/>
          <w:sz w:val="24"/>
          <w:szCs w:val="24"/>
        </w:rPr>
      </w:pPr>
      <w:r>
        <w:rPr>
          <w:rFonts w:hint="eastAsia" w:cs="宋体"/>
          <w:sz w:val="24"/>
          <w:szCs w:val="24"/>
        </w:rPr>
        <w:t>4.2.1</w:t>
      </w:r>
      <w:r>
        <w:rPr>
          <w:rFonts w:hint="eastAsia" w:cs="宋体"/>
          <w:b/>
          <w:sz w:val="24"/>
          <w:szCs w:val="24"/>
        </w:rPr>
        <w:t>资格性检查</w:t>
      </w:r>
      <w:r>
        <w:rPr>
          <w:rFonts w:hint="eastAsia" w:cs="宋体"/>
          <w:sz w:val="24"/>
          <w:szCs w:val="24"/>
        </w:rPr>
        <w:t>。依据法律法规和招标文件的规定，在对投标文件详细评估之前，评标委员会将依据投标人提交的投标文件按招标文件所述的资格性要求对投标人进行资格审查，以确定其是否具备投标资格。如果投标人不具备投标资格，不满足招标文件所规定的资格标准或提供资格证明文件不全的， 其投标将被拒绝。</w:t>
      </w:r>
    </w:p>
    <w:p w14:paraId="1928BC67">
      <w:pPr>
        <w:tabs>
          <w:tab w:val="left" w:pos="425"/>
          <w:tab w:val="left" w:pos="964"/>
        </w:tabs>
        <w:spacing w:line="360" w:lineRule="auto"/>
        <w:ind w:firstLine="540" w:firstLineChars="225"/>
        <w:rPr>
          <w:rFonts w:cs="宋体"/>
          <w:sz w:val="24"/>
          <w:szCs w:val="24"/>
        </w:rPr>
      </w:pPr>
      <w:r>
        <w:rPr>
          <w:rFonts w:hint="eastAsia" w:cs="宋体"/>
          <w:sz w:val="24"/>
          <w:szCs w:val="24"/>
        </w:rPr>
        <w:t>4.2.2</w:t>
      </w:r>
      <w:r>
        <w:rPr>
          <w:rFonts w:hint="eastAsia" w:cs="宋体"/>
          <w:b/>
          <w:sz w:val="24"/>
          <w:szCs w:val="24"/>
        </w:rPr>
        <w:t>符合性检查</w:t>
      </w:r>
      <w:r>
        <w:rPr>
          <w:rFonts w:hint="eastAsia" w:cs="宋体"/>
          <w:sz w:val="24"/>
          <w:szCs w:val="24"/>
        </w:rPr>
        <w:t>。依据招标文件的规定，评标委员会还将从投标文件的</w:t>
      </w:r>
      <w:r>
        <w:rPr>
          <w:rFonts w:hint="eastAsia" w:cs="宋体"/>
          <w:b/>
          <w:sz w:val="24"/>
          <w:szCs w:val="24"/>
        </w:rPr>
        <w:t>有效性、完整性</w:t>
      </w:r>
      <w:r>
        <w:rPr>
          <w:rFonts w:hint="eastAsia" w:cs="宋体"/>
          <w:sz w:val="24"/>
          <w:szCs w:val="24"/>
        </w:rPr>
        <w:t>和对招标文件的</w:t>
      </w:r>
      <w:r>
        <w:rPr>
          <w:rFonts w:hint="eastAsia" w:cs="宋体"/>
          <w:b/>
          <w:sz w:val="24"/>
          <w:szCs w:val="24"/>
        </w:rPr>
        <w:t>响应程度</w:t>
      </w:r>
      <w:r>
        <w:rPr>
          <w:rFonts w:hint="eastAsia" w:cs="宋体"/>
          <w:sz w:val="24"/>
          <w:szCs w:val="24"/>
        </w:rPr>
        <w:t>进行审查，以确定是否符合对招标文件的实质性要求。评标委员会将依据投标人提交的投标文件按招标文件所述要求对投标人进行审查，对没有实质性响应的投标文件将不进行评估，其投标将被作为无效投标处理。</w:t>
      </w:r>
    </w:p>
    <w:p w14:paraId="4AD06AFF">
      <w:pPr>
        <w:spacing w:line="360" w:lineRule="auto"/>
        <w:ind w:firstLine="542" w:firstLineChars="225"/>
        <w:rPr>
          <w:rFonts w:cs="宋体"/>
        </w:rPr>
      </w:pPr>
      <w:r>
        <w:rPr>
          <w:rFonts w:hint="eastAsia" w:cs="宋体"/>
          <w:b/>
          <w:sz w:val="24"/>
          <w:szCs w:val="24"/>
        </w:rPr>
        <w:t>评标委员会确定投标的响应情况，只根据投标文件本身的内容，而不寻求其他的外部证据</w:t>
      </w:r>
      <w:r>
        <w:rPr>
          <w:rFonts w:hint="eastAsia" w:cs="宋体"/>
          <w:sz w:val="24"/>
          <w:szCs w:val="24"/>
        </w:rPr>
        <w:t>。</w:t>
      </w:r>
    </w:p>
    <w:p w14:paraId="38A59F97">
      <w:pPr>
        <w:tabs>
          <w:tab w:val="left" w:pos="425"/>
        </w:tabs>
        <w:spacing w:line="360" w:lineRule="auto"/>
        <w:ind w:firstLine="540" w:firstLineChars="225"/>
        <w:rPr>
          <w:rFonts w:cs="宋体"/>
          <w:sz w:val="24"/>
          <w:szCs w:val="24"/>
        </w:rPr>
      </w:pPr>
      <w:r>
        <w:rPr>
          <w:rFonts w:hint="eastAsia" w:cs="宋体"/>
          <w:sz w:val="24"/>
          <w:szCs w:val="24"/>
        </w:rPr>
        <w:t>4.3投标文件的澄清</w:t>
      </w:r>
    </w:p>
    <w:p w14:paraId="44E82D5C">
      <w:pPr>
        <w:tabs>
          <w:tab w:val="left" w:pos="425"/>
          <w:tab w:val="left" w:pos="964"/>
        </w:tabs>
        <w:spacing w:line="360" w:lineRule="auto"/>
        <w:ind w:firstLine="540" w:firstLineChars="225"/>
        <w:rPr>
          <w:rFonts w:cs="宋体"/>
          <w:sz w:val="24"/>
          <w:szCs w:val="24"/>
        </w:rPr>
      </w:pPr>
      <w:r>
        <w:rPr>
          <w:rFonts w:hint="eastAsia" w:cs="宋体"/>
          <w:sz w:val="24"/>
          <w:szCs w:val="24"/>
        </w:rPr>
        <w:t>4.3.1对投标文件中含义不明确、同类问题表述不一致或者有明显文字和计算错误的内容，评标委员会可以以书面形式要求投标人作出必要的澄清、说明或者纠正。投标人的澄清、说明或者补正应当在评标委员会规定的时间内以书面形式作出，由其法定代表人或者授权代表签字，并不得超出投标文件的范围或者改变投标文件的实质性内容。</w:t>
      </w:r>
    </w:p>
    <w:p w14:paraId="1A210388">
      <w:pPr>
        <w:tabs>
          <w:tab w:val="left" w:pos="425"/>
        </w:tabs>
        <w:spacing w:line="360" w:lineRule="auto"/>
        <w:ind w:firstLine="540" w:firstLineChars="225"/>
        <w:rPr>
          <w:rFonts w:cs="宋体"/>
          <w:sz w:val="24"/>
          <w:szCs w:val="24"/>
        </w:rPr>
      </w:pPr>
      <w:r>
        <w:rPr>
          <w:rFonts w:hint="eastAsia" w:cs="宋体"/>
          <w:sz w:val="24"/>
          <w:szCs w:val="24"/>
        </w:rPr>
        <w:t>4.4比较与评价</w:t>
      </w:r>
    </w:p>
    <w:p w14:paraId="7F913B77">
      <w:pPr>
        <w:tabs>
          <w:tab w:val="left" w:pos="425"/>
          <w:tab w:val="left" w:pos="964"/>
        </w:tabs>
        <w:spacing w:line="360" w:lineRule="auto"/>
        <w:ind w:firstLine="540" w:firstLineChars="225"/>
        <w:rPr>
          <w:rFonts w:cs="宋体"/>
          <w:sz w:val="24"/>
          <w:szCs w:val="24"/>
        </w:rPr>
      </w:pPr>
      <w:r>
        <w:rPr>
          <w:rFonts w:hint="eastAsia" w:cs="宋体"/>
          <w:sz w:val="24"/>
          <w:szCs w:val="24"/>
        </w:rPr>
        <w:t>4.4.1评标委员会将按“5、评标办法”所述评标方法与标准，对资格性检查和符合性检查合格的投标文件进行评审。</w:t>
      </w:r>
    </w:p>
    <w:p w14:paraId="01A333E1">
      <w:pPr>
        <w:tabs>
          <w:tab w:val="left" w:pos="425"/>
          <w:tab w:val="left" w:pos="964"/>
        </w:tabs>
        <w:spacing w:line="360" w:lineRule="auto"/>
        <w:ind w:firstLine="540" w:firstLineChars="225"/>
        <w:rPr>
          <w:rFonts w:cs="宋体"/>
          <w:sz w:val="24"/>
          <w:szCs w:val="24"/>
        </w:rPr>
      </w:pPr>
      <w:r>
        <w:rPr>
          <w:rFonts w:hint="eastAsia" w:cs="宋体"/>
          <w:sz w:val="24"/>
          <w:szCs w:val="24"/>
        </w:rPr>
        <w:t>4.4.2若投标人的报价明显低于通过资格性检查和符合性检查的投标人的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14:paraId="6D09E4B9">
      <w:pPr>
        <w:tabs>
          <w:tab w:val="left" w:pos="425"/>
          <w:tab w:val="left" w:pos="964"/>
        </w:tabs>
        <w:spacing w:line="360" w:lineRule="auto"/>
        <w:ind w:firstLine="540" w:firstLineChars="225"/>
        <w:rPr>
          <w:rFonts w:cs="宋体"/>
          <w:sz w:val="24"/>
          <w:szCs w:val="24"/>
        </w:rPr>
      </w:pPr>
      <w:r>
        <w:rPr>
          <w:rFonts w:hint="eastAsia" w:cs="宋体"/>
          <w:sz w:val="24"/>
          <w:szCs w:val="24"/>
        </w:rPr>
        <w:t>4.4.3评标委员会将按比较与评价最优在先原则，排列评价顺序，根据“5、评标办法”中确定的中标候选人数量推荐出中标候选人。</w:t>
      </w:r>
    </w:p>
    <w:p w14:paraId="2F9890EF">
      <w:pPr>
        <w:tabs>
          <w:tab w:val="left" w:pos="425"/>
          <w:tab w:val="left" w:pos="964"/>
        </w:tabs>
        <w:spacing w:line="360" w:lineRule="auto"/>
        <w:ind w:firstLine="540" w:firstLineChars="225"/>
        <w:rPr>
          <w:rFonts w:cs="宋体"/>
          <w:sz w:val="24"/>
          <w:szCs w:val="24"/>
        </w:rPr>
      </w:pPr>
      <w:r>
        <w:rPr>
          <w:rFonts w:hint="eastAsia" w:cs="宋体"/>
          <w:sz w:val="24"/>
          <w:szCs w:val="24"/>
        </w:rPr>
        <w:t>4.4.4评标委员会对所有投标人的投标文件的评审，都采用相同的程序和标准。</w:t>
      </w:r>
    </w:p>
    <w:p w14:paraId="0AFCEC48">
      <w:pPr>
        <w:tabs>
          <w:tab w:val="left" w:pos="425"/>
          <w:tab w:val="left" w:pos="964"/>
        </w:tabs>
        <w:spacing w:line="360" w:lineRule="auto"/>
        <w:ind w:firstLine="540" w:firstLineChars="225"/>
        <w:rPr>
          <w:rFonts w:cs="宋体"/>
          <w:sz w:val="24"/>
          <w:szCs w:val="24"/>
        </w:rPr>
      </w:pPr>
      <w:r>
        <w:rPr>
          <w:rFonts w:hint="eastAsia" w:cs="宋体"/>
          <w:sz w:val="24"/>
          <w:szCs w:val="24"/>
        </w:rPr>
        <w:t>4.4.5参加评标的相关人员，不得将有关投标文件的审查、澄清、评估和比较以及会影响评标工作的一切情况，透露给任何一位投标人或与上述评标工作无关的人员。</w:t>
      </w:r>
    </w:p>
    <w:p w14:paraId="24013643">
      <w:pPr>
        <w:tabs>
          <w:tab w:val="left" w:pos="425"/>
          <w:tab w:val="left" w:pos="964"/>
        </w:tabs>
        <w:spacing w:line="360" w:lineRule="auto"/>
        <w:ind w:firstLine="540" w:firstLineChars="225"/>
        <w:rPr>
          <w:rFonts w:cs="宋体"/>
          <w:sz w:val="24"/>
          <w:szCs w:val="24"/>
        </w:rPr>
      </w:pPr>
      <w:r>
        <w:rPr>
          <w:rFonts w:hint="eastAsia" w:cs="宋体"/>
          <w:sz w:val="24"/>
          <w:szCs w:val="24"/>
        </w:rPr>
        <w:t>4.4.6在评标或授标期间，若评标委员会否决一部分投标后其他有效投标不足三个使得投标明显缺乏竞争，决定否决全部投标；或所有投标都不符合招标文件实质性要求的，则本项目招标失败，将重新组织招标或者采取其他方式采购。</w:t>
      </w:r>
    </w:p>
    <w:p w14:paraId="5D8B7357">
      <w:pPr>
        <w:tabs>
          <w:tab w:val="left" w:pos="425"/>
          <w:tab w:val="left" w:pos="964"/>
        </w:tabs>
        <w:spacing w:line="360" w:lineRule="auto"/>
        <w:ind w:firstLine="540" w:firstLineChars="225"/>
        <w:rPr>
          <w:rFonts w:cs="宋体"/>
          <w:sz w:val="24"/>
          <w:szCs w:val="24"/>
        </w:rPr>
      </w:pPr>
    </w:p>
    <w:p w14:paraId="49D4C9FD">
      <w:pPr>
        <w:pStyle w:val="3"/>
        <w:tabs>
          <w:tab w:val="left" w:pos="0"/>
          <w:tab w:val="left" w:pos="420"/>
          <w:tab w:val="left" w:pos="630"/>
        </w:tabs>
        <w:spacing w:before="0" w:after="0"/>
        <w:rPr>
          <w:rFonts w:hint="eastAsia" w:ascii="宋体" w:hAnsi="宋体"/>
          <w:sz w:val="24"/>
          <w:szCs w:val="24"/>
        </w:rPr>
      </w:pPr>
      <w:bookmarkStart w:id="163" w:name="_Toc32274"/>
      <w:bookmarkStart w:id="164" w:name="_Toc148459137"/>
      <w:bookmarkStart w:id="165" w:name="_Toc27624"/>
      <w:bookmarkStart w:id="166" w:name="_Toc21496"/>
      <w:r>
        <w:rPr>
          <w:rFonts w:hint="eastAsia" w:ascii="宋体" w:hAnsi="宋体"/>
          <w:sz w:val="24"/>
          <w:szCs w:val="24"/>
        </w:rPr>
        <w:t>5、评标方法</w:t>
      </w:r>
      <w:bookmarkEnd w:id="163"/>
      <w:bookmarkEnd w:id="164"/>
      <w:bookmarkEnd w:id="165"/>
      <w:bookmarkEnd w:id="166"/>
    </w:p>
    <w:p w14:paraId="0355D2A5">
      <w:pPr>
        <w:tabs>
          <w:tab w:val="left" w:pos="0"/>
          <w:tab w:val="left" w:pos="420"/>
          <w:tab w:val="left" w:pos="630"/>
        </w:tabs>
        <w:ind w:firstLine="482" w:firstLineChars="200"/>
        <w:rPr>
          <w:rFonts w:cs="宋体"/>
          <w:b/>
          <w:bCs/>
          <w:sz w:val="24"/>
          <w:szCs w:val="24"/>
        </w:rPr>
      </w:pPr>
      <w:r>
        <w:rPr>
          <w:rFonts w:hint="eastAsia" w:cs="宋体"/>
          <w:b/>
          <w:bCs/>
          <w:sz w:val="24"/>
          <w:szCs w:val="24"/>
        </w:rPr>
        <w:t xml:space="preserve">综合评分法 </w:t>
      </w:r>
    </w:p>
    <w:p w14:paraId="0E7EAE5B">
      <w:pPr>
        <w:spacing w:line="360" w:lineRule="auto"/>
        <w:ind w:firstLine="540" w:firstLineChars="225"/>
        <w:rPr>
          <w:rFonts w:cs="宋体"/>
          <w:color w:val="FF0000"/>
          <w:sz w:val="24"/>
          <w:szCs w:val="24"/>
        </w:rPr>
      </w:pPr>
      <w:r>
        <w:rPr>
          <w:rFonts w:hint="eastAsia" w:cs="宋体"/>
          <w:color w:val="FF0000"/>
          <w:sz w:val="24"/>
          <w:szCs w:val="24"/>
        </w:rPr>
        <w:t>5.1按照附表1对投标人进行资格审核，按照附表2对投标人进行符合性审查。</w:t>
      </w:r>
    </w:p>
    <w:p w14:paraId="2CF38531">
      <w:pPr>
        <w:spacing w:line="360" w:lineRule="auto"/>
        <w:ind w:firstLine="540" w:firstLineChars="225"/>
        <w:rPr>
          <w:rFonts w:cs="宋体"/>
          <w:color w:val="FF0000"/>
          <w:sz w:val="24"/>
          <w:szCs w:val="24"/>
        </w:rPr>
      </w:pPr>
      <w:r>
        <w:rPr>
          <w:rFonts w:hint="eastAsia" w:cs="宋体"/>
          <w:color w:val="FF0000"/>
          <w:sz w:val="24"/>
          <w:szCs w:val="24"/>
        </w:rPr>
        <w:t>5.2对于符合要求的投标人，评标委员会按照附表3技术商务部分评分表进行独立评分。</w:t>
      </w:r>
    </w:p>
    <w:p w14:paraId="1549821E">
      <w:pPr>
        <w:spacing w:line="360" w:lineRule="auto"/>
        <w:ind w:firstLine="540" w:firstLineChars="225"/>
        <w:rPr>
          <w:rFonts w:cs="宋体"/>
          <w:color w:val="FF0000"/>
          <w:sz w:val="24"/>
          <w:szCs w:val="24"/>
        </w:rPr>
      </w:pPr>
      <w:r>
        <w:rPr>
          <w:rFonts w:hint="eastAsia" w:cs="宋体"/>
          <w:color w:val="FF0000"/>
          <w:sz w:val="24"/>
          <w:szCs w:val="24"/>
        </w:rPr>
        <w:t>5.3投标人商务和技术得分计算方法为：汇总评标委员会成员评分后，计算出算术平均值，为投标人商务和技术得分，算术平均值保留至小数点后两位；</w:t>
      </w:r>
    </w:p>
    <w:p w14:paraId="40118028">
      <w:pPr>
        <w:spacing w:line="360" w:lineRule="auto"/>
        <w:ind w:firstLine="540" w:firstLineChars="225"/>
        <w:rPr>
          <w:rFonts w:cs="宋体"/>
          <w:color w:val="FF0000"/>
          <w:sz w:val="24"/>
          <w:szCs w:val="24"/>
        </w:rPr>
      </w:pPr>
      <w:r>
        <w:rPr>
          <w:rFonts w:hint="eastAsia" w:cs="宋体"/>
          <w:color w:val="FF0000"/>
          <w:sz w:val="24"/>
          <w:szCs w:val="24"/>
        </w:rPr>
        <w:t>5.4对于符合要求的投标人，评标委员会按照附表3报价部分评分表进行评分，分值保留至小数点后两位；</w:t>
      </w:r>
    </w:p>
    <w:p w14:paraId="7A6E4E67">
      <w:pPr>
        <w:spacing w:line="360" w:lineRule="auto"/>
        <w:ind w:firstLine="540" w:firstLineChars="225"/>
        <w:rPr>
          <w:rFonts w:cs="宋体"/>
          <w:color w:val="FF0000"/>
          <w:sz w:val="24"/>
          <w:szCs w:val="24"/>
        </w:rPr>
      </w:pPr>
      <w:r>
        <w:rPr>
          <w:rFonts w:hint="eastAsia" w:cs="宋体"/>
          <w:color w:val="FF0000"/>
          <w:sz w:val="24"/>
          <w:szCs w:val="24"/>
        </w:rPr>
        <w:t>5.5投标人综合得分=商务得分+技术得分+报价得分，保留至小数点后两位。</w:t>
      </w:r>
    </w:p>
    <w:p w14:paraId="74C2B762">
      <w:pPr>
        <w:pStyle w:val="3"/>
        <w:tabs>
          <w:tab w:val="left" w:pos="0"/>
          <w:tab w:val="left" w:pos="420"/>
          <w:tab w:val="left" w:pos="630"/>
        </w:tabs>
        <w:spacing w:before="0" w:after="0"/>
        <w:rPr>
          <w:rFonts w:hint="eastAsia" w:ascii="宋体" w:hAnsi="宋体"/>
          <w:sz w:val="24"/>
          <w:szCs w:val="24"/>
        </w:rPr>
      </w:pPr>
      <w:bookmarkStart w:id="167" w:name="_Toc25039"/>
      <w:bookmarkStart w:id="168" w:name="_Toc148459138"/>
      <w:bookmarkStart w:id="169" w:name="_Toc18852"/>
      <w:bookmarkStart w:id="170" w:name="_Toc8559"/>
      <w:r>
        <w:rPr>
          <w:rFonts w:hint="eastAsia" w:ascii="宋体" w:hAnsi="宋体"/>
          <w:sz w:val="24"/>
          <w:szCs w:val="24"/>
        </w:rPr>
        <w:t>6、推荐中标候选人名单。</w:t>
      </w:r>
      <w:bookmarkEnd w:id="167"/>
      <w:bookmarkEnd w:id="168"/>
      <w:bookmarkEnd w:id="169"/>
    </w:p>
    <w:p w14:paraId="6D020F14">
      <w:pPr>
        <w:spacing w:line="360" w:lineRule="auto"/>
        <w:ind w:firstLine="480" w:firstLineChars="200"/>
        <w:rPr>
          <w:rFonts w:cs="宋体"/>
          <w:sz w:val="24"/>
        </w:rPr>
      </w:pPr>
      <w:r>
        <w:rPr>
          <w:rFonts w:hint="eastAsia" w:cs="宋体"/>
          <w:sz w:val="24"/>
        </w:rPr>
        <w:t>6.1中标候选人数量：2-3名，合格投标人为3个的，推荐2名中标候选人，合格投标人大于3个的，推荐3名中标候选人。</w:t>
      </w:r>
    </w:p>
    <w:p w14:paraId="03096270">
      <w:pPr>
        <w:spacing w:line="360" w:lineRule="auto"/>
        <w:ind w:firstLine="480" w:firstLineChars="200"/>
        <w:rPr>
          <w:rFonts w:cs="宋体"/>
          <w:sz w:val="24"/>
        </w:rPr>
      </w:pPr>
      <w:r>
        <w:rPr>
          <w:rFonts w:hint="eastAsia" w:cs="宋体"/>
          <w:sz w:val="24"/>
        </w:rPr>
        <w:t>6.2中标候选人入围规则</w:t>
      </w:r>
      <w:r>
        <w:rPr>
          <w:rFonts w:hint="eastAsia" w:cs="宋体"/>
          <w:kern w:val="0"/>
          <w:sz w:val="24"/>
        </w:rPr>
        <w:t>：</w:t>
      </w:r>
      <w:r>
        <w:rPr>
          <w:rFonts w:hint="eastAsia" w:cs="宋体"/>
          <w:sz w:val="24"/>
        </w:rPr>
        <w:t>经投标文件初审、澄清有关问题、比较与评价评标程序后，按以下办法推荐中标候选人：评标委员会按评审后的</w:t>
      </w:r>
      <w:r>
        <w:rPr>
          <w:rFonts w:hint="eastAsia" w:cs="宋体"/>
          <w:b/>
          <w:color w:val="FF0000"/>
          <w:sz w:val="24"/>
        </w:rPr>
        <w:t>综合得分</w:t>
      </w:r>
      <w:r>
        <w:rPr>
          <w:rFonts w:hint="eastAsia" w:cs="宋体"/>
          <w:sz w:val="24"/>
        </w:rPr>
        <w:t>由高到低顺序进行推荐入围中标候选人，入围后的中标候选人不进行排序；若综合得分相同的，按投标报价由低到高顺序排列；若综合得分且投标报价相同的，按技术因素得分由高到低顺序排列；综合得分、投标报价及技术因素得分均相同的，由评标委员会按少数服从多数原则表决确定排序。</w:t>
      </w:r>
    </w:p>
    <w:p w14:paraId="1A121305">
      <w:pPr>
        <w:pStyle w:val="3"/>
        <w:tabs>
          <w:tab w:val="left" w:pos="0"/>
          <w:tab w:val="left" w:pos="420"/>
          <w:tab w:val="left" w:pos="630"/>
        </w:tabs>
        <w:spacing w:before="0" w:after="0"/>
        <w:rPr>
          <w:rFonts w:hint="eastAsia" w:ascii="宋体" w:hAnsi="宋体"/>
          <w:sz w:val="24"/>
          <w:szCs w:val="24"/>
        </w:rPr>
      </w:pPr>
      <w:bookmarkStart w:id="171" w:name="_Toc30421"/>
      <w:bookmarkStart w:id="172" w:name="_Toc148459139"/>
      <w:bookmarkStart w:id="173" w:name="_Toc12089"/>
      <w:r>
        <w:rPr>
          <w:rFonts w:hint="eastAsia" w:ascii="宋体" w:hAnsi="宋体"/>
          <w:sz w:val="24"/>
          <w:szCs w:val="24"/>
        </w:rPr>
        <w:t>7、定标原则</w:t>
      </w:r>
      <w:bookmarkEnd w:id="171"/>
      <w:bookmarkEnd w:id="172"/>
      <w:bookmarkEnd w:id="173"/>
    </w:p>
    <w:p w14:paraId="4270605D">
      <w:pPr>
        <w:spacing w:line="360" w:lineRule="auto"/>
        <w:ind w:firstLine="480" w:firstLineChars="200"/>
        <w:rPr>
          <w:rFonts w:cs="宋体"/>
          <w:sz w:val="24"/>
        </w:rPr>
      </w:pPr>
      <w:r>
        <w:rPr>
          <w:rFonts w:hint="eastAsia" w:cs="宋体"/>
          <w:sz w:val="24"/>
        </w:rPr>
        <w:t>7.1中标人数量：</w:t>
      </w:r>
      <w:r>
        <w:rPr>
          <w:rFonts w:cs="宋体"/>
          <w:sz w:val="24"/>
        </w:rPr>
        <w:t>1</w:t>
      </w:r>
      <w:r>
        <w:rPr>
          <w:rFonts w:hint="eastAsia" w:cs="宋体"/>
          <w:sz w:val="24"/>
        </w:rPr>
        <w:t>个。</w:t>
      </w:r>
    </w:p>
    <w:p w14:paraId="6C2DAD71">
      <w:pPr>
        <w:spacing w:line="360" w:lineRule="auto"/>
        <w:ind w:firstLine="480" w:firstLineChars="200"/>
        <w:rPr>
          <w:rFonts w:cs="宋体"/>
          <w:sz w:val="24"/>
        </w:rPr>
      </w:pPr>
      <w:r>
        <w:rPr>
          <w:rFonts w:hint="eastAsia" w:cs="宋体"/>
          <w:sz w:val="24"/>
        </w:rPr>
        <w:t>7.2评标结束后，评标委员会将评标报告报送招标人。</w:t>
      </w:r>
    </w:p>
    <w:p w14:paraId="2F63CA34">
      <w:pPr>
        <w:spacing w:line="360" w:lineRule="auto"/>
        <w:ind w:firstLine="480" w:firstLineChars="200"/>
        <w:rPr>
          <w:rFonts w:cs="宋体"/>
          <w:sz w:val="24"/>
        </w:rPr>
      </w:pPr>
      <w:r>
        <w:rPr>
          <w:rFonts w:hint="eastAsia" w:cs="宋体"/>
          <w:sz w:val="24"/>
        </w:rPr>
        <w:t>7.3招标人有权根据需求，与评标委员会推荐中标候选人进一步进行商务谈判。具体谈判规则如下：</w:t>
      </w:r>
    </w:p>
    <w:p w14:paraId="2250F400">
      <w:pPr>
        <w:spacing w:line="360" w:lineRule="auto"/>
        <w:ind w:firstLine="480" w:firstLineChars="200"/>
        <w:rPr>
          <w:rFonts w:cs="宋体"/>
          <w:sz w:val="24"/>
        </w:rPr>
      </w:pPr>
      <w:r>
        <w:rPr>
          <w:rFonts w:hint="eastAsia" w:cs="宋体"/>
          <w:sz w:val="24"/>
        </w:rPr>
        <w:t>（1）招标人组成的谈判小组与已被确定为中标候选人的投标人进行一轮或多轮价格谈判。</w:t>
      </w:r>
    </w:p>
    <w:p w14:paraId="16AD65F1">
      <w:pPr>
        <w:spacing w:line="360" w:lineRule="auto"/>
        <w:ind w:firstLine="480" w:firstLineChars="200"/>
        <w:rPr>
          <w:rFonts w:cs="宋体"/>
          <w:sz w:val="24"/>
        </w:rPr>
      </w:pPr>
      <w:r>
        <w:rPr>
          <w:rFonts w:hint="eastAsia" w:cs="宋体"/>
          <w:sz w:val="24"/>
        </w:rPr>
        <w:t>（2）投标人后一次的报价不得高于前一次的报价。若出现后一次的报价高于前一次报价的，则后一次的报价无效，以前一次的报价为准。</w:t>
      </w:r>
    </w:p>
    <w:p w14:paraId="152C7C09">
      <w:pPr>
        <w:spacing w:line="360" w:lineRule="auto"/>
        <w:ind w:firstLine="480" w:firstLineChars="200"/>
        <w:rPr>
          <w:rFonts w:cs="宋体"/>
          <w:sz w:val="24"/>
        </w:rPr>
      </w:pPr>
      <w:r>
        <w:rPr>
          <w:rFonts w:hint="eastAsia" w:cs="宋体"/>
          <w:sz w:val="24"/>
        </w:rPr>
        <w:t>（3）投标人递交的报价文件澄清、更正、承诺文件、最终报价应予单独密封并交至谈判小组。</w:t>
      </w:r>
    </w:p>
    <w:p w14:paraId="669F228F">
      <w:pPr>
        <w:spacing w:line="360" w:lineRule="auto"/>
        <w:ind w:firstLine="480" w:firstLineChars="200"/>
        <w:rPr>
          <w:rFonts w:cs="宋体"/>
          <w:sz w:val="24"/>
        </w:rPr>
      </w:pPr>
      <w:r>
        <w:rPr>
          <w:rFonts w:hint="eastAsia" w:cs="宋体"/>
          <w:sz w:val="24"/>
        </w:rPr>
        <w:t>（4）参加现场价格谈判并代表投标人签署报价文件的应该是招标文件要求的投标人代表，谈判时应出示身份证原件。</w:t>
      </w:r>
    </w:p>
    <w:p w14:paraId="01FDB81F">
      <w:pPr>
        <w:spacing w:line="360" w:lineRule="auto"/>
        <w:ind w:firstLine="480" w:firstLineChars="200"/>
        <w:rPr>
          <w:rFonts w:cs="宋体"/>
          <w:sz w:val="24"/>
        </w:rPr>
      </w:pPr>
      <w:r>
        <w:rPr>
          <w:rFonts w:hint="eastAsia" w:cs="宋体"/>
          <w:sz w:val="24"/>
        </w:rPr>
        <w:t>（5）中标候选人的现场谈判报价将为作为中标人最终合同签订的依据。</w:t>
      </w:r>
    </w:p>
    <w:p w14:paraId="7D8D2D83">
      <w:pPr>
        <w:spacing w:line="360" w:lineRule="auto"/>
        <w:ind w:firstLine="480" w:firstLineChars="200"/>
        <w:rPr>
          <w:rFonts w:cs="宋体"/>
          <w:sz w:val="24"/>
        </w:rPr>
      </w:pPr>
      <w:r>
        <w:rPr>
          <w:rFonts w:hint="eastAsia" w:cs="宋体"/>
          <w:sz w:val="24"/>
        </w:rPr>
        <w:t>7.4招标人将审查拟中标人的投标人资格、信誉、技术能力以及其它招标人认为有必要了解的问题。</w:t>
      </w:r>
    </w:p>
    <w:p w14:paraId="2C17F9E6">
      <w:pPr>
        <w:spacing w:line="360" w:lineRule="auto"/>
        <w:ind w:firstLine="480" w:firstLineChars="200"/>
        <w:rPr>
          <w:rFonts w:cs="宋体"/>
          <w:sz w:val="24"/>
        </w:rPr>
      </w:pPr>
      <w:r>
        <w:rPr>
          <w:rFonts w:hint="eastAsia" w:cs="宋体"/>
          <w:sz w:val="24"/>
        </w:rPr>
        <w:t>7.5如果确定拟中标人无能力履行合同，其投标将被拒绝，招标人将对下一个可能中标的投标人做类似审查。</w:t>
      </w:r>
    </w:p>
    <w:p w14:paraId="2EDAA7F9">
      <w:pPr>
        <w:spacing w:line="360" w:lineRule="auto"/>
        <w:ind w:firstLine="480" w:firstLineChars="200"/>
        <w:rPr>
          <w:rFonts w:cs="宋体"/>
          <w:sz w:val="24"/>
        </w:rPr>
      </w:pPr>
      <w:r>
        <w:rPr>
          <w:rFonts w:hint="eastAsia" w:cs="宋体"/>
          <w:sz w:val="24"/>
        </w:rPr>
        <w:t>7.6接受审查的拟中标人必须如实回答询问或接受招标人的考察，并提供所需的有关资料。</w:t>
      </w:r>
    </w:p>
    <w:p w14:paraId="156AD6DF">
      <w:pPr>
        <w:spacing w:line="360" w:lineRule="auto"/>
        <w:ind w:firstLine="480" w:firstLineChars="200"/>
        <w:rPr>
          <w:rFonts w:cs="宋体"/>
          <w:sz w:val="24"/>
        </w:rPr>
      </w:pPr>
      <w:r>
        <w:rPr>
          <w:rFonts w:hint="eastAsia" w:cs="宋体"/>
          <w:sz w:val="24"/>
        </w:rPr>
        <w:t>7.7招标单位当在中标、成交供应商后，在相关指定媒体上发布中标结果公示，请投标人关注。</w:t>
      </w:r>
    </w:p>
    <w:p w14:paraId="3EC1F391">
      <w:pPr>
        <w:spacing w:line="360" w:lineRule="auto"/>
        <w:ind w:firstLine="480" w:firstLineChars="200"/>
        <w:rPr>
          <w:rFonts w:cs="宋体"/>
          <w:sz w:val="24"/>
        </w:rPr>
      </w:pPr>
      <w:r>
        <w:rPr>
          <w:rFonts w:hint="eastAsia" w:cs="宋体"/>
          <w:sz w:val="24"/>
        </w:rPr>
        <w:t>7.8中标通知书生效后，如果已中标的投标人不能按投标文件中承诺的条件履行签约行为，招标人有权在评标委员会推荐的中标候选人名单中选择新的合同授予人。</w:t>
      </w:r>
    </w:p>
    <w:bookmarkEnd w:id="170"/>
    <w:p w14:paraId="31A9D140">
      <w:pPr>
        <w:spacing w:line="360" w:lineRule="auto"/>
        <w:ind w:firstLine="562" w:firstLineChars="200"/>
        <w:outlineLvl w:val="1"/>
        <w:rPr>
          <w:rFonts w:cs="宋体"/>
          <w:b/>
          <w:bCs/>
          <w:sz w:val="28"/>
          <w:szCs w:val="28"/>
        </w:rPr>
      </w:pPr>
      <w:r>
        <w:rPr>
          <w:rFonts w:hint="eastAsia" w:cs="宋体"/>
          <w:b/>
          <w:bCs/>
          <w:sz w:val="28"/>
          <w:szCs w:val="28"/>
        </w:rPr>
        <w:br w:type="page"/>
      </w:r>
      <w:bookmarkStart w:id="174" w:name="_Toc27913"/>
      <w:bookmarkStart w:id="175" w:name="_Toc16297"/>
      <w:bookmarkStart w:id="176" w:name="_Toc148459140"/>
      <w:bookmarkStart w:id="177" w:name="_Toc3278"/>
      <w:r>
        <w:rPr>
          <w:rFonts w:hint="eastAsia" w:cs="宋体"/>
          <w:b/>
          <w:bCs/>
          <w:sz w:val="28"/>
          <w:szCs w:val="28"/>
        </w:rPr>
        <w:t>附表1：资格审查表</w:t>
      </w:r>
      <w:bookmarkEnd w:id="174"/>
      <w:bookmarkEnd w:id="175"/>
      <w:bookmarkEnd w:id="176"/>
      <w:bookmarkEnd w:id="177"/>
    </w:p>
    <w:tbl>
      <w:tblPr>
        <w:tblStyle w:val="28"/>
        <w:tblW w:w="872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81"/>
        <w:gridCol w:w="1524"/>
        <w:gridCol w:w="4976"/>
        <w:gridCol w:w="1539"/>
      </w:tblGrid>
      <w:tr w14:paraId="0DCF50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681" w:type="dxa"/>
            <w:tcBorders>
              <w:top w:val="single" w:color="auto" w:sz="12" w:space="0"/>
              <w:left w:val="single" w:color="auto" w:sz="12" w:space="0"/>
              <w:bottom w:val="single" w:color="auto" w:sz="4" w:space="0"/>
              <w:right w:val="single" w:color="auto" w:sz="4" w:space="0"/>
            </w:tcBorders>
            <w:vAlign w:val="center"/>
          </w:tcPr>
          <w:p w14:paraId="5ACD5A57">
            <w:pPr>
              <w:spacing w:line="360" w:lineRule="auto"/>
              <w:ind w:left="69"/>
              <w:jc w:val="center"/>
              <w:rPr>
                <w:rFonts w:cs="宋体"/>
                <w:b/>
                <w:bCs/>
                <w:szCs w:val="21"/>
              </w:rPr>
            </w:pPr>
            <w:r>
              <w:rPr>
                <w:rFonts w:hint="eastAsia" w:cs="宋体"/>
                <w:b/>
                <w:bCs/>
              </w:rPr>
              <w:t>序号</w:t>
            </w:r>
          </w:p>
        </w:tc>
        <w:tc>
          <w:tcPr>
            <w:tcW w:w="1524" w:type="dxa"/>
            <w:tcBorders>
              <w:top w:val="single" w:color="auto" w:sz="12" w:space="0"/>
              <w:left w:val="nil"/>
              <w:bottom w:val="single" w:color="auto" w:sz="4" w:space="0"/>
              <w:right w:val="single" w:color="auto" w:sz="4" w:space="0"/>
            </w:tcBorders>
            <w:vAlign w:val="center"/>
          </w:tcPr>
          <w:p w14:paraId="130FB07F">
            <w:pPr>
              <w:spacing w:line="360" w:lineRule="auto"/>
              <w:ind w:left="69"/>
              <w:jc w:val="center"/>
              <w:rPr>
                <w:rFonts w:cs="宋体"/>
                <w:b/>
                <w:bCs/>
                <w:szCs w:val="21"/>
              </w:rPr>
            </w:pPr>
            <w:r>
              <w:rPr>
                <w:rFonts w:hint="eastAsia" w:cs="宋体"/>
                <w:b/>
                <w:bCs/>
              </w:rPr>
              <w:t>评审因素</w:t>
            </w:r>
          </w:p>
        </w:tc>
        <w:tc>
          <w:tcPr>
            <w:tcW w:w="4976" w:type="dxa"/>
            <w:tcBorders>
              <w:top w:val="single" w:color="auto" w:sz="12" w:space="0"/>
              <w:left w:val="nil"/>
              <w:bottom w:val="single" w:color="auto" w:sz="4" w:space="0"/>
              <w:right w:val="single" w:color="auto" w:sz="4" w:space="0"/>
            </w:tcBorders>
            <w:vAlign w:val="center"/>
          </w:tcPr>
          <w:p w14:paraId="5BF2B966">
            <w:pPr>
              <w:spacing w:line="360" w:lineRule="auto"/>
              <w:ind w:left="69" w:right="271" w:rightChars="129"/>
              <w:jc w:val="center"/>
              <w:rPr>
                <w:rFonts w:cs="宋体"/>
                <w:b/>
                <w:bCs/>
                <w:szCs w:val="21"/>
              </w:rPr>
            </w:pPr>
            <w:r>
              <w:rPr>
                <w:rFonts w:hint="eastAsia" w:cs="宋体"/>
                <w:b/>
                <w:bCs/>
              </w:rPr>
              <w:t>评审标准</w:t>
            </w:r>
          </w:p>
        </w:tc>
        <w:tc>
          <w:tcPr>
            <w:tcW w:w="1539" w:type="dxa"/>
            <w:tcBorders>
              <w:top w:val="single" w:color="auto" w:sz="12" w:space="0"/>
              <w:left w:val="nil"/>
              <w:bottom w:val="single" w:color="auto" w:sz="4" w:space="0"/>
              <w:right w:val="single" w:color="auto" w:sz="12" w:space="0"/>
            </w:tcBorders>
            <w:vAlign w:val="center"/>
          </w:tcPr>
          <w:p w14:paraId="09BF5FEA">
            <w:pPr>
              <w:spacing w:line="360" w:lineRule="auto"/>
              <w:ind w:left="69" w:right="271" w:rightChars="129"/>
              <w:jc w:val="center"/>
              <w:rPr>
                <w:rFonts w:cs="宋体"/>
                <w:b/>
                <w:bCs/>
                <w:szCs w:val="21"/>
              </w:rPr>
            </w:pPr>
            <w:r>
              <w:rPr>
                <w:rFonts w:hint="eastAsia" w:cs="宋体"/>
                <w:b/>
                <w:bCs/>
              </w:rPr>
              <w:t>评审结果</w:t>
            </w:r>
          </w:p>
        </w:tc>
      </w:tr>
      <w:tr w14:paraId="2E91FE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60" w:hRule="exact"/>
          <w:jc w:val="center"/>
        </w:trPr>
        <w:tc>
          <w:tcPr>
            <w:tcW w:w="681" w:type="dxa"/>
            <w:tcBorders>
              <w:top w:val="single" w:color="auto" w:sz="4" w:space="0"/>
              <w:left w:val="single" w:color="auto" w:sz="12" w:space="0"/>
              <w:bottom w:val="single" w:color="auto" w:sz="4" w:space="0"/>
              <w:right w:val="single" w:color="auto" w:sz="4" w:space="0"/>
            </w:tcBorders>
            <w:vAlign w:val="center"/>
          </w:tcPr>
          <w:p w14:paraId="653DE2F9">
            <w:pPr>
              <w:spacing w:line="360" w:lineRule="auto"/>
              <w:ind w:left="69"/>
              <w:jc w:val="center"/>
              <w:rPr>
                <w:rFonts w:cs="宋体"/>
                <w:szCs w:val="21"/>
              </w:rPr>
            </w:pPr>
            <w:r>
              <w:rPr>
                <w:rFonts w:hint="eastAsia" w:cs="宋体"/>
                <w:szCs w:val="21"/>
              </w:rPr>
              <w:t>1</w:t>
            </w:r>
          </w:p>
        </w:tc>
        <w:tc>
          <w:tcPr>
            <w:tcW w:w="1524" w:type="dxa"/>
            <w:tcBorders>
              <w:top w:val="single" w:color="auto" w:sz="4" w:space="0"/>
              <w:left w:val="nil"/>
              <w:bottom w:val="single" w:color="auto" w:sz="4" w:space="0"/>
              <w:right w:val="single" w:color="auto" w:sz="4" w:space="0"/>
            </w:tcBorders>
            <w:vAlign w:val="center"/>
          </w:tcPr>
          <w:p w14:paraId="123960C6">
            <w:pPr>
              <w:snapToGrid w:val="0"/>
              <w:spacing w:line="360" w:lineRule="exact"/>
              <w:ind w:left="69"/>
              <w:rPr>
                <w:rFonts w:cs="宋体"/>
                <w:bCs/>
                <w:szCs w:val="21"/>
              </w:rPr>
            </w:pPr>
            <w:r>
              <w:rPr>
                <w:rFonts w:hint="eastAsia" w:cs="宋体"/>
                <w:bCs/>
                <w:szCs w:val="21"/>
              </w:rPr>
              <w:t>投标有效期</w:t>
            </w:r>
          </w:p>
        </w:tc>
        <w:tc>
          <w:tcPr>
            <w:tcW w:w="4976" w:type="dxa"/>
            <w:tcBorders>
              <w:top w:val="single" w:color="auto" w:sz="4" w:space="0"/>
              <w:left w:val="nil"/>
              <w:bottom w:val="single" w:color="auto" w:sz="4" w:space="0"/>
              <w:right w:val="single" w:color="auto" w:sz="4" w:space="0"/>
            </w:tcBorders>
            <w:vAlign w:val="center"/>
          </w:tcPr>
          <w:p w14:paraId="3E423823">
            <w:pPr>
              <w:snapToGrid w:val="0"/>
              <w:spacing w:line="360" w:lineRule="exact"/>
              <w:rPr>
                <w:rFonts w:cs="宋体"/>
                <w:bCs/>
                <w:szCs w:val="21"/>
              </w:rPr>
            </w:pPr>
            <w:r>
              <w:rPr>
                <w:rFonts w:hint="eastAsia" w:cs="宋体"/>
                <w:bCs/>
                <w:szCs w:val="21"/>
              </w:rPr>
              <w:t>投标有效期：投标截止之日后 90个日历日内保持有效。</w:t>
            </w:r>
          </w:p>
        </w:tc>
        <w:tc>
          <w:tcPr>
            <w:tcW w:w="1539" w:type="dxa"/>
            <w:tcBorders>
              <w:top w:val="single" w:color="auto" w:sz="4" w:space="0"/>
              <w:left w:val="nil"/>
              <w:bottom w:val="single" w:color="auto" w:sz="4" w:space="0"/>
              <w:right w:val="single" w:color="auto" w:sz="12" w:space="0"/>
            </w:tcBorders>
            <w:vAlign w:val="center"/>
          </w:tcPr>
          <w:p w14:paraId="0D707700">
            <w:pPr>
              <w:spacing w:line="360" w:lineRule="auto"/>
              <w:ind w:left="69"/>
              <w:jc w:val="center"/>
              <w:rPr>
                <w:rFonts w:cs="宋体"/>
                <w:szCs w:val="21"/>
              </w:rPr>
            </w:pPr>
          </w:p>
        </w:tc>
      </w:tr>
      <w:tr w14:paraId="5202D3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2" w:hRule="exact"/>
          <w:jc w:val="center"/>
        </w:trPr>
        <w:tc>
          <w:tcPr>
            <w:tcW w:w="681" w:type="dxa"/>
            <w:tcBorders>
              <w:top w:val="single" w:color="auto" w:sz="4" w:space="0"/>
              <w:left w:val="single" w:color="auto" w:sz="12" w:space="0"/>
              <w:bottom w:val="nil"/>
              <w:right w:val="single" w:color="auto" w:sz="4" w:space="0"/>
            </w:tcBorders>
            <w:vAlign w:val="center"/>
          </w:tcPr>
          <w:p w14:paraId="31CF54F7">
            <w:pPr>
              <w:spacing w:line="360" w:lineRule="auto"/>
              <w:ind w:left="69"/>
              <w:jc w:val="center"/>
              <w:rPr>
                <w:rFonts w:cs="宋体"/>
                <w:szCs w:val="21"/>
              </w:rPr>
            </w:pPr>
            <w:r>
              <w:rPr>
                <w:rFonts w:hint="eastAsia" w:cs="宋体"/>
                <w:szCs w:val="21"/>
              </w:rPr>
              <w:t>2</w:t>
            </w:r>
          </w:p>
        </w:tc>
        <w:tc>
          <w:tcPr>
            <w:tcW w:w="1524" w:type="dxa"/>
            <w:tcBorders>
              <w:top w:val="single" w:color="auto" w:sz="4" w:space="0"/>
              <w:left w:val="nil"/>
              <w:bottom w:val="nil"/>
              <w:right w:val="single" w:color="auto" w:sz="4" w:space="0"/>
            </w:tcBorders>
            <w:vAlign w:val="center"/>
          </w:tcPr>
          <w:p w14:paraId="79FB4FCF">
            <w:pPr>
              <w:snapToGrid w:val="0"/>
              <w:spacing w:line="360" w:lineRule="exact"/>
              <w:ind w:left="69"/>
              <w:rPr>
                <w:rFonts w:cs="宋体"/>
                <w:bCs/>
                <w:szCs w:val="21"/>
              </w:rPr>
            </w:pPr>
            <w:r>
              <w:rPr>
                <w:rFonts w:hint="eastAsia" w:cs="宋体"/>
                <w:bCs/>
                <w:szCs w:val="21"/>
              </w:rPr>
              <w:t>投标保证金</w:t>
            </w:r>
          </w:p>
        </w:tc>
        <w:tc>
          <w:tcPr>
            <w:tcW w:w="4976" w:type="dxa"/>
            <w:tcBorders>
              <w:top w:val="single" w:color="auto" w:sz="4" w:space="0"/>
              <w:left w:val="nil"/>
              <w:bottom w:val="nil"/>
              <w:right w:val="single" w:color="auto" w:sz="4" w:space="0"/>
            </w:tcBorders>
            <w:vAlign w:val="center"/>
          </w:tcPr>
          <w:p w14:paraId="3931AE5D">
            <w:pPr>
              <w:rPr>
                <w:rFonts w:cs="宋体"/>
                <w:bCs/>
                <w:szCs w:val="21"/>
              </w:rPr>
            </w:pPr>
            <w:r>
              <w:rPr>
                <w:rFonts w:hint="eastAsia" w:cs="宋体"/>
                <w:bCs/>
                <w:szCs w:val="21"/>
              </w:rPr>
              <w:t>投标保证金转账凭证</w:t>
            </w:r>
          </w:p>
        </w:tc>
        <w:tc>
          <w:tcPr>
            <w:tcW w:w="1539" w:type="dxa"/>
            <w:tcBorders>
              <w:top w:val="single" w:color="auto" w:sz="4" w:space="0"/>
              <w:left w:val="nil"/>
              <w:bottom w:val="nil"/>
              <w:right w:val="single" w:color="auto" w:sz="12" w:space="0"/>
            </w:tcBorders>
            <w:vAlign w:val="center"/>
          </w:tcPr>
          <w:p w14:paraId="41FAEA7F">
            <w:pPr>
              <w:spacing w:line="360" w:lineRule="auto"/>
              <w:ind w:left="69"/>
              <w:jc w:val="center"/>
              <w:rPr>
                <w:rFonts w:cs="宋体"/>
                <w:szCs w:val="21"/>
              </w:rPr>
            </w:pPr>
          </w:p>
        </w:tc>
      </w:tr>
      <w:tr w14:paraId="464C535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96" w:hRule="exact"/>
          <w:jc w:val="center"/>
        </w:trPr>
        <w:tc>
          <w:tcPr>
            <w:tcW w:w="681" w:type="dxa"/>
            <w:tcBorders>
              <w:top w:val="single" w:color="auto" w:sz="4" w:space="0"/>
              <w:left w:val="single" w:color="auto" w:sz="12" w:space="0"/>
              <w:bottom w:val="nil"/>
              <w:right w:val="single" w:color="auto" w:sz="4" w:space="0"/>
            </w:tcBorders>
            <w:vAlign w:val="center"/>
          </w:tcPr>
          <w:p w14:paraId="516FBC55">
            <w:pPr>
              <w:spacing w:line="360" w:lineRule="auto"/>
              <w:ind w:left="69"/>
              <w:jc w:val="center"/>
              <w:rPr>
                <w:rFonts w:cs="宋体"/>
                <w:szCs w:val="21"/>
              </w:rPr>
            </w:pPr>
            <w:r>
              <w:rPr>
                <w:rFonts w:hint="eastAsia" w:cs="宋体"/>
                <w:szCs w:val="21"/>
              </w:rPr>
              <w:t>3</w:t>
            </w:r>
          </w:p>
        </w:tc>
        <w:tc>
          <w:tcPr>
            <w:tcW w:w="1524" w:type="dxa"/>
            <w:tcBorders>
              <w:top w:val="single" w:color="auto" w:sz="4" w:space="0"/>
              <w:left w:val="nil"/>
              <w:bottom w:val="nil"/>
              <w:right w:val="single" w:color="auto" w:sz="4" w:space="0"/>
            </w:tcBorders>
            <w:vAlign w:val="center"/>
          </w:tcPr>
          <w:p w14:paraId="4698E08C">
            <w:pPr>
              <w:snapToGrid w:val="0"/>
              <w:jc w:val="center"/>
              <w:rPr>
                <w:rFonts w:cs="宋体"/>
                <w:bCs/>
                <w:szCs w:val="21"/>
              </w:rPr>
            </w:pPr>
            <w:r>
              <w:rPr>
                <w:rFonts w:hint="eastAsia" w:cs="宋体"/>
                <w:bCs/>
                <w:szCs w:val="21"/>
              </w:rPr>
              <w:t>无效投标情形</w:t>
            </w:r>
          </w:p>
        </w:tc>
        <w:tc>
          <w:tcPr>
            <w:tcW w:w="4976" w:type="dxa"/>
            <w:tcBorders>
              <w:top w:val="single" w:color="auto" w:sz="4" w:space="0"/>
              <w:left w:val="nil"/>
              <w:bottom w:val="nil"/>
              <w:right w:val="single" w:color="auto" w:sz="4" w:space="0"/>
            </w:tcBorders>
            <w:vAlign w:val="center"/>
          </w:tcPr>
          <w:p w14:paraId="71EB2243">
            <w:pPr>
              <w:jc w:val="left"/>
              <w:rPr>
                <w:rFonts w:cs="宋体"/>
                <w:bCs/>
                <w:szCs w:val="21"/>
              </w:rPr>
            </w:pPr>
            <w:r>
              <w:rPr>
                <w:rFonts w:hint="eastAsia" w:cs="宋体"/>
                <w:bCs/>
                <w:szCs w:val="21"/>
              </w:rPr>
              <w:t>不存在招标文件第二章“投标人须知” 第3.3项规定的任何一种情形。（由评标委员会进行判定，投标人投标时无须提供相应的响应资料）</w:t>
            </w:r>
          </w:p>
        </w:tc>
        <w:tc>
          <w:tcPr>
            <w:tcW w:w="1539" w:type="dxa"/>
            <w:tcBorders>
              <w:top w:val="single" w:color="auto" w:sz="4" w:space="0"/>
              <w:left w:val="nil"/>
              <w:bottom w:val="nil"/>
              <w:right w:val="single" w:color="auto" w:sz="12" w:space="0"/>
            </w:tcBorders>
            <w:vAlign w:val="center"/>
          </w:tcPr>
          <w:p w14:paraId="648E6883">
            <w:pPr>
              <w:spacing w:line="360" w:lineRule="auto"/>
              <w:ind w:left="69"/>
              <w:jc w:val="center"/>
              <w:rPr>
                <w:rFonts w:cs="宋体"/>
                <w:szCs w:val="21"/>
              </w:rPr>
            </w:pPr>
          </w:p>
        </w:tc>
      </w:tr>
      <w:tr w14:paraId="1934FBE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0" w:hRule="exact"/>
          <w:jc w:val="center"/>
        </w:trPr>
        <w:tc>
          <w:tcPr>
            <w:tcW w:w="681" w:type="dxa"/>
            <w:tcBorders>
              <w:top w:val="single" w:color="auto" w:sz="4" w:space="0"/>
              <w:left w:val="single" w:color="auto" w:sz="12" w:space="0"/>
              <w:bottom w:val="nil"/>
              <w:right w:val="single" w:color="auto" w:sz="4" w:space="0"/>
            </w:tcBorders>
            <w:vAlign w:val="center"/>
          </w:tcPr>
          <w:p w14:paraId="79250936">
            <w:pPr>
              <w:spacing w:line="360" w:lineRule="auto"/>
              <w:ind w:left="69"/>
              <w:jc w:val="center"/>
              <w:rPr>
                <w:rFonts w:cs="宋体"/>
                <w:szCs w:val="21"/>
              </w:rPr>
            </w:pPr>
            <w:r>
              <w:rPr>
                <w:rFonts w:hint="eastAsia" w:cs="宋体"/>
                <w:szCs w:val="21"/>
              </w:rPr>
              <w:t>4</w:t>
            </w:r>
          </w:p>
        </w:tc>
        <w:tc>
          <w:tcPr>
            <w:tcW w:w="1524" w:type="dxa"/>
            <w:tcBorders>
              <w:top w:val="single" w:color="auto" w:sz="4" w:space="0"/>
              <w:left w:val="nil"/>
              <w:bottom w:val="nil"/>
              <w:right w:val="single" w:color="auto" w:sz="4" w:space="0"/>
            </w:tcBorders>
            <w:vAlign w:val="center"/>
          </w:tcPr>
          <w:p w14:paraId="1CDF6510">
            <w:pPr>
              <w:snapToGrid w:val="0"/>
              <w:ind w:left="69"/>
              <w:jc w:val="center"/>
              <w:rPr>
                <w:rFonts w:cs="宋体"/>
                <w:szCs w:val="21"/>
              </w:rPr>
            </w:pPr>
            <w:r>
              <w:rPr>
                <w:rFonts w:hint="eastAsia" w:cs="宋体"/>
                <w:bCs/>
                <w:szCs w:val="21"/>
              </w:rPr>
              <w:t>串通投标情形</w:t>
            </w:r>
          </w:p>
        </w:tc>
        <w:tc>
          <w:tcPr>
            <w:tcW w:w="4976" w:type="dxa"/>
            <w:tcBorders>
              <w:top w:val="single" w:color="auto" w:sz="4" w:space="0"/>
              <w:left w:val="nil"/>
              <w:bottom w:val="nil"/>
              <w:right w:val="single" w:color="auto" w:sz="4" w:space="0"/>
            </w:tcBorders>
            <w:vAlign w:val="center"/>
          </w:tcPr>
          <w:p w14:paraId="4134E7CF">
            <w:pPr>
              <w:snapToGrid w:val="0"/>
              <w:spacing w:line="360" w:lineRule="exact"/>
              <w:ind w:left="69"/>
              <w:rPr>
                <w:rFonts w:cs="宋体"/>
                <w:szCs w:val="21"/>
              </w:rPr>
            </w:pPr>
            <w:r>
              <w:rPr>
                <w:rFonts w:hint="eastAsia" w:cs="宋体"/>
                <w:bCs/>
                <w:szCs w:val="21"/>
              </w:rPr>
              <w:t>不存在招标文件第二章“投标人须知” 第3.4项规定的任何一种情形。（由评标委员会进行判定，投标人投标时无须提供相应的响应资料）</w:t>
            </w:r>
          </w:p>
        </w:tc>
        <w:tc>
          <w:tcPr>
            <w:tcW w:w="1539" w:type="dxa"/>
            <w:tcBorders>
              <w:top w:val="single" w:color="auto" w:sz="4" w:space="0"/>
              <w:left w:val="nil"/>
              <w:bottom w:val="nil"/>
              <w:right w:val="single" w:color="auto" w:sz="12" w:space="0"/>
            </w:tcBorders>
            <w:vAlign w:val="center"/>
          </w:tcPr>
          <w:p w14:paraId="25ADD79A">
            <w:pPr>
              <w:spacing w:line="360" w:lineRule="auto"/>
              <w:ind w:left="69"/>
              <w:jc w:val="center"/>
              <w:rPr>
                <w:rFonts w:cs="宋体"/>
                <w:szCs w:val="21"/>
              </w:rPr>
            </w:pPr>
          </w:p>
        </w:tc>
      </w:tr>
      <w:tr w14:paraId="02D1BF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13" w:hRule="exact"/>
          <w:jc w:val="center"/>
        </w:trPr>
        <w:tc>
          <w:tcPr>
            <w:tcW w:w="681" w:type="dxa"/>
            <w:tcBorders>
              <w:top w:val="single" w:color="auto" w:sz="4" w:space="0"/>
              <w:left w:val="single" w:color="auto" w:sz="12" w:space="0"/>
              <w:bottom w:val="nil"/>
              <w:right w:val="single" w:color="auto" w:sz="4" w:space="0"/>
            </w:tcBorders>
            <w:vAlign w:val="center"/>
          </w:tcPr>
          <w:p w14:paraId="20B06EF0">
            <w:pPr>
              <w:spacing w:line="360" w:lineRule="auto"/>
              <w:ind w:left="69"/>
              <w:jc w:val="center"/>
              <w:rPr>
                <w:rFonts w:cs="宋体"/>
                <w:szCs w:val="21"/>
              </w:rPr>
            </w:pPr>
            <w:r>
              <w:rPr>
                <w:rFonts w:hint="eastAsia" w:cs="宋体"/>
                <w:szCs w:val="21"/>
              </w:rPr>
              <w:t>5</w:t>
            </w:r>
          </w:p>
        </w:tc>
        <w:tc>
          <w:tcPr>
            <w:tcW w:w="1524" w:type="dxa"/>
            <w:vMerge w:val="restart"/>
            <w:tcBorders>
              <w:top w:val="single" w:color="auto" w:sz="4" w:space="0"/>
              <w:left w:val="nil"/>
              <w:bottom w:val="nil"/>
              <w:right w:val="single" w:color="auto" w:sz="4" w:space="0"/>
            </w:tcBorders>
            <w:vAlign w:val="center"/>
          </w:tcPr>
          <w:p w14:paraId="2B9CB27F">
            <w:pPr>
              <w:snapToGrid w:val="0"/>
              <w:ind w:left="69"/>
              <w:jc w:val="center"/>
              <w:rPr>
                <w:rFonts w:cs="宋体"/>
                <w:bCs/>
                <w:szCs w:val="21"/>
              </w:rPr>
            </w:pPr>
            <w:r>
              <w:rPr>
                <w:rFonts w:hint="eastAsia" w:cs="宋体"/>
                <w:bCs/>
                <w:szCs w:val="21"/>
              </w:rPr>
              <w:t>资格要求</w:t>
            </w:r>
          </w:p>
        </w:tc>
        <w:tc>
          <w:tcPr>
            <w:tcW w:w="4976" w:type="dxa"/>
            <w:tcBorders>
              <w:top w:val="single" w:color="auto" w:sz="4" w:space="0"/>
              <w:left w:val="nil"/>
              <w:bottom w:val="nil"/>
              <w:right w:val="single" w:color="auto" w:sz="4" w:space="0"/>
            </w:tcBorders>
            <w:vAlign w:val="center"/>
          </w:tcPr>
          <w:p w14:paraId="35788CA7">
            <w:pPr>
              <w:jc w:val="left"/>
              <w:rPr>
                <w:rFonts w:cs="宋体"/>
                <w:szCs w:val="21"/>
              </w:rPr>
            </w:pPr>
            <w:r>
              <w:rPr>
                <w:rFonts w:hint="eastAsia" w:cs="宋体"/>
                <w:bCs/>
                <w:szCs w:val="21"/>
              </w:rPr>
              <w:t>1、投标人应具备独立的法人资格，并提供加载有统一社会征信代码的营业执照的复印件。</w:t>
            </w:r>
          </w:p>
        </w:tc>
        <w:tc>
          <w:tcPr>
            <w:tcW w:w="1539" w:type="dxa"/>
            <w:tcBorders>
              <w:top w:val="single" w:color="auto" w:sz="4" w:space="0"/>
              <w:left w:val="nil"/>
              <w:bottom w:val="nil"/>
              <w:right w:val="single" w:color="auto" w:sz="12" w:space="0"/>
            </w:tcBorders>
            <w:vAlign w:val="center"/>
          </w:tcPr>
          <w:p w14:paraId="6CB8A653">
            <w:pPr>
              <w:spacing w:line="360" w:lineRule="auto"/>
              <w:ind w:left="69"/>
              <w:jc w:val="center"/>
              <w:rPr>
                <w:rFonts w:cs="宋体"/>
                <w:szCs w:val="21"/>
              </w:rPr>
            </w:pPr>
          </w:p>
        </w:tc>
      </w:tr>
      <w:tr w14:paraId="66458E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681" w:type="dxa"/>
            <w:tcBorders>
              <w:top w:val="single" w:color="auto" w:sz="4" w:space="0"/>
              <w:left w:val="single" w:color="auto" w:sz="12" w:space="0"/>
              <w:bottom w:val="nil"/>
              <w:right w:val="single" w:color="auto" w:sz="4" w:space="0"/>
            </w:tcBorders>
            <w:vAlign w:val="center"/>
          </w:tcPr>
          <w:p w14:paraId="43A01975">
            <w:pPr>
              <w:spacing w:line="360" w:lineRule="auto"/>
              <w:ind w:left="69"/>
              <w:jc w:val="center"/>
              <w:rPr>
                <w:rFonts w:cs="宋体"/>
                <w:szCs w:val="21"/>
              </w:rPr>
            </w:pPr>
            <w:r>
              <w:rPr>
                <w:rFonts w:hint="eastAsia" w:cs="宋体"/>
                <w:szCs w:val="21"/>
              </w:rPr>
              <w:t>6</w:t>
            </w:r>
          </w:p>
        </w:tc>
        <w:tc>
          <w:tcPr>
            <w:tcW w:w="1524" w:type="dxa"/>
            <w:vMerge w:val="continue"/>
            <w:tcBorders>
              <w:top w:val="single" w:color="auto" w:sz="4" w:space="0"/>
              <w:left w:val="nil"/>
              <w:right w:val="single" w:color="auto" w:sz="4" w:space="0"/>
            </w:tcBorders>
            <w:vAlign w:val="center"/>
          </w:tcPr>
          <w:p w14:paraId="6FFD7DDD">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14:paraId="6AD26864">
            <w:pPr>
              <w:jc w:val="left"/>
              <w:rPr>
                <w:rFonts w:cs="宋体"/>
                <w:bCs/>
                <w:szCs w:val="21"/>
              </w:rPr>
            </w:pPr>
            <w:r>
              <w:rPr>
                <w:rFonts w:hint="eastAsia" w:cs="宋体"/>
                <w:bCs/>
                <w:szCs w:val="21"/>
              </w:rPr>
              <w:t>2、投标人代表若不是法定代表人的，应提供法人授权书原件，并加盖投标人公章。</w:t>
            </w:r>
          </w:p>
        </w:tc>
        <w:tc>
          <w:tcPr>
            <w:tcW w:w="1539" w:type="dxa"/>
            <w:tcBorders>
              <w:top w:val="single" w:color="auto" w:sz="4" w:space="0"/>
              <w:left w:val="nil"/>
              <w:bottom w:val="nil"/>
              <w:right w:val="single" w:color="auto" w:sz="12" w:space="0"/>
            </w:tcBorders>
            <w:vAlign w:val="center"/>
          </w:tcPr>
          <w:p w14:paraId="24FBADC1">
            <w:pPr>
              <w:spacing w:line="360" w:lineRule="auto"/>
              <w:ind w:left="69"/>
              <w:jc w:val="center"/>
              <w:rPr>
                <w:rFonts w:cs="宋体"/>
                <w:szCs w:val="21"/>
              </w:rPr>
            </w:pPr>
          </w:p>
        </w:tc>
      </w:tr>
      <w:tr w14:paraId="7281CD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681" w:type="dxa"/>
            <w:tcBorders>
              <w:top w:val="single" w:color="auto" w:sz="4" w:space="0"/>
              <w:left w:val="single" w:color="auto" w:sz="12" w:space="0"/>
              <w:bottom w:val="nil"/>
              <w:right w:val="single" w:color="auto" w:sz="4" w:space="0"/>
            </w:tcBorders>
            <w:vAlign w:val="center"/>
          </w:tcPr>
          <w:p w14:paraId="157764C4">
            <w:pPr>
              <w:spacing w:line="360" w:lineRule="auto"/>
              <w:ind w:left="69"/>
              <w:jc w:val="center"/>
              <w:rPr>
                <w:rFonts w:cs="宋体"/>
                <w:szCs w:val="21"/>
              </w:rPr>
            </w:pPr>
            <w:r>
              <w:rPr>
                <w:rFonts w:hint="eastAsia" w:cs="宋体"/>
                <w:szCs w:val="21"/>
              </w:rPr>
              <w:t>7</w:t>
            </w:r>
          </w:p>
        </w:tc>
        <w:tc>
          <w:tcPr>
            <w:tcW w:w="1524" w:type="dxa"/>
            <w:vMerge w:val="continue"/>
            <w:tcBorders>
              <w:left w:val="nil"/>
              <w:right w:val="single" w:color="auto" w:sz="4" w:space="0"/>
            </w:tcBorders>
            <w:vAlign w:val="center"/>
          </w:tcPr>
          <w:p w14:paraId="20617E82">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14:paraId="573F09C2">
            <w:pPr>
              <w:jc w:val="left"/>
              <w:rPr>
                <w:rFonts w:cs="宋体"/>
                <w:bCs/>
                <w:szCs w:val="21"/>
              </w:rPr>
            </w:pPr>
            <w:r>
              <w:rPr>
                <w:rFonts w:hint="eastAsia" w:cs="宋体"/>
                <w:bCs/>
                <w:szCs w:val="21"/>
              </w:rPr>
              <w:t>3、投标人若非投标设备的制造商，则须提供制造商或国外制造商在国内合法的分支机构出具的授权函，原件备查。</w:t>
            </w:r>
          </w:p>
        </w:tc>
        <w:tc>
          <w:tcPr>
            <w:tcW w:w="1539" w:type="dxa"/>
            <w:tcBorders>
              <w:top w:val="single" w:color="auto" w:sz="4" w:space="0"/>
              <w:left w:val="nil"/>
              <w:bottom w:val="nil"/>
              <w:right w:val="single" w:color="auto" w:sz="12" w:space="0"/>
            </w:tcBorders>
            <w:vAlign w:val="center"/>
          </w:tcPr>
          <w:p w14:paraId="28662AB9">
            <w:pPr>
              <w:spacing w:line="360" w:lineRule="auto"/>
              <w:ind w:left="69"/>
              <w:jc w:val="center"/>
              <w:rPr>
                <w:rFonts w:cs="宋体"/>
                <w:szCs w:val="21"/>
              </w:rPr>
            </w:pPr>
          </w:p>
        </w:tc>
      </w:tr>
      <w:tr w14:paraId="736555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81" w:type="dxa"/>
            <w:tcBorders>
              <w:top w:val="single" w:color="auto" w:sz="4" w:space="0"/>
              <w:left w:val="single" w:color="auto" w:sz="12" w:space="0"/>
              <w:right w:val="single" w:color="auto" w:sz="4" w:space="0"/>
            </w:tcBorders>
            <w:vAlign w:val="center"/>
          </w:tcPr>
          <w:p w14:paraId="78B4AC17">
            <w:pPr>
              <w:spacing w:line="360" w:lineRule="auto"/>
              <w:ind w:left="69"/>
              <w:jc w:val="center"/>
              <w:rPr>
                <w:rFonts w:cs="宋体"/>
                <w:szCs w:val="21"/>
              </w:rPr>
            </w:pPr>
            <w:r>
              <w:rPr>
                <w:rFonts w:hint="eastAsia" w:cs="宋体"/>
                <w:szCs w:val="21"/>
              </w:rPr>
              <w:t>8</w:t>
            </w:r>
          </w:p>
        </w:tc>
        <w:tc>
          <w:tcPr>
            <w:tcW w:w="1524" w:type="dxa"/>
            <w:vMerge w:val="continue"/>
            <w:tcBorders>
              <w:left w:val="nil"/>
              <w:right w:val="single" w:color="auto" w:sz="4" w:space="0"/>
            </w:tcBorders>
            <w:vAlign w:val="center"/>
          </w:tcPr>
          <w:p w14:paraId="463AE86A">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14:paraId="5CF3004D">
            <w:pPr>
              <w:snapToGrid w:val="0"/>
              <w:spacing w:line="360" w:lineRule="auto"/>
              <w:rPr>
                <w:rFonts w:cs="宋体"/>
                <w:bCs/>
                <w:szCs w:val="21"/>
              </w:rPr>
            </w:pPr>
            <w:r>
              <w:rPr>
                <w:rFonts w:hint="eastAsia"/>
                <w:b/>
                <w:szCs w:val="21"/>
              </w:rPr>
              <w:t>4、本项目</w:t>
            </w:r>
            <w:r>
              <w:rPr>
                <w:rStyle w:val="34"/>
                <w:rFonts w:hint="eastAsia"/>
                <w:b/>
                <w:kern w:val="0"/>
              </w:rPr>
              <w:t>不</w:t>
            </w:r>
            <w:r>
              <w:rPr>
                <w:rFonts w:hint="eastAsia"/>
                <w:b/>
                <w:szCs w:val="21"/>
              </w:rPr>
              <w:t>接受联合体投标</w:t>
            </w:r>
          </w:p>
        </w:tc>
        <w:tc>
          <w:tcPr>
            <w:tcW w:w="1539" w:type="dxa"/>
            <w:tcBorders>
              <w:top w:val="single" w:color="auto" w:sz="4" w:space="0"/>
              <w:left w:val="nil"/>
              <w:bottom w:val="nil"/>
              <w:right w:val="single" w:color="auto" w:sz="12" w:space="0"/>
            </w:tcBorders>
            <w:vAlign w:val="center"/>
          </w:tcPr>
          <w:p w14:paraId="715F62FC">
            <w:pPr>
              <w:spacing w:line="360" w:lineRule="auto"/>
              <w:ind w:left="69"/>
              <w:jc w:val="center"/>
              <w:rPr>
                <w:rFonts w:cs="宋体"/>
                <w:szCs w:val="21"/>
              </w:rPr>
            </w:pPr>
          </w:p>
        </w:tc>
      </w:tr>
      <w:tr w14:paraId="1A5B6D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81" w:type="dxa"/>
            <w:tcBorders>
              <w:top w:val="single" w:color="auto" w:sz="4" w:space="0"/>
              <w:left w:val="single" w:color="auto" w:sz="12" w:space="0"/>
              <w:right w:val="single" w:color="auto" w:sz="4" w:space="0"/>
            </w:tcBorders>
            <w:vAlign w:val="center"/>
          </w:tcPr>
          <w:p w14:paraId="1193EE78">
            <w:pPr>
              <w:spacing w:line="360" w:lineRule="auto"/>
              <w:ind w:left="69"/>
              <w:jc w:val="center"/>
              <w:rPr>
                <w:rFonts w:cs="宋体"/>
                <w:szCs w:val="21"/>
              </w:rPr>
            </w:pPr>
            <w:r>
              <w:rPr>
                <w:rFonts w:hint="eastAsia" w:cs="宋体"/>
                <w:szCs w:val="21"/>
              </w:rPr>
              <w:t>9</w:t>
            </w:r>
          </w:p>
        </w:tc>
        <w:tc>
          <w:tcPr>
            <w:tcW w:w="1524" w:type="dxa"/>
            <w:tcBorders>
              <w:left w:val="nil"/>
              <w:right w:val="single" w:color="auto" w:sz="4" w:space="0"/>
            </w:tcBorders>
            <w:vAlign w:val="center"/>
          </w:tcPr>
          <w:p w14:paraId="73301C60">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14:paraId="17BD8437">
            <w:pPr>
              <w:snapToGrid w:val="0"/>
              <w:spacing w:line="360" w:lineRule="auto"/>
              <w:rPr>
                <w:bCs/>
                <w:szCs w:val="21"/>
              </w:rPr>
            </w:pPr>
            <w:r>
              <w:rPr>
                <w:rFonts w:hint="eastAsia"/>
                <w:b/>
                <w:szCs w:val="21"/>
              </w:rPr>
              <w:t>5、投标人须至现场汇报</w:t>
            </w:r>
          </w:p>
        </w:tc>
        <w:tc>
          <w:tcPr>
            <w:tcW w:w="1539" w:type="dxa"/>
            <w:tcBorders>
              <w:top w:val="single" w:color="auto" w:sz="4" w:space="0"/>
              <w:left w:val="nil"/>
              <w:bottom w:val="nil"/>
              <w:right w:val="single" w:color="auto" w:sz="12" w:space="0"/>
            </w:tcBorders>
            <w:vAlign w:val="center"/>
          </w:tcPr>
          <w:p w14:paraId="5C85F6D7">
            <w:pPr>
              <w:spacing w:line="360" w:lineRule="auto"/>
              <w:ind w:left="69"/>
              <w:jc w:val="center"/>
              <w:rPr>
                <w:rFonts w:cs="宋体"/>
                <w:szCs w:val="21"/>
              </w:rPr>
            </w:pPr>
          </w:p>
        </w:tc>
      </w:tr>
      <w:tr w14:paraId="6BD9E3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181" w:type="dxa"/>
            <w:gridSpan w:val="3"/>
            <w:tcBorders>
              <w:top w:val="single" w:color="auto" w:sz="4" w:space="0"/>
              <w:left w:val="single" w:color="auto" w:sz="12" w:space="0"/>
              <w:bottom w:val="single" w:color="auto" w:sz="4" w:space="0"/>
              <w:right w:val="single" w:color="auto" w:sz="4" w:space="0"/>
            </w:tcBorders>
            <w:vAlign w:val="center"/>
          </w:tcPr>
          <w:p w14:paraId="40780D5F">
            <w:pPr>
              <w:snapToGrid w:val="0"/>
              <w:spacing w:line="360" w:lineRule="auto"/>
              <w:ind w:left="69"/>
              <w:jc w:val="center"/>
              <w:rPr>
                <w:rFonts w:cs="宋体"/>
                <w:b/>
                <w:szCs w:val="21"/>
              </w:rPr>
            </w:pPr>
            <w:r>
              <w:rPr>
                <w:rFonts w:hint="eastAsia" w:cs="宋体"/>
                <w:szCs w:val="21"/>
              </w:rPr>
              <w:t>评审结果</w:t>
            </w:r>
          </w:p>
        </w:tc>
        <w:tc>
          <w:tcPr>
            <w:tcW w:w="1539" w:type="dxa"/>
            <w:tcBorders>
              <w:top w:val="single" w:color="auto" w:sz="4" w:space="0"/>
              <w:left w:val="nil"/>
              <w:bottom w:val="single" w:color="auto" w:sz="4" w:space="0"/>
              <w:right w:val="single" w:color="auto" w:sz="12" w:space="0"/>
            </w:tcBorders>
            <w:vAlign w:val="center"/>
          </w:tcPr>
          <w:p w14:paraId="58A5CDED">
            <w:pPr>
              <w:spacing w:line="360" w:lineRule="auto"/>
              <w:ind w:left="69" w:right="46" w:rightChars="22"/>
              <w:rPr>
                <w:rFonts w:cs="宋体"/>
                <w:szCs w:val="21"/>
              </w:rPr>
            </w:pPr>
          </w:p>
        </w:tc>
      </w:tr>
    </w:tbl>
    <w:p w14:paraId="2105F09E">
      <w:pPr>
        <w:spacing w:line="360" w:lineRule="auto"/>
        <w:rPr>
          <w:rFonts w:cs="宋体"/>
          <w:szCs w:val="21"/>
        </w:rPr>
      </w:pPr>
      <w:r>
        <w:rPr>
          <w:rFonts w:hint="eastAsia" w:cs="宋体"/>
        </w:rPr>
        <w:t>说明：</w:t>
      </w:r>
    </w:p>
    <w:p w14:paraId="7BECA4A7">
      <w:pPr>
        <w:spacing w:line="360" w:lineRule="auto"/>
        <w:rPr>
          <w:rFonts w:cs="宋体"/>
        </w:rPr>
      </w:pPr>
      <w:r>
        <w:rPr>
          <w:rFonts w:hint="eastAsia" w:cs="宋体"/>
        </w:rPr>
        <w:t>（1）投</w:t>
      </w:r>
      <w:r>
        <w:rPr>
          <w:rFonts w:hint="eastAsia" w:cs="宋体"/>
          <w:bCs/>
          <w:szCs w:val="21"/>
        </w:rPr>
        <w:t>标人不满足上述规定的资格条件或提供资格证明文件不全的，其投标将被拒绝，</w:t>
      </w:r>
      <w:r>
        <w:rPr>
          <w:rFonts w:hint="eastAsia" w:cs="宋体"/>
        </w:rPr>
        <w:t>资格证明材料需提供复印件，并加盖投标单位公章，原件备查。</w:t>
      </w:r>
    </w:p>
    <w:p w14:paraId="407590E8">
      <w:pPr>
        <w:spacing w:line="360" w:lineRule="auto"/>
        <w:rPr>
          <w:rFonts w:cs="宋体"/>
        </w:rPr>
      </w:pPr>
      <w:r>
        <w:rPr>
          <w:rFonts w:hint="eastAsia" w:cs="宋体"/>
        </w:rPr>
        <w:t>（2）评定结果为“合格”或“不合格”，符合合格条件标准则评定结果为“合格”，不符合合格条件标准则评定结果为“不合格”。</w:t>
      </w:r>
    </w:p>
    <w:p w14:paraId="7944E008">
      <w:pPr>
        <w:spacing w:line="360" w:lineRule="auto"/>
        <w:ind w:left="31" w:leftChars="15"/>
        <w:rPr>
          <w:rFonts w:cs="宋体"/>
          <w:b/>
          <w:bCs/>
          <w:sz w:val="28"/>
          <w:szCs w:val="28"/>
        </w:rPr>
      </w:pPr>
      <w:r>
        <w:rPr>
          <w:rFonts w:hint="eastAsia" w:cs="宋体"/>
        </w:rPr>
        <w:t>（3）审查内容一项不通过则评审结果为“不合格”。</w:t>
      </w:r>
      <w:bookmarkStart w:id="178" w:name="_Toc16702"/>
    </w:p>
    <w:p w14:paraId="6253853F">
      <w:pPr>
        <w:spacing w:line="360" w:lineRule="auto"/>
        <w:outlineLvl w:val="1"/>
        <w:rPr>
          <w:rFonts w:cs="宋体"/>
          <w:b/>
          <w:bCs/>
          <w:sz w:val="28"/>
          <w:szCs w:val="28"/>
        </w:rPr>
      </w:pPr>
      <w:r>
        <w:rPr>
          <w:rFonts w:hint="eastAsia" w:cs="宋体"/>
          <w:b/>
          <w:bCs/>
          <w:sz w:val="28"/>
          <w:szCs w:val="28"/>
        </w:rPr>
        <w:br w:type="page"/>
      </w:r>
      <w:bookmarkStart w:id="179" w:name="_Toc20895"/>
      <w:bookmarkStart w:id="180" w:name="_Toc148459141"/>
      <w:bookmarkStart w:id="181" w:name="_Toc22963"/>
      <w:r>
        <w:rPr>
          <w:rFonts w:hint="eastAsia" w:cs="宋体"/>
          <w:b/>
          <w:bCs/>
          <w:sz w:val="28"/>
          <w:szCs w:val="28"/>
        </w:rPr>
        <w:t>附表2：符合性条款审查表</w:t>
      </w:r>
      <w:bookmarkEnd w:id="178"/>
      <w:bookmarkEnd w:id="179"/>
      <w:bookmarkEnd w:id="180"/>
      <w:bookmarkEnd w:id="181"/>
    </w:p>
    <w:tbl>
      <w:tblPr>
        <w:tblStyle w:val="28"/>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8"/>
        <w:gridCol w:w="1399"/>
        <w:gridCol w:w="5666"/>
        <w:gridCol w:w="1177"/>
      </w:tblGrid>
      <w:tr w14:paraId="19270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8" w:hRule="atLeast"/>
          <w:jc w:val="center"/>
        </w:trPr>
        <w:tc>
          <w:tcPr>
            <w:tcW w:w="818" w:type="dxa"/>
            <w:tcBorders>
              <w:top w:val="single" w:color="auto" w:sz="12" w:space="0"/>
              <w:left w:val="single" w:color="auto" w:sz="12" w:space="0"/>
              <w:bottom w:val="single" w:color="auto" w:sz="6" w:space="0"/>
              <w:right w:val="single" w:color="auto" w:sz="6" w:space="0"/>
            </w:tcBorders>
            <w:vAlign w:val="center"/>
          </w:tcPr>
          <w:p w14:paraId="392BA2EB">
            <w:pPr>
              <w:spacing w:line="360" w:lineRule="auto"/>
              <w:ind w:left="69"/>
              <w:jc w:val="center"/>
              <w:rPr>
                <w:rFonts w:cs="宋体"/>
                <w:szCs w:val="21"/>
              </w:rPr>
            </w:pPr>
            <w:r>
              <w:rPr>
                <w:rFonts w:hint="eastAsia" w:cs="宋体"/>
                <w:szCs w:val="21"/>
              </w:rPr>
              <w:t>序号</w:t>
            </w:r>
          </w:p>
        </w:tc>
        <w:tc>
          <w:tcPr>
            <w:tcW w:w="1399" w:type="dxa"/>
            <w:tcBorders>
              <w:top w:val="single" w:color="auto" w:sz="12" w:space="0"/>
              <w:left w:val="nil"/>
              <w:bottom w:val="single" w:color="auto" w:sz="6" w:space="0"/>
              <w:right w:val="single" w:color="auto" w:sz="4" w:space="0"/>
            </w:tcBorders>
            <w:vAlign w:val="center"/>
          </w:tcPr>
          <w:p w14:paraId="5A15F3D3">
            <w:pPr>
              <w:spacing w:line="360" w:lineRule="auto"/>
              <w:ind w:left="69"/>
              <w:jc w:val="center"/>
              <w:rPr>
                <w:rFonts w:cs="宋体"/>
                <w:szCs w:val="21"/>
              </w:rPr>
            </w:pPr>
            <w:r>
              <w:rPr>
                <w:rFonts w:hint="eastAsia" w:cs="宋体"/>
                <w:szCs w:val="21"/>
              </w:rPr>
              <w:t>评审因素</w:t>
            </w:r>
          </w:p>
        </w:tc>
        <w:tc>
          <w:tcPr>
            <w:tcW w:w="5666" w:type="dxa"/>
            <w:tcBorders>
              <w:top w:val="single" w:color="auto" w:sz="12" w:space="0"/>
              <w:left w:val="single" w:color="auto" w:sz="4" w:space="0"/>
              <w:bottom w:val="single" w:color="auto" w:sz="6" w:space="0"/>
              <w:right w:val="single" w:color="auto" w:sz="6" w:space="0"/>
            </w:tcBorders>
            <w:vAlign w:val="center"/>
          </w:tcPr>
          <w:p w14:paraId="1737D96B">
            <w:pPr>
              <w:spacing w:line="360" w:lineRule="auto"/>
              <w:ind w:left="69"/>
              <w:jc w:val="center"/>
              <w:rPr>
                <w:rFonts w:cs="宋体"/>
                <w:szCs w:val="21"/>
              </w:rPr>
            </w:pPr>
            <w:r>
              <w:rPr>
                <w:rFonts w:hint="eastAsia" w:cs="宋体"/>
                <w:szCs w:val="21"/>
              </w:rPr>
              <w:t>评审标准</w:t>
            </w:r>
          </w:p>
        </w:tc>
        <w:tc>
          <w:tcPr>
            <w:tcW w:w="1177" w:type="dxa"/>
            <w:tcBorders>
              <w:top w:val="single" w:color="auto" w:sz="12" w:space="0"/>
              <w:left w:val="nil"/>
              <w:bottom w:val="single" w:color="auto" w:sz="6" w:space="0"/>
              <w:right w:val="single" w:color="auto" w:sz="12" w:space="0"/>
            </w:tcBorders>
            <w:tcMar>
              <w:top w:w="0" w:type="dxa"/>
              <w:left w:w="57" w:type="dxa"/>
              <w:bottom w:w="0" w:type="dxa"/>
              <w:right w:w="57" w:type="dxa"/>
            </w:tcMar>
            <w:vAlign w:val="center"/>
          </w:tcPr>
          <w:p w14:paraId="549CA9B3">
            <w:pPr>
              <w:spacing w:line="360" w:lineRule="auto"/>
              <w:ind w:left="69"/>
              <w:jc w:val="center"/>
              <w:rPr>
                <w:rFonts w:cs="宋体"/>
                <w:szCs w:val="21"/>
              </w:rPr>
            </w:pPr>
            <w:r>
              <w:rPr>
                <w:rFonts w:hint="eastAsia" w:cs="宋体"/>
                <w:szCs w:val="21"/>
              </w:rPr>
              <w:t>是否满足（填写“合格”或“不合格”）</w:t>
            </w:r>
          </w:p>
        </w:tc>
      </w:tr>
      <w:tr w14:paraId="55CA7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3" w:hRule="atLeast"/>
          <w:jc w:val="center"/>
        </w:trPr>
        <w:tc>
          <w:tcPr>
            <w:tcW w:w="818" w:type="dxa"/>
            <w:tcBorders>
              <w:top w:val="single" w:color="auto" w:sz="6" w:space="0"/>
              <w:left w:val="single" w:color="auto" w:sz="12" w:space="0"/>
              <w:bottom w:val="single" w:color="auto" w:sz="6" w:space="0"/>
              <w:right w:val="single" w:color="auto" w:sz="6" w:space="0"/>
            </w:tcBorders>
            <w:vAlign w:val="center"/>
          </w:tcPr>
          <w:p w14:paraId="09DCCF39">
            <w:pPr>
              <w:spacing w:line="360" w:lineRule="auto"/>
              <w:ind w:left="69"/>
              <w:jc w:val="center"/>
              <w:rPr>
                <w:rFonts w:cs="宋体"/>
                <w:szCs w:val="21"/>
              </w:rPr>
            </w:pPr>
          </w:p>
        </w:tc>
        <w:tc>
          <w:tcPr>
            <w:tcW w:w="1399" w:type="dxa"/>
            <w:tcBorders>
              <w:top w:val="single" w:color="auto" w:sz="6" w:space="0"/>
              <w:left w:val="nil"/>
              <w:bottom w:val="single" w:color="auto" w:sz="6" w:space="0"/>
              <w:right w:val="single" w:color="auto" w:sz="4" w:space="0"/>
            </w:tcBorders>
            <w:vAlign w:val="center"/>
          </w:tcPr>
          <w:p w14:paraId="77066C3C">
            <w:pPr>
              <w:spacing w:line="360" w:lineRule="auto"/>
              <w:ind w:left="69"/>
              <w:jc w:val="center"/>
              <w:rPr>
                <w:rFonts w:cs="宋体"/>
                <w:szCs w:val="21"/>
              </w:rPr>
            </w:pPr>
            <w:r>
              <w:rPr>
                <w:rFonts w:hint="eastAsia" w:cs="宋体"/>
                <w:szCs w:val="21"/>
              </w:rPr>
              <w:t>实质性要求</w:t>
            </w:r>
          </w:p>
        </w:tc>
        <w:tc>
          <w:tcPr>
            <w:tcW w:w="5666" w:type="dxa"/>
            <w:tcBorders>
              <w:top w:val="single" w:color="auto" w:sz="6" w:space="0"/>
              <w:left w:val="single" w:color="auto" w:sz="4" w:space="0"/>
              <w:bottom w:val="single" w:color="auto" w:sz="6" w:space="0"/>
              <w:right w:val="single" w:color="auto" w:sz="6" w:space="0"/>
            </w:tcBorders>
            <w:vAlign w:val="center"/>
          </w:tcPr>
          <w:p w14:paraId="4C733248">
            <w:pPr>
              <w:spacing w:line="360" w:lineRule="auto"/>
              <w:ind w:left="69"/>
              <w:rPr>
                <w:rFonts w:cs="宋体"/>
                <w:szCs w:val="21"/>
              </w:rPr>
            </w:pPr>
            <w:r>
              <w:rPr>
                <w:rFonts w:hint="eastAsia" w:cs="宋体"/>
                <w:szCs w:val="21"/>
              </w:rPr>
              <w:t>投标文件对招标文件实质性要求的响应有效、完整，不存在重大偏差或与招标文件一致；不存在招标文件规定的其他投标无效情形的。包括但不限于“第四章</w:t>
            </w:r>
            <w:r>
              <w:rPr>
                <w:rFonts w:cs="宋体"/>
                <w:szCs w:val="21"/>
              </w:rPr>
              <w:t xml:space="preserve"> 招标内容及要求</w:t>
            </w:r>
            <w:r>
              <w:rPr>
                <w:rFonts w:hint="eastAsia" w:cs="宋体"/>
                <w:szCs w:val="21"/>
              </w:rPr>
              <w:t>”中的以下带“</w:t>
            </w:r>
            <w:r>
              <w:rPr>
                <w:rFonts w:hint="eastAsia"/>
                <w:b/>
                <w:bCs/>
              </w:rPr>
              <w:t>★</w:t>
            </w:r>
            <w:r>
              <w:rPr>
                <w:rFonts w:hint="eastAsia" w:cs="宋体"/>
                <w:szCs w:val="21"/>
              </w:rPr>
              <w:t>”的关键性条款：</w:t>
            </w:r>
          </w:p>
        </w:tc>
        <w:tc>
          <w:tcPr>
            <w:tcW w:w="1177" w:type="dxa"/>
            <w:tcBorders>
              <w:top w:val="single" w:color="auto" w:sz="6" w:space="0"/>
              <w:left w:val="nil"/>
              <w:bottom w:val="single" w:color="auto" w:sz="6" w:space="0"/>
              <w:right w:val="single" w:color="auto" w:sz="12" w:space="0"/>
            </w:tcBorders>
            <w:vAlign w:val="center"/>
          </w:tcPr>
          <w:p w14:paraId="7A5CD0FD">
            <w:pPr>
              <w:spacing w:line="360" w:lineRule="auto"/>
              <w:ind w:left="69"/>
              <w:jc w:val="center"/>
              <w:rPr>
                <w:rFonts w:cs="宋体"/>
                <w:szCs w:val="21"/>
              </w:rPr>
            </w:pPr>
          </w:p>
        </w:tc>
      </w:tr>
      <w:tr w14:paraId="083FE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818" w:type="dxa"/>
            <w:tcBorders>
              <w:top w:val="single" w:color="auto" w:sz="6" w:space="0"/>
              <w:left w:val="single" w:color="auto" w:sz="12" w:space="0"/>
              <w:right w:val="single" w:color="auto" w:sz="6" w:space="0"/>
            </w:tcBorders>
            <w:vAlign w:val="center"/>
          </w:tcPr>
          <w:p w14:paraId="540918DD">
            <w:pPr>
              <w:spacing w:line="360" w:lineRule="auto"/>
              <w:ind w:left="69"/>
              <w:jc w:val="center"/>
              <w:rPr>
                <w:rFonts w:cs="宋体"/>
                <w:szCs w:val="21"/>
              </w:rPr>
            </w:pPr>
            <w:r>
              <w:rPr>
                <w:rFonts w:hint="eastAsia" w:cs="宋体"/>
                <w:szCs w:val="21"/>
              </w:rPr>
              <w:t>1</w:t>
            </w:r>
          </w:p>
        </w:tc>
        <w:tc>
          <w:tcPr>
            <w:tcW w:w="1399" w:type="dxa"/>
            <w:vMerge w:val="restart"/>
            <w:tcBorders>
              <w:left w:val="nil"/>
              <w:right w:val="single" w:color="auto" w:sz="4" w:space="0"/>
            </w:tcBorders>
            <w:vAlign w:val="center"/>
          </w:tcPr>
          <w:p w14:paraId="7C0BC16E">
            <w:pPr>
              <w:snapToGrid w:val="0"/>
              <w:spacing w:line="360" w:lineRule="auto"/>
              <w:ind w:left="69"/>
              <w:rPr>
                <w:rFonts w:cs="宋体"/>
                <w:szCs w:val="21"/>
              </w:rPr>
            </w:pPr>
            <w:r>
              <w:rPr>
                <w:rFonts w:hint="eastAsia" w:cs="宋体"/>
                <w:szCs w:val="21"/>
              </w:rPr>
              <w:t>关键性条款要求（带“★”条款）</w:t>
            </w:r>
          </w:p>
        </w:tc>
        <w:tc>
          <w:tcPr>
            <w:tcW w:w="5666" w:type="dxa"/>
            <w:tcBorders>
              <w:top w:val="single" w:color="auto" w:sz="6" w:space="0"/>
              <w:left w:val="single" w:color="auto" w:sz="4" w:space="0"/>
              <w:bottom w:val="single" w:color="auto" w:sz="4" w:space="0"/>
              <w:right w:val="single" w:color="auto" w:sz="6" w:space="0"/>
            </w:tcBorders>
            <w:vAlign w:val="center"/>
          </w:tcPr>
          <w:p w14:paraId="6A088F6C">
            <w:pPr>
              <w:snapToGrid w:val="0"/>
              <w:spacing w:line="360" w:lineRule="auto"/>
              <w:rPr>
                <w:sz w:val="24"/>
              </w:rPr>
            </w:pPr>
            <w:r>
              <w:rPr>
                <w:rFonts w:hint="eastAsia"/>
              </w:rPr>
              <w:t>★质保期：以合同【下料管理系统】验</w:t>
            </w:r>
            <w:r>
              <w:rPr>
                <w:rFonts w:hint="eastAsia"/>
                <w:b/>
              </w:rPr>
              <w:t>收合格之日起</w:t>
            </w:r>
            <w:r>
              <w:rPr>
                <w:rFonts w:hint="eastAsia"/>
              </w:rPr>
              <w:t>整系统质保</w:t>
            </w:r>
            <w:r>
              <w:rPr>
                <w:rFonts w:hint="eastAsia"/>
                <w:u w:val="single"/>
              </w:rPr>
              <w:t xml:space="preserve">  </w:t>
            </w:r>
            <w:r>
              <w:rPr>
                <w:rFonts w:hint="eastAsia"/>
              </w:rPr>
              <w:t>年，</w:t>
            </w:r>
          </w:p>
        </w:tc>
        <w:tc>
          <w:tcPr>
            <w:tcW w:w="1177" w:type="dxa"/>
            <w:tcBorders>
              <w:top w:val="single" w:color="auto" w:sz="6" w:space="0"/>
              <w:left w:val="nil"/>
              <w:bottom w:val="single" w:color="auto" w:sz="4" w:space="0"/>
              <w:right w:val="single" w:color="auto" w:sz="12" w:space="0"/>
            </w:tcBorders>
            <w:vAlign w:val="center"/>
          </w:tcPr>
          <w:p w14:paraId="657302D1">
            <w:pPr>
              <w:snapToGrid w:val="0"/>
              <w:spacing w:line="360" w:lineRule="auto"/>
              <w:ind w:left="69"/>
              <w:jc w:val="center"/>
              <w:rPr>
                <w:rFonts w:cs="宋体"/>
                <w:szCs w:val="21"/>
              </w:rPr>
            </w:pPr>
          </w:p>
        </w:tc>
      </w:tr>
      <w:tr w14:paraId="600A8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818" w:type="dxa"/>
            <w:tcBorders>
              <w:left w:val="single" w:color="auto" w:sz="12" w:space="0"/>
              <w:bottom w:val="single" w:color="auto" w:sz="6" w:space="0"/>
              <w:right w:val="single" w:color="auto" w:sz="6" w:space="0"/>
            </w:tcBorders>
            <w:vAlign w:val="center"/>
          </w:tcPr>
          <w:p w14:paraId="1724B8F4">
            <w:pPr>
              <w:spacing w:line="360" w:lineRule="auto"/>
              <w:ind w:left="69"/>
              <w:jc w:val="center"/>
              <w:rPr>
                <w:rFonts w:cs="宋体"/>
                <w:szCs w:val="21"/>
              </w:rPr>
            </w:pPr>
            <w:r>
              <w:rPr>
                <w:rFonts w:hint="eastAsia" w:cs="宋体"/>
                <w:szCs w:val="21"/>
              </w:rPr>
              <w:t>2</w:t>
            </w:r>
          </w:p>
        </w:tc>
        <w:tc>
          <w:tcPr>
            <w:tcW w:w="1399" w:type="dxa"/>
            <w:vMerge w:val="continue"/>
            <w:tcBorders>
              <w:left w:val="nil"/>
              <w:right w:val="single" w:color="auto" w:sz="4" w:space="0"/>
            </w:tcBorders>
            <w:vAlign w:val="center"/>
          </w:tcPr>
          <w:p w14:paraId="76D83238">
            <w:pPr>
              <w:snapToGrid w:val="0"/>
              <w:spacing w:line="360" w:lineRule="auto"/>
              <w:ind w:left="69"/>
              <w:rPr>
                <w:rFonts w:cs="宋体"/>
                <w:szCs w:val="21"/>
              </w:rPr>
            </w:pPr>
          </w:p>
        </w:tc>
        <w:tc>
          <w:tcPr>
            <w:tcW w:w="5666" w:type="dxa"/>
            <w:tcBorders>
              <w:top w:val="single" w:color="auto" w:sz="4" w:space="0"/>
              <w:left w:val="single" w:color="auto" w:sz="4" w:space="0"/>
              <w:bottom w:val="single" w:color="auto" w:sz="6" w:space="0"/>
              <w:right w:val="single" w:color="auto" w:sz="6" w:space="0"/>
            </w:tcBorders>
            <w:vAlign w:val="center"/>
          </w:tcPr>
          <w:p w14:paraId="5F0B766B">
            <w:pPr>
              <w:snapToGrid w:val="0"/>
              <w:spacing w:line="360" w:lineRule="auto"/>
            </w:pPr>
            <w:r>
              <w:rPr>
                <w:rFonts w:hint="eastAsia" w:cs="宋体"/>
                <w:szCs w:val="21"/>
              </w:rPr>
              <w:t>★供应范围：本次招标为交钥匙工程，系统所需要的所有模块、服务等均须按招标文件技术要求由投标方负责全部提供。</w:t>
            </w:r>
          </w:p>
        </w:tc>
        <w:tc>
          <w:tcPr>
            <w:tcW w:w="1177" w:type="dxa"/>
            <w:tcBorders>
              <w:top w:val="single" w:color="auto" w:sz="4" w:space="0"/>
              <w:left w:val="nil"/>
              <w:bottom w:val="single" w:color="auto" w:sz="6" w:space="0"/>
              <w:right w:val="single" w:color="auto" w:sz="12" w:space="0"/>
            </w:tcBorders>
            <w:vAlign w:val="center"/>
          </w:tcPr>
          <w:p w14:paraId="55CACC40">
            <w:pPr>
              <w:snapToGrid w:val="0"/>
              <w:spacing w:line="360" w:lineRule="auto"/>
              <w:ind w:left="69"/>
              <w:jc w:val="center"/>
              <w:rPr>
                <w:rFonts w:cs="宋体"/>
                <w:szCs w:val="21"/>
              </w:rPr>
            </w:pPr>
          </w:p>
        </w:tc>
      </w:tr>
      <w:tr w14:paraId="2FCD6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818" w:type="dxa"/>
            <w:tcBorders>
              <w:top w:val="single" w:color="auto" w:sz="6" w:space="0"/>
              <w:left w:val="single" w:color="auto" w:sz="12" w:space="0"/>
              <w:bottom w:val="single" w:color="auto" w:sz="6" w:space="0"/>
              <w:right w:val="single" w:color="auto" w:sz="6" w:space="0"/>
            </w:tcBorders>
            <w:vAlign w:val="center"/>
          </w:tcPr>
          <w:p w14:paraId="1D782C92">
            <w:pPr>
              <w:spacing w:line="360" w:lineRule="auto"/>
              <w:ind w:left="69"/>
              <w:jc w:val="center"/>
              <w:rPr>
                <w:rFonts w:hint="eastAsia" w:eastAsia="宋体" w:cs="宋体"/>
                <w:szCs w:val="21"/>
                <w:lang w:eastAsia="zh-CN"/>
              </w:rPr>
            </w:pPr>
            <w:r>
              <w:rPr>
                <w:rFonts w:hint="eastAsia" w:cs="宋体"/>
                <w:szCs w:val="21"/>
                <w:lang w:val="en-US" w:eastAsia="zh-CN"/>
              </w:rPr>
              <w:t>3</w:t>
            </w:r>
          </w:p>
        </w:tc>
        <w:tc>
          <w:tcPr>
            <w:tcW w:w="1399" w:type="dxa"/>
            <w:vMerge w:val="continue"/>
            <w:tcBorders>
              <w:left w:val="nil"/>
              <w:right w:val="single" w:color="auto" w:sz="4" w:space="0"/>
            </w:tcBorders>
            <w:vAlign w:val="center"/>
          </w:tcPr>
          <w:p w14:paraId="2652A3B3">
            <w:pPr>
              <w:snapToGrid w:val="0"/>
              <w:spacing w:line="360" w:lineRule="auto"/>
              <w:ind w:left="69"/>
              <w:rPr>
                <w:rFonts w:cs="宋体"/>
                <w:szCs w:val="21"/>
              </w:rPr>
            </w:pPr>
          </w:p>
        </w:tc>
        <w:tc>
          <w:tcPr>
            <w:tcW w:w="5666" w:type="dxa"/>
            <w:tcBorders>
              <w:top w:val="single" w:color="auto" w:sz="6" w:space="0"/>
              <w:left w:val="single" w:color="auto" w:sz="4" w:space="0"/>
              <w:bottom w:val="single" w:color="auto" w:sz="6" w:space="0"/>
              <w:right w:val="single" w:color="auto" w:sz="6" w:space="0"/>
            </w:tcBorders>
            <w:vAlign w:val="center"/>
          </w:tcPr>
          <w:p w14:paraId="4B5EC884">
            <w:pPr>
              <w:adjustRightInd w:val="0"/>
              <w:snapToGrid w:val="0"/>
              <w:spacing w:line="360" w:lineRule="auto"/>
              <w:rPr>
                <w:szCs w:val="21"/>
              </w:rPr>
            </w:pPr>
            <w:r>
              <w:rPr>
                <w:rFonts w:hint="eastAsia" w:cs="宋体"/>
                <w:szCs w:val="21"/>
              </w:rPr>
              <w:t>★付款方式（详见“第四章招标内容及要求”中“五、付款方式”中的要求）</w:t>
            </w:r>
          </w:p>
        </w:tc>
        <w:tc>
          <w:tcPr>
            <w:tcW w:w="1177" w:type="dxa"/>
            <w:tcBorders>
              <w:top w:val="single" w:color="auto" w:sz="6" w:space="0"/>
              <w:left w:val="nil"/>
              <w:bottom w:val="single" w:color="auto" w:sz="6" w:space="0"/>
              <w:right w:val="single" w:color="auto" w:sz="12" w:space="0"/>
            </w:tcBorders>
            <w:vAlign w:val="center"/>
          </w:tcPr>
          <w:p w14:paraId="0E3F5C87">
            <w:pPr>
              <w:spacing w:line="360" w:lineRule="auto"/>
              <w:ind w:left="69"/>
              <w:jc w:val="center"/>
              <w:rPr>
                <w:rFonts w:cs="宋体"/>
                <w:szCs w:val="21"/>
              </w:rPr>
            </w:pPr>
          </w:p>
        </w:tc>
      </w:tr>
      <w:tr w14:paraId="253DA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818" w:type="dxa"/>
            <w:tcBorders>
              <w:top w:val="single" w:color="auto" w:sz="6" w:space="0"/>
              <w:left w:val="single" w:color="auto" w:sz="12" w:space="0"/>
              <w:bottom w:val="single" w:color="auto" w:sz="6" w:space="0"/>
              <w:right w:val="single" w:color="auto" w:sz="6" w:space="0"/>
            </w:tcBorders>
            <w:vAlign w:val="center"/>
          </w:tcPr>
          <w:p w14:paraId="7538C4EC">
            <w:pPr>
              <w:spacing w:line="360" w:lineRule="auto"/>
              <w:ind w:left="69"/>
              <w:jc w:val="center"/>
              <w:rPr>
                <w:rFonts w:hint="eastAsia" w:eastAsia="宋体" w:cs="宋体"/>
                <w:szCs w:val="21"/>
                <w:lang w:eastAsia="zh-CN"/>
              </w:rPr>
            </w:pPr>
            <w:r>
              <w:rPr>
                <w:rFonts w:hint="eastAsia" w:cs="宋体"/>
                <w:szCs w:val="21"/>
                <w:lang w:val="en-US" w:eastAsia="zh-CN"/>
              </w:rPr>
              <w:t>4</w:t>
            </w:r>
          </w:p>
        </w:tc>
        <w:tc>
          <w:tcPr>
            <w:tcW w:w="1399" w:type="dxa"/>
            <w:tcBorders>
              <w:left w:val="nil"/>
              <w:right w:val="single" w:color="auto" w:sz="4" w:space="0"/>
            </w:tcBorders>
            <w:vAlign w:val="center"/>
          </w:tcPr>
          <w:p w14:paraId="1DE79742">
            <w:pPr>
              <w:adjustRightInd w:val="0"/>
              <w:snapToGrid w:val="0"/>
              <w:spacing w:line="360" w:lineRule="auto"/>
              <w:rPr>
                <w:rFonts w:cs="仿宋"/>
                <w:szCs w:val="21"/>
              </w:rPr>
            </w:pPr>
            <w:r>
              <w:rPr>
                <w:rFonts w:hint="eastAsia" w:cs="仿宋"/>
                <w:szCs w:val="21"/>
              </w:rPr>
              <w:t>其它实质性要求条款</w:t>
            </w:r>
          </w:p>
        </w:tc>
        <w:tc>
          <w:tcPr>
            <w:tcW w:w="5666" w:type="dxa"/>
            <w:tcBorders>
              <w:top w:val="single" w:color="auto" w:sz="6" w:space="0"/>
              <w:left w:val="single" w:color="auto" w:sz="4" w:space="0"/>
              <w:bottom w:val="single" w:color="auto" w:sz="6" w:space="0"/>
              <w:right w:val="single" w:color="auto" w:sz="6" w:space="0"/>
            </w:tcBorders>
            <w:vAlign w:val="center"/>
          </w:tcPr>
          <w:p w14:paraId="58A28CD3">
            <w:pPr>
              <w:adjustRightInd w:val="0"/>
              <w:snapToGrid w:val="0"/>
              <w:spacing w:line="360" w:lineRule="auto"/>
              <w:rPr>
                <w:rFonts w:cs="仿宋"/>
                <w:szCs w:val="21"/>
              </w:rPr>
            </w:pPr>
            <w:r>
              <w:rPr>
                <w:rFonts w:hint="eastAsia" w:cs="仿宋"/>
                <w:szCs w:val="21"/>
              </w:rPr>
              <w:t>招标文件要求的其他实质性要求</w:t>
            </w:r>
          </w:p>
        </w:tc>
        <w:tc>
          <w:tcPr>
            <w:tcW w:w="1177" w:type="dxa"/>
            <w:tcBorders>
              <w:top w:val="single" w:color="auto" w:sz="6" w:space="0"/>
              <w:left w:val="nil"/>
              <w:bottom w:val="single" w:color="auto" w:sz="6" w:space="0"/>
              <w:right w:val="single" w:color="auto" w:sz="12" w:space="0"/>
            </w:tcBorders>
            <w:vAlign w:val="center"/>
          </w:tcPr>
          <w:p w14:paraId="6F01704A">
            <w:pPr>
              <w:spacing w:line="360" w:lineRule="auto"/>
              <w:ind w:left="69"/>
              <w:jc w:val="center"/>
              <w:rPr>
                <w:rFonts w:cs="宋体"/>
                <w:szCs w:val="21"/>
              </w:rPr>
            </w:pPr>
          </w:p>
        </w:tc>
      </w:tr>
      <w:tr w14:paraId="71878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7883" w:type="dxa"/>
            <w:gridSpan w:val="3"/>
            <w:tcBorders>
              <w:top w:val="single" w:color="auto" w:sz="6" w:space="0"/>
              <w:left w:val="single" w:color="auto" w:sz="12" w:space="0"/>
              <w:bottom w:val="single" w:color="auto" w:sz="12" w:space="0"/>
              <w:right w:val="single" w:color="auto" w:sz="6" w:space="0"/>
            </w:tcBorders>
            <w:vAlign w:val="center"/>
          </w:tcPr>
          <w:p w14:paraId="494E5F50">
            <w:pPr>
              <w:snapToGrid w:val="0"/>
              <w:spacing w:line="360" w:lineRule="auto"/>
              <w:ind w:left="69"/>
              <w:jc w:val="center"/>
              <w:rPr>
                <w:rFonts w:cs="宋体"/>
                <w:szCs w:val="21"/>
              </w:rPr>
            </w:pPr>
            <w:r>
              <w:rPr>
                <w:rFonts w:hint="eastAsia" w:cs="宋体"/>
                <w:szCs w:val="21"/>
              </w:rPr>
              <w:t>评审结果</w:t>
            </w:r>
          </w:p>
        </w:tc>
        <w:tc>
          <w:tcPr>
            <w:tcW w:w="1177" w:type="dxa"/>
            <w:tcBorders>
              <w:top w:val="single" w:color="auto" w:sz="6" w:space="0"/>
              <w:left w:val="nil"/>
              <w:bottom w:val="single" w:color="auto" w:sz="12" w:space="0"/>
              <w:right w:val="single" w:color="auto" w:sz="12" w:space="0"/>
            </w:tcBorders>
            <w:vAlign w:val="center"/>
          </w:tcPr>
          <w:p w14:paraId="5EAB6D28">
            <w:pPr>
              <w:spacing w:line="360" w:lineRule="auto"/>
              <w:ind w:left="69"/>
              <w:jc w:val="center"/>
              <w:rPr>
                <w:rFonts w:cs="宋体"/>
                <w:szCs w:val="21"/>
              </w:rPr>
            </w:pPr>
          </w:p>
        </w:tc>
      </w:tr>
    </w:tbl>
    <w:p w14:paraId="76C6FC24">
      <w:pPr>
        <w:spacing w:line="360" w:lineRule="auto"/>
        <w:rPr>
          <w:rFonts w:cs="宋体"/>
          <w:szCs w:val="21"/>
        </w:rPr>
      </w:pPr>
      <w:r>
        <w:rPr>
          <w:rFonts w:hint="eastAsia" w:cs="宋体"/>
        </w:rPr>
        <w:t>说明：</w:t>
      </w:r>
    </w:p>
    <w:p w14:paraId="4AC3F95F">
      <w:pPr>
        <w:spacing w:line="360" w:lineRule="auto"/>
        <w:rPr>
          <w:rFonts w:cs="宋体"/>
        </w:rPr>
      </w:pPr>
      <w:r>
        <w:rPr>
          <w:rFonts w:hint="eastAsia" w:cs="宋体"/>
        </w:rPr>
        <w:t>评定结果为“合格”或“不合格”，通过符合性评审的主要条件则评定结果为“合格”，不满足通过符合性评审的主要条件则评定结果为“不合格”。审查内容一项不通过则评审结果为“不合格”。</w:t>
      </w:r>
    </w:p>
    <w:p w14:paraId="5B429AEF">
      <w:pPr>
        <w:spacing w:line="360" w:lineRule="auto"/>
        <w:ind w:left="31" w:leftChars="15"/>
        <w:jc w:val="left"/>
        <w:outlineLvl w:val="1"/>
        <w:rPr>
          <w:rFonts w:cs="宋体"/>
          <w:b/>
          <w:bCs/>
          <w:sz w:val="28"/>
          <w:szCs w:val="28"/>
        </w:rPr>
      </w:pPr>
      <w:r>
        <w:rPr>
          <w:rFonts w:hint="eastAsia" w:cs="宋体"/>
        </w:rPr>
        <w:br w:type="page"/>
      </w:r>
      <w:bookmarkStart w:id="182" w:name="_Toc19649"/>
      <w:bookmarkStart w:id="183" w:name="_Toc23749"/>
      <w:bookmarkStart w:id="184" w:name="_Toc148459142"/>
      <w:bookmarkStart w:id="185" w:name="_Toc7584"/>
      <w:r>
        <w:rPr>
          <w:rFonts w:hint="eastAsia" w:cs="宋体"/>
          <w:b/>
          <w:bCs/>
          <w:sz w:val="28"/>
          <w:szCs w:val="28"/>
        </w:rPr>
        <w:t>附表3：技术商务因素及价格因素评分表</w:t>
      </w:r>
      <w:bookmarkEnd w:id="182"/>
      <w:bookmarkEnd w:id="183"/>
      <w:bookmarkEnd w:id="184"/>
      <w:bookmarkEnd w:id="185"/>
    </w:p>
    <w:tbl>
      <w:tblPr>
        <w:tblStyle w:val="28"/>
        <w:tblW w:w="8970"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365"/>
        <w:gridCol w:w="867"/>
      </w:tblGrid>
      <w:tr w14:paraId="7151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970" w:type="dxa"/>
            <w:gridSpan w:val="3"/>
            <w:vAlign w:val="center"/>
          </w:tcPr>
          <w:p w14:paraId="253EB278">
            <w:pPr>
              <w:spacing w:line="360" w:lineRule="auto"/>
              <w:jc w:val="center"/>
              <w:rPr>
                <w:b/>
                <w:sz w:val="24"/>
                <w:szCs w:val="24"/>
              </w:rPr>
            </w:pPr>
            <w:r>
              <w:rPr>
                <w:rFonts w:hint="eastAsia" w:cs="Arial"/>
                <w:b/>
                <w:sz w:val="24"/>
                <w:szCs w:val="24"/>
              </w:rPr>
              <w:t>1、技术因素分F1（满分60分）</w:t>
            </w:r>
          </w:p>
        </w:tc>
      </w:tr>
      <w:tr w14:paraId="4529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38" w:type="dxa"/>
            <w:vMerge w:val="restart"/>
            <w:vAlign w:val="center"/>
          </w:tcPr>
          <w:p w14:paraId="5C876E88">
            <w:pPr>
              <w:autoSpaceDE w:val="0"/>
              <w:autoSpaceDN w:val="0"/>
              <w:spacing w:line="360" w:lineRule="auto"/>
              <w:ind w:left="-111" w:leftChars="-139" w:right="-199" w:rightChars="-95" w:hanging="181" w:hangingChars="75"/>
              <w:jc w:val="center"/>
              <w:rPr>
                <w:rFonts w:cs="Arial"/>
                <w:b/>
                <w:kern w:val="10"/>
                <w:sz w:val="24"/>
                <w:szCs w:val="24"/>
              </w:rPr>
            </w:pPr>
            <w:r>
              <w:rPr>
                <w:rFonts w:hint="eastAsia" w:cs="Arial"/>
                <w:b/>
                <w:kern w:val="10"/>
                <w:sz w:val="24"/>
                <w:szCs w:val="24"/>
              </w:rPr>
              <w:t xml:space="preserve"> 序号</w:t>
            </w:r>
          </w:p>
        </w:tc>
        <w:tc>
          <w:tcPr>
            <w:tcW w:w="7365" w:type="dxa"/>
            <w:vMerge w:val="restart"/>
            <w:vAlign w:val="center"/>
          </w:tcPr>
          <w:p w14:paraId="52A845ED">
            <w:pPr>
              <w:autoSpaceDE w:val="0"/>
              <w:autoSpaceDN w:val="0"/>
              <w:spacing w:line="360" w:lineRule="auto"/>
              <w:jc w:val="center"/>
              <w:rPr>
                <w:rFonts w:cs="Arial"/>
                <w:b/>
                <w:sz w:val="24"/>
                <w:szCs w:val="24"/>
              </w:rPr>
            </w:pPr>
            <w:r>
              <w:rPr>
                <w:rFonts w:hint="eastAsia" w:cs="Arial"/>
                <w:b/>
                <w:sz w:val="24"/>
                <w:szCs w:val="24"/>
              </w:rPr>
              <w:t>评分界定</w:t>
            </w:r>
          </w:p>
        </w:tc>
        <w:tc>
          <w:tcPr>
            <w:tcW w:w="867" w:type="dxa"/>
            <w:vMerge w:val="restart"/>
            <w:vAlign w:val="center"/>
          </w:tcPr>
          <w:p w14:paraId="1C8F6BDE">
            <w:pPr>
              <w:spacing w:line="360" w:lineRule="auto"/>
              <w:jc w:val="center"/>
              <w:rPr>
                <w:b/>
              </w:rPr>
            </w:pPr>
            <w:r>
              <w:rPr>
                <w:rFonts w:hint="eastAsia"/>
                <w:b/>
                <w:sz w:val="24"/>
                <w:szCs w:val="24"/>
              </w:rPr>
              <w:t>满分</w:t>
            </w:r>
          </w:p>
        </w:tc>
      </w:tr>
      <w:tr w14:paraId="6260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38" w:type="dxa"/>
            <w:vMerge w:val="continue"/>
            <w:vAlign w:val="center"/>
          </w:tcPr>
          <w:p w14:paraId="7322E1CB">
            <w:pPr>
              <w:autoSpaceDE w:val="0"/>
              <w:autoSpaceDN w:val="0"/>
              <w:spacing w:line="360" w:lineRule="auto"/>
              <w:ind w:left="-112" w:leftChars="-139" w:right="-199" w:rightChars="-95" w:hanging="180" w:hangingChars="75"/>
              <w:jc w:val="center"/>
              <w:rPr>
                <w:rFonts w:cs="Arial"/>
                <w:bCs/>
                <w:kern w:val="10"/>
                <w:sz w:val="24"/>
                <w:szCs w:val="24"/>
              </w:rPr>
            </w:pPr>
          </w:p>
        </w:tc>
        <w:tc>
          <w:tcPr>
            <w:tcW w:w="7365" w:type="dxa"/>
            <w:vMerge w:val="continue"/>
            <w:vAlign w:val="center"/>
          </w:tcPr>
          <w:p w14:paraId="1C3D0DFA">
            <w:pPr>
              <w:autoSpaceDE w:val="0"/>
              <w:autoSpaceDN w:val="0"/>
              <w:spacing w:line="360" w:lineRule="auto"/>
              <w:jc w:val="center"/>
              <w:rPr>
                <w:rFonts w:cs="Arial"/>
                <w:bCs/>
                <w:sz w:val="24"/>
                <w:szCs w:val="24"/>
              </w:rPr>
            </w:pPr>
          </w:p>
        </w:tc>
        <w:tc>
          <w:tcPr>
            <w:tcW w:w="867" w:type="dxa"/>
            <w:vMerge w:val="continue"/>
            <w:vAlign w:val="center"/>
          </w:tcPr>
          <w:p w14:paraId="6D4DF294">
            <w:pPr>
              <w:autoSpaceDE w:val="0"/>
              <w:autoSpaceDN w:val="0"/>
              <w:spacing w:line="360" w:lineRule="auto"/>
              <w:jc w:val="center"/>
              <w:rPr>
                <w:rFonts w:cs="Arial"/>
                <w:bCs/>
                <w:sz w:val="24"/>
                <w:szCs w:val="24"/>
              </w:rPr>
            </w:pPr>
          </w:p>
        </w:tc>
      </w:tr>
      <w:tr w14:paraId="571B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38" w:type="dxa"/>
            <w:vAlign w:val="center"/>
          </w:tcPr>
          <w:p w14:paraId="1A9B8165">
            <w:pPr>
              <w:spacing w:line="360" w:lineRule="auto"/>
              <w:jc w:val="center"/>
              <w:rPr>
                <w:rFonts w:cs="Arial"/>
                <w:kern w:val="10"/>
                <w:sz w:val="24"/>
                <w:szCs w:val="24"/>
              </w:rPr>
            </w:pPr>
            <w:r>
              <w:rPr>
                <w:rFonts w:hint="eastAsia" w:cs="Arial"/>
                <w:kern w:val="10"/>
                <w:sz w:val="24"/>
                <w:szCs w:val="24"/>
              </w:rPr>
              <w:t>1-1业务功能匹配度</w:t>
            </w:r>
          </w:p>
        </w:tc>
        <w:tc>
          <w:tcPr>
            <w:tcW w:w="7365" w:type="dxa"/>
            <w:vAlign w:val="center"/>
          </w:tcPr>
          <w:p w14:paraId="5ABFB530">
            <w:pPr>
              <w:numPr>
                <w:ilvl w:val="255"/>
                <w:numId w:val="0"/>
              </w:numPr>
              <w:adjustRightInd w:val="0"/>
              <w:snapToGrid w:val="0"/>
              <w:spacing w:line="360" w:lineRule="auto"/>
              <w:rPr>
                <w:rFonts w:cs="仿宋"/>
                <w:sz w:val="24"/>
                <w:szCs w:val="24"/>
              </w:rPr>
            </w:pPr>
            <w:r>
              <w:rPr>
                <w:rFonts w:hint="eastAsia" w:cs="仿宋"/>
                <w:sz w:val="24"/>
                <w:szCs w:val="24"/>
              </w:rPr>
              <w:t>（1）根据图纸管理的功能方案评分，优3-4分，良1-2分，差0-1分；</w:t>
            </w:r>
          </w:p>
          <w:p w14:paraId="0796E6CE">
            <w:pPr>
              <w:numPr>
                <w:ilvl w:val="255"/>
                <w:numId w:val="0"/>
              </w:numPr>
              <w:adjustRightInd w:val="0"/>
              <w:snapToGrid w:val="0"/>
              <w:spacing w:line="360" w:lineRule="auto"/>
              <w:rPr>
                <w:rFonts w:cs="仿宋"/>
                <w:sz w:val="24"/>
                <w:szCs w:val="24"/>
              </w:rPr>
            </w:pPr>
            <w:r>
              <w:rPr>
                <w:rFonts w:hint="eastAsia" w:cs="仿宋"/>
                <w:sz w:val="24"/>
                <w:szCs w:val="24"/>
              </w:rPr>
              <w:t>（2）根据库存管理的功能评分，优2-3分，良1-2分，差0-1分；</w:t>
            </w:r>
          </w:p>
          <w:p w14:paraId="5EA11C95">
            <w:pPr>
              <w:numPr>
                <w:ilvl w:val="255"/>
                <w:numId w:val="0"/>
              </w:numPr>
              <w:adjustRightInd w:val="0"/>
              <w:snapToGrid w:val="0"/>
              <w:spacing w:line="360" w:lineRule="auto"/>
              <w:rPr>
                <w:rFonts w:hint="eastAsia" w:cs="仿宋"/>
                <w:sz w:val="24"/>
                <w:szCs w:val="24"/>
              </w:rPr>
            </w:pPr>
            <w:r>
              <w:rPr>
                <w:rFonts w:hint="eastAsia" w:cs="仿宋"/>
                <w:sz w:val="24"/>
                <w:szCs w:val="24"/>
              </w:rPr>
              <w:t>（3）根据智能排产的功能评分，优4-6分，良2-3分，差0-1分；</w:t>
            </w:r>
          </w:p>
          <w:p w14:paraId="432123AF">
            <w:pPr>
              <w:numPr>
                <w:ilvl w:val="255"/>
                <w:numId w:val="0"/>
              </w:numPr>
              <w:adjustRightInd w:val="0"/>
              <w:snapToGrid w:val="0"/>
              <w:spacing w:line="360" w:lineRule="auto"/>
              <w:rPr>
                <w:rFonts w:hint="eastAsia" w:eastAsia="宋体" w:cs="仿宋"/>
                <w:sz w:val="24"/>
                <w:szCs w:val="24"/>
                <w:lang w:eastAsia="zh-CN"/>
              </w:rPr>
            </w:pPr>
            <w:r>
              <w:rPr>
                <w:rFonts w:hint="eastAsia" w:cs="仿宋"/>
                <w:sz w:val="24"/>
                <w:szCs w:val="24"/>
                <w:lang w:eastAsia="zh-CN"/>
              </w:rPr>
              <w:t>（</w:t>
            </w:r>
            <w:r>
              <w:rPr>
                <w:rFonts w:hint="eastAsia" w:cs="仿宋"/>
                <w:sz w:val="24"/>
                <w:szCs w:val="24"/>
                <w:lang w:val="en-US" w:eastAsia="zh-CN"/>
              </w:rPr>
              <w:t>典型零件下料利用率提升不低于2.5%作为本项评分关键指标</w:t>
            </w:r>
            <w:r>
              <w:rPr>
                <w:rFonts w:hint="eastAsia" w:cs="仿宋"/>
                <w:sz w:val="24"/>
                <w:szCs w:val="24"/>
                <w:lang w:eastAsia="zh-CN"/>
              </w:rPr>
              <w:t>）</w:t>
            </w:r>
          </w:p>
          <w:p w14:paraId="6962C8EA">
            <w:pPr>
              <w:numPr>
                <w:ilvl w:val="255"/>
                <w:numId w:val="0"/>
              </w:numPr>
              <w:adjustRightInd w:val="0"/>
              <w:snapToGrid w:val="0"/>
              <w:spacing w:line="360" w:lineRule="auto"/>
              <w:rPr>
                <w:rFonts w:cs="仿宋"/>
                <w:sz w:val="24"/>
                <w:szCs w:val="24"/>
              </w:rPr>
            </w:pPr>
            <w:r>
              <w:rPr>
                <w:rFonts w:hint="eastAsia" w:cs="仿宋"/>
                <w:sz w:val="24"/>
                <w:szCs w:val="24"/>
              </w:rPr>
              <w:t>（4）根据车间管理的功能评分，优4-5分，良2-3分，差0-1分；</w:t>
            </w:r>
          </w:p>
          <w:p w14:paraId="0DC298C5">
            <w:pPr>
              <w:numPr>
                <w:ilvl w:val="255"/>
                <w:numId w:val="0"/>
              </w:numPr>
              <w:adjustRightInd w:val="0"/>
              <w:snapToGrid w:val="0"/>
              <w:spacing w:line="360" w:lineRule="auto"/>
              <w:rPr>
                <w:rFonts w:cs="仿宋"/>
                <w:sz w:val="24"/>
                <w:szCs w:val="24"/>
              </w:rPr>
            </w:pPr>
            <w:r>
              <w:rPr>
                <w:rFonts w:hint="eastAsia" w:cs="仿宋"/>
                <w:sz w:val="24"/>
                <w:szCs w:val="24"/>
              </w:rPr>
              <w:t>（5）根据生产过程追踪的功能评分，优3-4分，良2-3分，差0-1分；</w:t>
            </w:r>
          </w:p>
          <w:p w14:paraId="7D6B7649">
            <w:pPr>
              <w:numPr>
                <w:ilvl w:val="255"/>
                <w:numId w:val="0"/>
              </w:numPr>
              <w:adjustRightInd w:val="0"/>
              <w:snapToGrid w:val="0"/>
              <w:spacing w:line="360" w:lineRule="auto"/>
              <w:rPr>
                <w:rFonts w:cs="宋体"/>
                <w:sz w:val="24"/>
                <w:szCs w:val="24"/>
              </w:rPr>
            </w:pPr>
            <w:r>
              <w:rPr>
                <w:rFonts w:hint="eastAsia" w:cs="仿宋"/>
                <w:sz w:val="24"/>
                <w:szCs w:val="24"/>
              </w:rPr>
              <w:t>（6）根据统计分析的功能评分，优2-3分，良1-2分，差0-1分；</w:t>
            </w:r>
          </w:p>
        </w:tc>
        <w:tc>
          <w:tcPr>
            <w:tcW w:w="867" w:type="dxa"/>
            <w:vAlign w:val="center"/>
          </w:tcPr>
          <w:p w14:paraId="1EA5BB9E">
            <w:pPr>
              <w:spacing w:line="360" w:lineRule="auto"/>
              <w:jc w:val="center"/>
              <w:rPr>
                <w:rFonts w:cs="宋体"/>
                <w:sz w:val="24"/>
                <w:szCs w:val="24"/>
              </w:rPr>
            </w:pPr>
            <w:r>
              <w:rPr>
                <w:rFonts w:hint="eastAsia" w:cs="宋体"/>
                <w:sz w:val="24"/>
                <w:szCs w:val="24"/>
              </w:rPr>
              <w:t>25</w:t>
            </w:r>
          </w:p>
        </w:tc>
      </w:tr>
      <w:tr w14:paraId="4137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8" w:type="dxa"/>
            <w:vAlign w:val="center"/>
          </w:tcPr>
          <w:p w14:paraId="5085F702">
            <w:pPr>
              <w:spacing w:line="360" w:lineRule="auto"/>
              <w:jc w:val="center"/>
              <w:rPr>
                <w:rFonts w:hint="eastAsia" w:ascii="宋体" w:hAnsi="宋体" w:cs="宋体"/>
                <w:kern w:val="0"/>
                <w:sz w:val="24"/>
                <w:szCs w:val="24"/>
                <w:lang w:bidi="ar"/>
              </w:rPr>
            </w:pPr>
            <w:r>
              <w:rPr>
                <w:rFonts w:hint="eastAsia" w:ascii="宋体" w:hAnsi="宋体" w:cs="宋体"/>
                <w:kern w:val="0"/>
                <w:sz w:val="24"/>
                <w:szCs w:val="24"/>
                <w:lang w:bidi="ar"/>
              </w:rPr>
              <w:t>1-2技术架构先进性</w:t>
            </w:r>
          </w:p>
        </w:tc>
        <w:tc>
          <w:tcPr>
            <w:tcW w:w="7365" w:type="dxa"/>
            <w:vAlign w:val="center"/>
          </w:tcPr>
          <w:p w14:paraId="3E61E982">
            <w:pPr>
              <w:pStyle w:val="53"/>
              <w:numPr>
                <w:ilvl w:val="255"/>
                <w:numId w:val="0"/>
              </w:numPr>
              <w:spacing w:before="78" w:line="331" w:lineRule="auto"/>
              <w:ind w:right="40"/>
              <w:rPr>
                <w:rFonts w:hint="eastAsia"/>
                <w:sz w:val="24"/>
                <w:szCs w:val="24"/>
                <w:lang w:bidi="ar"/>
              </w:rPr>
            </w:pPr>
            <w:r>
              <w:rPr>
                <w:rFonts w:hint="eastAsia" w:cs="仿宋"/>
                <w:sz w:val="24"/>
                <w:szCs w:val="24"/>
              </w:rPr>
              <w:t>（1）根据平台与架构的先进性评分，优4-5分，良2-3分，差0-1分；</w:t>
            </w:r>
          </w:p>
          <w:p w14:paraId="4D47FBA3">
            <w:pPr>
              <w:pStyle w:val="53"/>
              <w:numPr>
                <w:ilvl w:val="255"/>
                <w:numId w:val="0"/>
              </w:numPr>
              <w:spacing w:before="78" w:line="331" w:lineRule="auto"/>
              <w:ind w:right="40"/>
              <w:rPr>
                <w:rFonts w:hint="eastAsia"/>
                <w:sz w:val="24"/>
                <w:szCs w:val="24"/>
                <w:lang w:bidi="ar"/>
              </w:rPr>
            </w:pPr>
            <w:r>
              <w:rPr>
                <w:rFonts w:hint="eastAsia" w:cs="仿宋"/>
                <w:sz w:val="24"/>
                <w:szCs w:val="24"/>
              </w:rPr>
              <w:t>（2）根据平台的自主可控性与成熟度评分，优3-5分，良2-3分，差0-1分；</w:t>
            </w:r>
          </w:p>
          <w:p w14:paraId="5D8D8D21">
            <w:pPr>
              <w:pStyle w:val="53"/>
              <w:spacing w:before="78" w:line="331" w:lineRule="auto"/>
              <w:ind w:right="40"/>
              <w:jc w:val="both"/>
              <w:rPr>
                <w:rFonts w:hint="eastAsia"/>
                <w:sz w:val="24"/>
                <w:szCs w:val="24"/>
                <w:lang w:bidi="ar"/>
              </w:rPr>
            </w:pPr>
            <w:r>
              <w:rPr>
                <w:rFonts w:hint="eastAsia" w:cs="仿宋"/>
                <w:sz w:val="24"/>
                <w:szCs w:val="24"/>
              </w:rPr>
              <w:t>（3）根据平台的系统集成性评分，优3-5分，良1-3分，差0-1分；</w:t>
            </w:r>
          </w:p>
        </w:tc>
        <w:tc>
          <w:tcPr>
            <w:tcW w:w="867" w:type="dxa"/>
            <w:vAlign w:val="center"/>
          </w:tcPr>
          <w:p w14:paraId="1A6C20EE">
            <w:pPr>
              <w:spacing w:line="360" w:lineRule="auto"/>
              <w:jc w:val="center"/>
              <w:rPr>
                <w:rFonts w:cs="宋体"/>
                <w:sz w:val="24"/>
                <w:szCs w:val="24"/>
              </w:rPr>
            </w:pPr>
            <w:r>
              <w:rPr>
                <w:rFonts w:hint="eastAsia" w:cs="宋体"/>
                <w:sz w:val="24"/>
                <w:szCs w:val="24"/>
              </w:rPr>
              <w:t>15</w:t>
            </w:r>
          </w:p>
        </w:tc>
      </w:tr>
      <w:tr w14:paraId="406D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8" w:type="dxa"/>
            <w:vAlign w:val="center"/>
          </w:tcPr>
          <w:p w14:paraId="1B85F854">
            <w:pPr>
              <w:spacing w:line="360" w:lineRule="auto"/>
              <w:jc w:val="center"/>
              <w:rPr>
                <w:rFonts w:cs="Arial"/>
                <w:kern w:val="10"/>
                <w:sz w:val="24"/>
                <w:szCs w:val="24"/>
              </w:rPr>
            </w:pPr>
            <w:r>
              <w:rPr>
                <w:rFonts w:hint="eastAsia" w:cs="Arial"/>
                <w:kern w:val="10"/>
                <w:sz w:val="24"/>
                <w:szCs w:val="24"/>
              </w:rPr>
              <w:t>1-3实施与服务能力</w:t>
            </w:r>
          </w:p>
        </w:tc>
        <w:tc>
          <w:tcPr>
            <w:tcW w:w="7365" w:type="dxa"/>
            <w:vAlign w:val="center"/>
          </w:tcPr>
          <w:p w14:paraId="7D946FC6">
            <w:pPr>
              <w:pStyle w:val="53"/>
              <w:numPr>
                <w:ilvl w:val="255"/>
                <w:numId w:val="0"/>
              </w:numPr>
              <w:spacing w:before="78" w:line="331" w:lineRule="auto"/>
              <w:ind w:right="40"/>
              <w:rPr>
                <w:rFonts w:hint="eastAsia"/>
                <w:sz w:val="24"/>
                <w:szCs w:val="24"/>
                <w:lang w:bidi="ar"/>
              </w:rPr>
            </w:pPr>
            <w:r>
              <w:rPr>
                <w:rFonts w:hint="eastAsia" w:cs="仿宋"/>
                <w:sz w:val="24"/>
                <w:szCs w:val="24"/>
              </w:rPr>
              <w:t>（1）根据项目的实施方案评分，优6-8分，良2-5分，差0-1分；</w:t>
            </w:r>
          </w:p>
          <w:p w14:paraId="42910726">
            <w:pPr>
              <w:pStyle w:val="53"/>
              <w:numPr>
                <w:ilvl w:val="255"/>
                <w:numId w:val="0"/>
              </w:numPr>
              <w:spacing w:before="78" w:line="331" w:lineRule="auto"/>
              <w:ind w:right="40"/>
              <w:rPr>
                <w:rFonts w:hint="eastAsia"/>
                <w:sz w:val="24"/>
                <w:szCs w:val="24"/>
                <w:lang w:bidi="ar"/>
              </w:rPr>
            </w:pPr>
            <w:r>
              <w:rPr>
                <w:rFonts w:hint="eastAsia" w:cs="仿宋"/>
                <w:sz w:val="24"/>
                <w:szCs w:val="24"/>
              </w:rPr>
              <w:t>（2）根据项目团队进行评分，优3-4分，良2-3分，差0-1分；</w:t>
            </w:r>
          </w:p>
          <w:p w14:paraId="50CC1F56">
            <w:pPr>
              <w:pStyle w:val="53"/>
              <w:numPr>
                <w:ilvl w:val="255"/>
                <w:numId w:val="0"/>
              </w:numPr>
              <w:spacing w:before="78" w:line="331" w:lineRule="auto"/>
              <w:ind w:right="40"/>
              <w:rPr>
                <w:rFonts w:hint="eastAsia"/>
                <w:sz w:val="24"/>
                <w:szCs w:val="24"/>
                <w:lang w:bidi="ar"/>
              </w:rPr>
            </w:pPr>
            <w:r>
              <w:rPr>
                <w:rFonts w:hint="eastAsia" w:cs="仿宋"/>
                <w:sz w:val="24"/>
                <w:szCs w:val="24"/>
              </w:rPr>
              <w:t>（3）根据项目过程管理进行评分，优3-4分，良1-2分，差0-1分；</w:t>
            </w:r>
          </w:p>
          <w:p w14:paraId="41DAFA9D">
            <w:pPr>
              <w:pStyle w:val="53"/>
              <w:spacing w:before="78" w:line="331" w:lineRule="auto"/>
              <w:ind w:right="40"/>
              <w:rPr>
                <w:rFonts w:hint="eastAsia" w:cs="仿宋"/>
                <w:sz w:val="24"/>
                <w:szCs w:val="24"/>
              </w:rPr>
            </w:pPr>
            <w:r>
              <w:rPr>
                <w:rFonts w:hint="eastAsia" w:cs="仿宋"/>
                <w:sz w:val="24"/>
                <w:szCs w:val="24"/>
              </w:rPr>
              <w:t>（4）根据服务与培训方案评分，优3-4分，良2-3分，差0-1分；</w:t>
            </w:r>
          </w:p>
        </w:tc>
        <w:tc>
          <w:tcPr>
            <w:tcW w:w="867" w:type="dxa"/>
            <w:vAlign w:val="center"/>
          </w:tcPr>
          <w:p w14:paraId="08CD20BF">
            <w:pPr>
              <w:spacing w:line="360" w:lineRule="auto"/>
              <w:jc w:val="center"/>
              <w:rPr>
                <w:rFonts w:cs="宋体"/>
                <w:sz w:val="24"/>
                <w:szCs w:val="24"/>
              </w:rPr>
            </w:pPr>
            <w:r>
              <w:rPr>
                <w:rFonts w:hint="eastAsia" w:cs="宋体"/>
                <w:sz w:val="24"/>
                <w:szCs w:val="24"/>
              </w:rPr>
              <w:t>20</w:t>
            </w:r>
          </w:p>
        </w:tc>
      </w:tr>
      <w:tr w14:paraId="226A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970" w:type="dxa"/>
            <w:gridSpan w:val="3"/>
            <w:vAlign w:val="center"/>
          </w:tcPr>
          <w:p w14:paraId="5410C535">
            <w:pPr>
              <w:spacing w:line="360" w:lineRule="auto"/>
              <w:jc w:val="center"/>
              <w:rPr>
                <w:rFonts w:cs="宋体"/>
                <w:sz w:val="24"/>
                <w:szCs w:val="24"/>
              </w:rPr>
            </w:pPr>
            <w:r>
              <w:rPr>
                <w:rFonts w:hint="eastAsia" w:cs="宋体"/>
                <w:b/>
                <w:sz w:val="24"/>
                <w:szCs w:val="24"/>
              </w:rPr>
              <w:t>2、商务因素F2（满分10分）</w:t>
            </w:r>
          </w:p>
        </w:tc>
      </w:tr>
      <w:tr w14:paraId="40A7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Align w:val="center"/>
          </w:tcPr>
          <w:p w14:paraId="67476046">
            <w:pPr>
              <w:pStyle w:val="11"/>
              <w:spacing w:after="0" w:line="360" w:lineRule="auto"/>
              <w:jc w:val="center"/>
              <w:rPr>
                <w:rFonts w:cs="宋体"/>
                <w:b/>
                <w:bCs/>
                <w:sz w:val="24"/>
                <w:szCs w:val="24"/>
              </w:rPr>
            </w:pPr>
            <w:r>
              <w:rPr>
                <w:rFonts w:hint="eastAsia" w:ascii="宋体" w:hAnsi="宋体" w:cs="Arial"/>
                <w:b/>
                <w:bCs/>
                <w:sz w:val="24"/>
                <w:szCs w:val="24"/>
              </w:rPr>
              <w:t>序号</w:t>
            </w:r>
          </w:p>
        </w:tc>
        <w:tc>
          <w:tcPr>
            <w:tcW w:w="7365" w:type="dxa"/>
            <w:vAlign w:val="center"/>
          </w:tcPr>
          <w:p w14:paraId="38454F06">
            <w:pPr>
              <w:spacing w:line="360" w:lineRule="auto"/>
              <w:jc w:val="center"/>
            </w:pPr>
            <w:r>
              <w:rPr>
                <w:rFonts w:hint="eastAsia" w:cs="宋体"/>
                <w:b/>
                <w:bCs/>
                <w:sz w:val="24"/>
                <w:szCs w:val="24"/>
              </w:rPr>
              <w:t>评分界定</w:t>
            </w:r>
          </w:p>
        </w:tc>
        <w:tc>
          <w:tcPr>
            <w:tcW w:w="867" w:type="dxa"/>
            <w:vAlign w:val="center"/>
          </w:tcPr>
          <w:p w14:paraId="55F55ABE">
            <w:pPr>
              <w:spacing w:line="360" w:lineRule="auto"/>
              <w:jc w:val="center"/>
            </w:pPr>
            <w:r>
              <w:rPr>
                <w:rFonts w:hint="eastAsia" w:cs="宋体"/>
                <w:b/>
                <w:bCs/>
                <w:sz w:val="24"/>
                <w:szCs w:val="24"/>
              </w:rPr>
              <w:t>满分</w:t>
            </w:r>
          </w:p>
        </w:tc>
      </w:tr>
      <w:tr w14:paraId="0832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38" w:type="dxa"/>
            <w:vMerge w:val="restart"/>
            <w:vAlign w:val="center"/>
          </w:tcPr>
          <w:p w14:paraId="62138839">
            <w:pPr>
              <w:spacing w:line="360" w:lineRule="auto"/>
              <w:jc w:val="center"/>
              <w:rPr>
                <w:rFonts w:cs="Arial"/>
                <w:bCs/>
                <w:sz w:val="24"/>
                <w:szCs w:val="24"/>
              </w:rPr>
            </w:pPr>
            <w:r>
              <w:rPr>
                <w:rFonts w:hint="eastAsia" w:cs="Arial"/>
                <w:bCs/>
                <w:sz w:val="24"/>
                <w:szCs w:val="24"/>
              </w:rPr>
              <w:t>2</w:t>
            </w:r>
            <w:r>
              <w:rPr>
                <w:rFonts w:cs="Arial"/>
                <w:bCs/>
                <w:sz w:val="24"/>
                <w:szCs w:val="24"/>
              </w:rPr>
              <w:t>-1</w:t>
            </w:r>
          </w:p>
          <w:p w14:paraId="225DE101">
            <w:pPr>
              <w:spacing w:line="360" w:lineRule="auto"/>
              <w:jc w:val="center"/>
              <w:rPr>
                <w:rFonts w:hint="eastAsia" w:ascii="宋体" w:hAnsi="宋体" w:cs="Arial"/>
                <w:b/>
                <w:bCs/>
                <w:sz w:val="24"/>
                <w:szCs w:val="24"/>
              </w:rPr>
            </w:pPr>
            <w:r>
              <w:rPr>
                <w:rFonts w:hint="eastAsia" w:cs="Arial"/>
                <w:bCs/>
                <w:sz w:val="24"/>
                <w:szCs w:val="24"/>
              </w:rPr>
              <w:t>企业资质</w:t>
            </w:r>
          </w:p>
        </w:tc>
        <w:tc>
          <w:tcPr>
            <w:tcW w:w="7365" w:type="dxa"/>
            <w:vMerge w:val="restart"/>
            <w:vAlign w:val="center"/>
          </w:tcPr>
          <w:p w14:paraId="068DA53B">
            <w:pPr>
              <w:spacing w:line="360" w:lineRule="auto"/>
              <w:rPr>
                <w:sz w:val="24"/>
                <w:szCs w:val="24"/>
              </w:rPr>
            </w:pPr>
            <w:r>
              <w:rPr>
                <w:rFonts w:hint="eastAsia"/>
                <w:sz w:val="24"/>
                <w:szCs w:val="24"/>
              </w:rPr>
              <w:t>（1）公司注册资金在500万元以上（含500万）；</w:t>
            </w:r>
          </w:p>
          <w:p w14:paraId="03086EF3">
            <w:pPr>
              <w:spacing w:line="360" w:lineRule="auto"/>
              <w:rPr>
                <w:sz w:val="24"/>
                <w:szCs w:val="24"/>
              </w:rPr>
            </w:pPr>
            <w:r>
              <w:rPr>
                <w:rFonts w:hint="eastAsia"/>
                <w:sz w:val="24"/>
                <w:szCs w:val="24"/>
              </w:rPr>
              <w:t>（2）公司从事下料行业超过10年以上，须提供相关佐证材料；</w:t>
            </w:r>
          </w:p>
          <w:p w14:paraId="759521B0">
            <w:pPr>
              <w:spacing w:line="360" w:lineRule="auto"/>
              <w:rPr>
                <w:sz w:val="24"/>
                <w:szCs w:val="24"/>
              </w:rPr>
            </w:pPr>
            <w:r>
              <w:rPr>
                <w:rFonts w:hint="eastAsia"/>
                <w:sz w:val="24"/>
                <w:szCs w:val="24"/>
              </w:rPr>
              <w:t>（3）具备国家级高新技术企业或国家级平台认证；</w:t>
            </w:r>
          </w:p>
          <w:p w14:paraId="753A4CBB">
            <w:pPr>
              <w:spacing w:line="360" w:lineRule="auto"/>
              <w:rPr>
                <w:sz w:val="24"/>
                <w:szCs w:val="24"/>
              </w:rPr>
            </w:pPr>
            <w:r>
              <w:rPr>
                <w:rFonts w:hint="eastAsia"/>
                <w:sz w:val="24"/>
                <w:szCs w:val="24"/>
              </w:rPr>
              <w:t>（4）投标方具有信息安全管理体系ISO27001认证；</w:t>
            </w:r>
          </w:p>
          <w:p w14:paraId="589E9326">
            <w:pPr>
              <w:spacing w:line="360" w:lineRule="auto"/>
              <w:rPr>
                <w:rFonts w:cs="宋体"/>
                <w:b/>
                <w:bCs/>
                <w:sz w:val="24"/>
                <w:szCs w:val="24"/>
              </w:rPr>
            </w:pPr>
            <w:r>
              <w:rPr>
                <w:rFonts w:hint="eastAsia"/>
                <w:sz w:val="24"/>
                <w:szCs w:val="24"/>
              </w:rPr>
              <w:t xml:space="preserve"> 每具备一个得1分，最多4分</w:t>
            </w:r>
          </w:p>
        </w:tc>
        <w:tc>
          <w:tcPr>
            <w:tcW w:w="867" w:type="dxa"/>
            <w:vMerge w:val="restart"/>
            <w:vAlign w:val="center"/>
          </w:tcPr>
          <w:p w14:paraId="56800453">
            <w:pPr>
              <w:spacing w:line="360" w:lineRule="auto"/>
              <w:jc w:val="center"/>
              <w:rPr>
                <w:rFonts w:cs="宋体"/>
                <w:sz w:val="24"/>
                <w:szCs w:val="24"/>
              </w:rPr>
            </w:pPr>
            <w:r>
              <w:rPr>
                <w:rFonts w:hint="eastAsia" w:cs="宋体"/>
                <w:sz w:val="24"/>
                <w:szCs w:val="24"/>
              </w:rPr>
              <w:t>4</w:t>
            </w:r>
          </w:p>
        </w:tc>
      </w:tr>
      <w:tr w14:paraId="776C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Merge w:val="continue"/>
            <w:vAlign w:val="center"/>
          </w:tcPr>
          <w:p w14:paraId="21727FA0">
            <w:pPr>
              <w:pStyle w:val="11"/>
              <w:spacing w:after="0" w:line="360" w:lineRule="auto"/>
              <w:jc w:val="center"/>
              <w:rPr>
                <w:rFonts w:hint="eastAsia" w:ascii="宋体" w:hAnsi="宋体" w:cs="Arial"/>
                <w:b/>
                <w:bCs/>
                <w:sz w:val="24"/>
                <w:szCs w:val="24"/>
              </w:rPr>
            </w:pPr>
          </w:p>
        </w:tc>
        <w:tc>
          <w:tcPr>
            <w:tcW w:w="7365" w:type="dxa"/>
            <w:vMerge w:val="continue"/>
            <w:vAlign w:val="center"/>
          </w:tcPr>
          <w:p w14:paraId="4096D0AD">
            <w:pPr>
              <w:spacing w:line="360" w:lineRule="auto"/>
              <w:rPr>
                <w:rFonts w:cs="宋体"/>
                <w:b/>
                <w:bCs/>
                <w:sz w:val="24"/>
                <w:szCs w:val="24"/>
              </w:rPr>
            </w:pPr>
          </w:p>
        </w:tc>
        <w:tc>
          <w:tcPr>
            <w:tcW w:w="867" w:type="dxa"/>
            <w:vMerge w:val="continue"/>
            <w:vAlign w:val="center"/>
          </w:tcPr>
          <w:p w14:paraId="74D0557C">
            <w:pPr>
              <w:spacing w:line="360" w:lineRule="auto"/>
              <w:jc w:val="center"/>
              <w:rPr>
                <w:rFonts w:cs="宋体"/>
                <w:sz w:val="24"/>
                <w:szCs w:val="24"/>
              </w:rPr>
            </w:pPr>
          </w:p>
        </w:tc>
      </w:tr>
      <w:tr w14:paraId="034C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738" w:type="dxa"/>
            <w:vAlign w:val="center"/>
          </w:tcPr>
          <w:p w14:paraId="1651EEF7">
            <w:pPr>
              <w:spacing w:line="360" w:lineRule="auto"/>
              <w:jc w:val="center"/>
              <w:rPr>
                <w:rFonts w:cs="Arial"/>
                <w:bCs/>
                <w:sz w:val="24"/>
                <w:szCs w:val="24"/>
              </w:rPr>
            </w:pPr>
            <w:r>
              <w:rPr>
                <w:rFonts w:hint="eastAsia" w:cs="Arial"/>
                <w:bCs/>
                <w:sz w:val="24"/>
                <w:szCs w:val="24"/>
              </w:rPr>
              <w:t>2</w:t>
            </w:r>
            <w:r>
              <w:rPr>
                <w:rFonts w:cs="Arial"/>
                <w:bCs/>
                <w:sz w:val="24"/>
                <w:szCs w:val="24"/>
              </w:rPr>
              <w:t>-</w:t>
            </w:r>
            <w:r>
              <w:rPr>
                <w:rFonts w:hint="eastAsia" w:cs="Arial"/>
                <w:bCs/>
                <w:sz w:val="24"/>
                <w:szCs w:val="24"/>
              </w:rPr>
              <w:t>2</w:t>
            </w:r>
          </w:p>
          <w:p w14:paraId="6049299C">
            <w:pPr>
              <w:spacing w:line="360" w:lineRule="auto"/>
              <w:jc w:val="center"/>
              <w:rPr>
                <w:rFonts w:cs="Arial"/>
                <w:bCs/>
                <w:sz w:val="24"/>
                <w:szCs w:val="24"/>
              </w:rPr>
            </w:pPr>
            <w:r>
              <w:rPr>
                <w:rFonts w:hint="eastAsia" w:cs="Arial"/>
                <w:bCs/>
                <w:sz w:val="24"/>
                <w:szCs w:val="24"/>
              </w:rPr>
              <w:t>项目行业案例</w:t>
            </w:r>
          </w:p>
        </w:tc>
        <w:tc>
          <w:tcPr>
            <w:tcW w:w="7365" w:type="dxa"/>
            <w:vAlign w:val="center"/>
          </w:tcPr>
          <w:p w14:paraId="71CE2221">
            <w:pPr>
              <w:spacing w:line="360" w:lineRule="auto"/>
            </w:pPr>
            <w:r>
              <w:rPr>
                <w:rFonts w:hint="eastAsia"/>
                <w:sz w:val="24"/>
                <w:szCs w:val="24"/>
              </w:rPr>
              <w:t>提供近3年内与招标方同行业下料系统成功案例（要求合同金额不低于100万，须提供合同复印件（原件备查）、需求单位出具的软件验收合格的验收报告或使用单位出具的软件运行正常证明）。每提供2个有效案例得1分，本项最高6分。</w:t>
            </w:r>
          </w:p>
        </w:tc>
        <w:tc>
          <w:tcPr>
            <w:tcW w:w="867" w:type="dxa"/>
            <w:vAlign w:val="center"/>
          </w:tcPr>
          <w:p w14:paraId="0C0051BD">
            <w:pPr>
              <w:spacing w:line="360" w:lineRule="auto"/>
              <w:jc w:val="center"/>
              <w:rPr>
                <w:rFonts w:cs="宋体"/>
                <w:sz w:val="24"/>
                <w:szCs w:val="24"/>
              </w:rPr>
            </w:pPr>
            <w:r>
              <w:rPr>
                <w:rFonts w:hint="eastAsia" w:cs="宋体"/>
                <w:sz w:val="24"/>
                <w:szCs w:val="24"/>
              </w:rPr>
              <w:t>6</w:t>
            </w:r>
          </w:p>
        </w:tc>
      </w:tr>
      <w:tr w14:paraId="486D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970" w:type="dxa"/>
            <w:gridSpan w:val="3"/>
            <w:vAlign w:val="center"/>
          </w:tcPr>
          <w:p w14:paraId="283D0821">
            <w:pPr>
              <w:spacing w:line="360" w:lineRule="auto"/>
              <w:jc w:val="center"/>
              <w:rPr>
                <w:rFonts w:cs="宋体"/>
                <w:sz w:val="24"/>
                <w:szCs w:val="24"/>
              </w:rPr>
            </w:pPr>
            <w:r>
              <w:rPr>
                <w:rFonts w:hint="eastAsia" w:cs="宋体"/>
                <w:b/>
                <w:sz w:val="24"/>
                <w:szCs w:val="24"/>
              </w:rPr>
              <w:t>3、价格因素F3（满分30分）</w:t>
            </w:r>
          </w:p>
        </w:tc>
      </w:tr>
      <w:tr w14:paraId="3B1B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38" w:type="dxa"/>
            <w:vAlign w:val="center"/>
          </w:tcPr>
          <w:p w14:paraId="2FA4E237">
            <w:pPr>
              <w:spacing w:line="360" w:lineRule="auto"/>
              <w:jc w:val="center"/>
              <w:rPr>
                <w:rFonts w:cs="Arial"/>
                <w:bCs/>
                <w:sz w:val="24"/>
                <w:szCs w:val="24"/>
              </w:rPr>
            </w:pPr>
            <w:r>
              <w:rPr>
                <w:rFonts w:hint="eastAsia" w:cs="Arial"/>
                <w:bCs/>
                <w:sz w:val="24"/>
                <w:szCs w:val="24"/>
              </w:rPr>
              <w:t>3</w:t>
            </w:r>
          </w:p>
        </w:tc>
        <w:tc>
          <w:tcPr>
            <w:tcW w:w="8232" w:type="dxa"/>
            <w:gridSpan w:val="2"/>
            <w:vAlign w:val="center"/>
          </w:tcPr>
          <w:p w14:paraId="6387211C">
            <w:pPr>
              <w:spacing w:line="240" w:lineRule="auto"/>
              <w:rPr>
                <w:spacing w:val="-8"/>
                <w:sz w:val="24"/>
                <w:szCs w:val="24"/>
              </w:rPr>
            </w:pPr>
            <w:r>
              <w:rPr>
                <w:rFonts w:hint="eastAsia"/>
                <w:spacing w:val="-8"/>
                <w:sz w:val="24"/>
                <w:szCs w:val="24"/>
              </w:rPr>
              <w:t>报价分的计算方法：当有效投标人＞10时，去掉一个最低价，再去掉一个次低价；去掉一个最高价，再去掉一个次高价后的平均值为评标基准价。当5＜有效投标人≤10，去掉一个最高价，却掉一个最低价后的平均值为评标基准价；当有效投标人≤5，全部有效报价的平均值为有效基准价。保留两位小数。</w:t>
            </w:r>
          </w:p>
          <w:p w14:paraId="520E13CD">
            <w:pPr>
              <w:spacing w:line="240" w:lineRule="auto"/>
              <w:rPr>
                <w:spacing w:val="-8"/>
                <w:sz w:val="24"/>
                <w:szCs w:val="24"/>
              </w:rPr>
            </w:pPr>
            <w:r>
              <w:rPr>
                <w:rFonts w:hint="eastAsia"/>
                <w:spacing w:val="-8"/>
                <w:sz w:val="24"/>
                <w:szCs w:val="24"/>
              </w:rPr>
              <w:t>1、以各有效投标人的有效投标报价的算术平均值为基准价，保留两位小数。</w:t>
            </w:r>
          </w:p>
          <w:p w14:paraId="011A7725">
            <w:pPr>
              <w:spacing w:line="240" w:lineRule="auto"/>
              <w:rPr>
                <w:spacing w:val="-8"/>
                <w:sz w:val="24"/>
                <w:szCs w:val="24"/>
              </w:rPr>
            </w:pPr>
            <w:r>
              <w:rPr>
                <w:rFonts w:hint="eastAsia"/>
                <w:spacing w:val="-8"/>
                <w:sz w:val="24"/>
                <w:szCs w:val="24"/>
              </w:rPr>
              <w:t>2、投标人的投标报价等于基准价者得20分；</w:t>
            </w:r>
          </w:p>
          <w:p w14:paraId="6F59677B">
            <w:pPr>
              <w:spacing w:line="240" w:lineRule="auto"/>
              <w:rPr>
                <w:spacing w:val="-8"/>
                <w:sz w:val="24"/>
                <w:szCs w:val="24"/>
              </w:rPr>
            </w:pPr>
            <w:r>
              <w:rPr>
                <w:rFonts w:hint="eastAsia"/>
                <w:spacing w:val="-8"/>
                <w:sz w:val="24"/>
                <w:szCs w:val="24"/>
              </w:rPr>
              <w:t xml:space="preserve">   投标报价与评标基准价相比每高于评标基准价2%则扣0.5分，最多扣至0分，</w:t>
            </w:r>
          </w:p>
          <w:p w14:paraId="53E3DDDB">
            <w:pPr>
              <w:spacing w:line="240" w:lineRule="auto"/>
              <w:rPr>
                <w:spacing w:val="-8"/>
                <w:sz w:val="24"/>
                <w:szCs w:val="24"/>
              </w:rPr>
            </w:pPr>
            <w:r>
              <w:rPr>
                <w:rFonts w:hint="eastAsia"/>
                <w:spacing w:val="-8"/>
                <w:sz w:val="24"/>
                <w:szCs w:val="24"/>
              </w:rPr>
              <w:t xml:space="preserve">   每低于评标基准价2%的，加0.5分，最多加</w:t>
            </w:r>
            <w:r>
              <w:rPr>
                <w:rFonts w:hint="eastAsia"/>
                <w:spacing w:val="-8"/>
                <w:sz w:val="24"/>
                <w:szCs w:val="24"/>
                <w:lang w:val="en-US" w:eastAsia="zh-CN"/>
              </w:rPr>
              <w:t>10</w:t>
            </w:r>
            <w:r>
              <w:rPr>
                <w:rFonts w:hint="eastAsia"/>
                <w:spacing w:val="-8"/>
                <w:sz w:val="24"/>
                <w:szCs w:val="24"/>
              </w:rPr>
              <w:t>分。</w:t>
            </w:r>
          </w:p>
          <w:p w14:paraId="67C30FD2">
            <w:pPr>
              <w:spacing w:line="240" w:lineRule="auto"/>
              <w:rPr>
                <w:spacing w:val="-8"/>
                <w:sz w:val="24"/>
                <w:szCs w:val="24"/>
              </w:rPr>
            </w:pPr>
            <w:r>
              <w:rPr>
                <w:rFonts w:hint="eastAsia"/>
                <w:spacing w:val="-8"/>
                <w:sz w:val="24"/>
                <w:szCs w:val="24"/>
              </w:rPr>
              <w:t xml:space="preserve">   (计算</w:t>
            </w:r>
            <w:r>
              <w:rPr>
                <w:rFonts w:hint="eastAsia"/>
                <w:spacing w:val="-8"/>
                <w:sz w:val="24"/>
                <w:szCs w:val="24"/>
                <w:lang w:val="en-US" w:eastAsia="zh-CN"/>
              </w:rPr>
              <w:t>得</w:t>
            </w:r>
            <w:r>
              <w:rPr>
                <w:rFonts w:hint="eastAsia"/>
                <w:spacing w:val="-8"/>
                <w:sz w:val="24"/>
                <w:szCs w:val="24"/>
              </w:rPr>
              <w:t>分精确到小数点后两位)。</w:t>
            </w:r>
          </w:p>
          <w:p w14:paraId="4142CF65">
            <w:pPr>
              <w:spacing w:line="240" w:lineRule="auto"/>
              <w:rPr>
                <w:rFonts w:cs="宋体"/>
                <w:sz w:val="24"/>
                <w:szCs w:val="24"/>
              </w:rPr>
            </w:pPr>
            <w:r>
              <w:rPr>
                <w:rFonts w:hint="eastAsia"/>
                <w:spacing w:val="-8"/>
                <w:sz w:val="24"/>
                <w:szCs w:val="24"/>
              </w:rPr>
              <w:t>本项最高得分 30 分。</w:t>
            </w:r>
          </w:p>
        </w:tc>
      </w:tr>
      <w:tr w14:paraId="1086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970" w:type="dxa"/>
            <w:gridSpan w:val="3"/>
            <w:vAlign w:val="center"/>
          </w:tcPr>
          <w:p w14:paraId="1B185BCF">
            <w:pPr>
              <w:spacing w:line="360" w:lineRule="auto"/>
              <w:jc w:val="center"/>
              <w:rPr>
                <w:rFonts w:cs="宋体"/>
                <w:sz w:val="24"/>
                <w:szCs w:val="24"/>
              </w:rPr>
            </w:pPr>
            <w:r>
              <w:rPr>
                <w:rFonts w:hint="eastAsia"/>
                <w:b/>
                <w:sz w:val="24"/>
              </w:rPr>
              <w:t>综合得分F＝F1＋F2＋F3</w:t>
            </w:r>
          </w:p>
        </w:tc>
      </w:tr>
    </w:tbl>
    <w:p w14:paraId="1DDAC732">
      <w:pPr>
        <w:rPr>
          <w:b/>
          <w:sz w:val="18"/>
          <w:szCs w:val="18"/>
        </w:rPr>
      </w:pPr>
      <w:r>
        <w:rPr>
          <w:rFonts w:hint="eastAsia" w:cs="宋体"/>
        </w:rPr>
        <w:br w:type="page"/>
      </w:r>
    </w:p>
    <w:p w14:paraId="6D187EBC">
      <w:pPr>
        <w:spacing w:line="360" w:lineRule="auto"/>
        <w:ind w:firstLine="723" w:firstLineChars="200"/>
        <w:jc w:val="center"/>
        <w:outlineLvl w:val="0"/>
        <w:rPr>
          <w:b/>
          <w:bCs/>
          <w:sz w:val="36"/>
          <w:szCs w:val="36"/>
        </w:rPr>
      </w:pPr>
      <w:bookmarkStart w:id="186" w:name="_Toc5053"/>
      <w:bookmarkStart w:id="187" w:name="_Toc148459143"/>
      <w:bookmarkStart w:id="188" w:name="_Toc18277"/>
      <w:bookmarkStart w:id="189" w:name="_Toc6110"/>
      <w:r>
        <w:rPr>
          <w:rFonts w:hint="eastAsia"/>
          <w:b/>
          <w:bCs/>
          <w:sz w:val="36"/>
          <w:szCs w:val="36"/>
        </w:rPr>
        <w:t>第四章  招标内容及要求</w:t>
      </w:r>
      <w:bookmarkEnd w:id="186"/>
      <w:bookmarkEnd w:id="187"/>
      <w:bookmarkEnd w:id="188"/>
      <w:bookmarkEnd w:id="189"/>
    </w:p>
    <w:p w14:paraId="5FC2EDA1">
      <w:pPr>
        <w:spacing w:line="360" w:lineRule="auto"/>
        <w:ind w:firstLine="482" w:firstLineChars="200"/>
        <w:rPr>
          <w:rFonts w:cs="宋体"/>
          <w:b/>
          <w:bCs/>
          <w:sz w:val="24"/>
        </w:rPr>
      </w:pPr>
      <w:r>
        <w:rPr>
          <w:rFonts w:hint="eastAsia" w:cs="宋体"/>
          <w:b/>
          <w:bCs/>
          <w:sz w:val="24"/>
        </w:rPr>
        <w:t>提示说明：</w:t>
      </w:r>
    </w:p>
    <w:p w14:paraId="542312BA">
      <w:pPr>
        <w:spacing w:line="360" w:lineRule="auto"/>
        <w:ind w:firstLine="482" w:firstLineChars="200"/>
        <w:rPr>
          <w:rFonts w:cs="宋体"/>
          <w:b/>
          <w:bCs/>
          <w:sz w:val="24"/>
        </w:rPr>
      </w:pPr>
      <w:r>
        <w:rPr>
          <w:rFonts w:hint="eastAsia" w:cs="宋体"/>
          <w:b/>
          <w:bCs/>
          <w:sz w:val="24"/>
        </w:rPr>
        <w:t>(1)全文中带有“★”的条款为关键性条款，对这些关键性条款的任何负偏离或不满足将作无效投标处理。</w:t>
      </w:r>
    </w:p>
    <w:p w14:paraId="60925038">
      <w:pPr>
        <w:spacing w:line="360" w:lineRule="auto"/>
        <w:ind w:firstLine="482" w:firstLineChars="200"/>
        <w:rPr>
          <w:rFonts w:cs="宋体"/>
          <w:b/>
          <w:bCs/>
          <w:sz w:val="24"/>
        </w:rPr>
      </w:pPr>
      <w:r>
        <w:rPr>
          <w:rFonts w:hint="eastAsia" w:cs="宋体"/>
          <w:b/>
          <w:bCs/>
          <w:sz w:val="24"/>
        </w:rPr>
        <w:t>(2)投标人必须完整提供本项目要求的所有货物和服务，否则将作无效投标处理。</w:t>
      </w:r>
    </w:p>
    <w:p w14:paraId="681C6EB3">
      <w:pPr>
        <w:spacing w:line="360" w:lineRule="auto"/>
        <w:ind w:firstLine="482" w:firstLineChars="200"/>
        <w:rPr>
          <w:rFonts w:cs="宋体"/>
          <w:b/>
          <w:bCs/>
          <w:sz w:val="24"/>
        </w:rPr>
      </w:pPr>
      <w:r>
        <w:rPr>
          <w:rFonts w:hint="eastAsia" w:cs="宋体"/>
          <w:b/>
          <w:bCs/>
          <w:sz w:val="24"/>
        </w:rPr>
        <w:t>(3)招标文件中所述技术要求，应视为保证货物运行所需的最低要求，如有遗漏，投标人应予以补充，否则一旦成为中标人将认为投标人认同遗漏部分并免费提供。</w:t>
      </w:r>
    </w:p>
    <w:p w14:paraId="25CFBA9F">
      <w:pPr>
        <w:spacing w:line="360" w:lineRule="auto"/>
        <w:ind w:firstLine="482" w:firstLineChars="200"/>
        <w:rPr>
          <w:rFonts w:cs="宋体"/>
          <w:b/>
          <w:bCs/>
          <w:sz w:val="24"/>
        </w:rPr>
      </w:pPr>
      <w:r>
        <w:rPr>
          <w:rFonts w:hint="eastAsia" w:cs="宋体"/>
          <w:b/>
          <w:bCs/>
          <w:sz w:val="24"/>
        </w:rPr>
        <w:t>(4) 若招标文件第四章所述内容与其它部分的条款发生理解冲突，则以第四章所述内容为主；如招标文件发生变更，则相关条款的解释以更改通知为准。</w:t>
      </w:r>
    </w:p>
    <w:p w14:paraId="2D372753">
      <w:pPr>
        <w:spacing w:line="360" w:lineRule="auto"/>
        <w:ind w:firstLine="482" w:firstLineChars="200"/>
        <w:rPr>
          <w:rFonts w:cs="宋体"/>
          <w:b/>
          <w:bCs/>
          <w:sz w:val="24"/>
        </w:rPr>
      </w:pPr>
      <w:r>
        <w:rPr>
          <w:rFonts w:hint="eastAsia" w:cs="宋体"/>
          <w:b/>
          <w:bCs/>
          <w:sz w:val="24"/>
        </w:rPr>
        <w:t>(5) 经评标委员会认定要求澄清的证明文件必须在规定的时间内提供，否则其将不具有中标候选人的资格。</w:t>
      </w:r>
    </w:p>
    <w:p w14:paraId="37EC7285">
      <w:pPr>
        <w:pStyle w:val="15"/>
        <w:spacing w:line="360" w:lineRule="auto"/>
        <w:ind w:firstLine="720" w:firstLineChars="300"/>
        <w:rPr>
          <w:b/>
          <w:bCs/>
          <w:sz w:val="36"/>
          <w:szCs w:val="36"/>
        </w:rPr>
      </w:pPr>
      <w:r>
        <w:rPr>
          <w:rFonts w:hint="eastAsia" w:hAnsi="宋体"/>
          <w:sz w:val="24"/>
          <w:szCs w:val="24"/>
        </w:rPr>
        <w:t xml:space="preserve"> </w:t>
      </w:r>
    </w:p>
    <w:p w14:paraId="04F22A38">
      <w:pPr>
        <w:numPr>
          <w:ilvl w:val="0"/>
          <w:numId w:val="6"/>
        </w:numPr>
        <w:adjustRightInd w:val="0"/>
        <w:snapToGrid w:val="0"/>
        <w:spacing w:line="360" w:lineRule="auto"/>
        <w:outlineLvl w:val="1"/>
        <w:rPr>
          <w:rFonts w:cs="宋体"/>
          <w:b/>
          <w:sz w:val="24"/>
          <w:szCs w:val="24"/>
        </w:rPr>
      </w:pPr>
      <w:bookmarkStart w:id="190" w:name="_Toc30202"/>
      <w:r>
        <w:rPr>
          <w:rFonts w:hint="eastAsia" w:cs="宋体"/>
          <w:b/>
          <w:sz w:val="24"/>
          <w:szCs w:val="24"/>
        </w:rPr>
        <w:t>技术规格及要求</w:t>
      </w:r>
      <w:bookmarkEnd w:id="190"/>
    </w:p>
    <w:p w14:paraId="594A47E9">
      <w:pPr>
        <w:numPr>
          <w:ilvl w:val="0"/>
          <w:numId w:val="0"/>
        </w:numPr>
        <w:tabs>
          <w:tab w:val="left" w:pos="0"/>
          <w:tab w:val="left" w:pos="420"/>
          <w:tab w:val="left" w:pos="630"/>
        </w:tabs>
        <w:spacing w:after="0"/>
        <w:ind w:left="360" w:leftChars="0" w:hanging="360" w:firstLineChars="0"/>
        <w:rPr>
          <w:rFonts w:hint="eastAsia" w:ascii="宋体" w:hAnsi="宋体"/>
          <w:sz w:val="24"/>
          <w:szCs w:val="24"/>
        </w:rPr>
      </w:pPr>
      <w:r>
        <w:rPr>
          <w:rFonts w:hint="default" w:ascii="宋体" w:hAnsi="宋体" w:eastAsia="宋体" w:cs="Times New Roman"/>
          <w:kern w:val="2"/>
          <w:sz w:val="24"/>
          <w:szCs w:val="24"/>
          <w:lang w:val="en-US" w:eastAsia="zh-CN" w:bidi="ar-SA"/>
        </w:rPr>
        <w:t>1、</w:t>
      </w:r>
      <w:r>
        <w:rPr>
          <w:rFonts w:hint="eastAsia" w:ascii="宋体" w:hAnsi="宋体"/>
          <w:sz w:val="24"/>
          <w:szCs w:val="24"/>
        </w:rPr>
        <w:t>项目情况介绍</w:t>
      </w:r>
    </w:p>
    <w:p w14:paraId="11B59DDF">
      <w:r>
        <w:rPr>
          <w:rFonts w:hint="eastAsia" w:ascii="宋体" w:hAnsi="宋体"/>
        </w:rPr>
        <w:t>1.1</w:t>
      </w:r>
      <w:r>
        <w:rPr>
          <w:rFonts w:hint="eastAsia"/>
        </w:rPr>
        <w:t>项目目标</w:t>
      </w:r>
    </w:p>
    <w:p w14:paraId="7F7640E2">
      <w:pPr>
        <w:spacing w:line="360" w:lineRule="auto"/>
        <w:ind w:firstLine="480" w:firstLineChars="200"/>
        <w:rPr>
          <w:rFonts w:cs="宋体"/>
          <w:sz w:val="24"/>
        </w:rPr>
      </w:pPr>
      <w:r>
        <w:rPr>
          <w:rFonts w:hint="eastAsia" w:cs="宋体"/>
          <w:sz w:val="24"/>
        </w:rPr>
        <w:t>本次下料管理</w:t>
      </w:r>
      <w:r>
        <w:rPr>
          <w:rFonts w:cs="宋体"/>
          <w:sz w:val="24"/>
        </w:rPr>
        <w:t>系统</w:t>
      </w:r>
      <w:r>
        <w:rPr>
          <w:rFonts w:hint="eastAsia" w:cs="宋体"/>
          <w:sz w:val="24"/>
        </w:rPr>
        <w:t>引入目的：改善下料传统粗放式管理无法适应精益生产的要求。通过下料管理系统将下料业务流程及车间各个平面下料设备之间进行信息集成，同时能与企业的ERP/PLM系统进行</w:t>
      </w:r>
      <w:r>
        <w:rPr>
          <w:rFonts w:hint="eastAsia" w:cs="宋体"/>
          <w:b/>
          <w:color w:val="FF0000"/>
          <w:sz w:val="24"/>
        </w:rPr>
        <w:t>数据双向交互</w:t>
      </w:r>
      <w:r>
        <w:rPr>
          <w:rFonts w:hint="eastAsia" w:cs="宋体"/>
          <w:sz w:val="24"/>
        </w:rPr>
        <w:t>的集成，在这个系统中能够获取</w:t>
      </w:r>
      <w:r>
        <w:rPr>
          <w:rFonts w:hint="eastAsia" w:cs="宋体"/>
          <w:color w:val="FF0000"/>
          <w:sz w:val="24"/>
        </w:rPr>
        <w:t>公司MOM系统传递的下料计划</w:t>
      </w:r>
      <w:r>
        <w:rPr>
          <w:rFonts w:hint="eastAsia" w:cs="宋体"/>
          <w:sz w:val="24"/>
        </w:rPr>
        <w:t>实现自动化的传递分解管控，切割任务的分配，钢板、余料、零件等的仓储管理，套料数据和</w:t>
      </w:r>
      <w:r>
        <w:rPr>
          <w:rFonts w:cs="宋体"/>
          <w:sz w:val="24"/>
        </w:rPr>
        <w:t>NC代码的分发和管控，设备产能的合理分配，下料数据的采集和设备动态监控等功能。实现设备工作的协调联动和整体信息交换控制。</w:t>
      </w:r>
    </w:p>
    <w:p w14:paraId="76A42C3D">
      <w:pPr>
        <w:spacing w:line="360" w:lineRule="auto"/>
        <w:ind w:firstLine="480" w:firstLineChars="200"/>
        <w:rPr>
          <w:rFonts w:cs="宋体"/>
          <w:sz w:val="24"/>
        </w:rPr>
      </w:pPr>
      <w:r>
        <w:rPr>
          <w:rFonts w:hint="eastAsia" w:cs="宋体"/>
          <w:sz w:val="24"/>
        </w:rPr>
        <w:t>当前手工排版套料切割板材利用率低，工作效率不高等现象造成资源和人力浪费等情况。急需更先进的套排料软件提高套料工序的利用率，减少套料人工成本，</w:t>
      </w:r>
    </w:p>
    <w:p w14:paraId="13421008">
      <w:r>
        <w:rPr>
          <w:rFonts w:hint="eastAsia" w:ascii="宋体" w:hAnsi="宋体"/>
        </w:rPr>
        <w:t>1.2</w:t>
      </w:r>
      <w:r>
        <w:rPr>
          <w:rFonts w:hint="eastAsia"/>
        </w:rPr>
        <w:t>项目范围</w:t>
      </w:r>
    </w:p>
    <w:p w14:paraId="686DBDB9">
      <w:pPr>
        <w:spacing w:line="360" w:lineRule="auto"/>
        <w:ind w:firstLine="480" w:firstLineChars="200"/>
        <w:rPr>
          <w:rFonts w:hint="eastAsia" w:ascii="宋体" w:hAnsi="宋体"/>
          <w:sz w:val="24"/>
        </w:rPr>
      </w:pPr>
      <w:r>
        <w:rPr>
          <w:rFonts w:hint="eastAsia" w:cs="宋体"/>
          <w:sz w:val="24"/>
        </w:rPr>
        <w:t>本项目围绕下表设备清单及相关信息，</w:t>
      </w:r>
      <w:r>
        <w:rPr>
          <w:rFonts w:hint="eastAsia" w:ascii="宋体" w:hAnsi="宋体"/>
          <w:sz w:val="24"/>
        </w:rPr>
        <w:t>囊括下料车间相关所有业务。包括计划排产、钢材仓储管理</w:t>
      </w:r>
      <w:r>
        <w:rPr>
          <w:rFonts w:hint="eastAsia" w:ascii="宋体" w:hAnsi="宋体"/>
          <w:color w:val="FF0000"/>
          <w:sz w:val="24"/>
        </w:rPr>
        <w:t>（源自公司ERP云星空）</w:t>
      </w:r>
      <w:r>
        <w:rPr>
          <w:rFonts w:hint="eastAsia" w:ascii="宋体" w:hAnsi="宋体"/>
          <w:sz w:val="24"/>
        </w:rPr>
        <w:t>、</w:t>
      </w:r>
      <w:r>
        <w:rPr>
          <w:rFonts w:hint="eastAsia" w:ascii="宋体" w:hAnsi="宋体"/>
          <w:color w:val="FF0000"/>
          <w:sz w:val="24"/>
        </w:rPr>
        <w:t>下料图纸管理（源自PLM图纸）</w:t>
      </w:r>
      <w:r>
        <w:rPr>
          <w:rFonts w:hint="eastAsia" w:ascii="宋体" w:hAnsi="宋体"/>
          <w:sz w:val="24"/>
        </w:rPr>
        <w:t>、套料管理、车间管理、生产过程管理、系统集成、下料设备数据采集及反馈等。始于公司</w:t>
      </w:r>
      <w:r>
        <w:rPr>
          <w:rFonts w:ascii="宋体" w:hAnsi="宋体"/>
          <w:sz w:val="24"/>
        </w:rPr>
        <w:t>ERP</w:t>
      </w:r>
      <w:r>
        <w:rPr>
          <w:rFonts w:hint="eastAsia" w:ascii="宋体" w:hAnsi="宋体"/>
          <w:sz w:val="24"/>
        </w:rPr>
        <w:t>云星空/开目PLM</w:t>
      </w:r>
      <w:r>
        <w:rPr>
          <w:rFonts w:ascii="宋体" w:hAnsi="宋体"/>
          <w:sz w:val="24"/>
        </w:rPr>
        <w:t>管理系统</w:t>
      </w:r>
      <w:r>
        <w:rPr>
          <w:rFonts w:hint="eastAsia" w:ascii="宋体" w:hAnsi="宋体"/>
          <w:sz w:val="24"/>
        </w:rPr>
        <w:t>的</w:t>
      </w:r>
      <w:r>
        <w:rPr>
          <w:rFonts w:ascii="宋体" w:hAnsi="宋体"/>
          <w:sz w:val="24"/>
        </w:rPr>
        <w:t>，与下料切割相关的生产计划，</w:t>
      </w:r>
      <w:r>
        <w:rPr>
          <w:rFonts w:hint="eastAsia" w:ascii="宋体" w:hAnsi="宋体"/>
          <w:sz w:val="24"/>
        </w:rPr>
        <w:t>止于切割件完成并通过接口将零件完成情况反馈到MOM/ERP。</w:t>
      </w:r>
    </w:p>
    <w:p w14:paraId="55145299">
      <w:pPr>
        <w:spacing w:line="360" w:lineRule="auto"/>
        <w:ind w:firstLine="480" w:firstLineChars="200"/>
        <w:rPr>
          <w:rFonts w:hint="eastAsia" w:ascii="宋体" w:hAnsi="宋体"/>
          <w:sz w:val="24"/>
        </w:rPr>
      </w:pPr>
      <w:r>
        <w:rPr>
          <w:rFonts w:hint="eastAsia" w:ascii="宋体" w:hAnsi="宋体"/>
          <w:sz w:val="24"/>
        </w:rPr>
        <w:t>设备清单及相关信息如下（设备会增加，需预留更多接口）：</w:t>
      </w:r>
    </w:p>
    <w:p w14:paraId="00A6B105">
      <w:pPr>
        <w:rPr>
          <w:rFonts w:hint="eastAsia" w:ascii="宋体" w:hAnsi="宋体"/>
          <w:lang w:val="en-US" w:eastAsia="zh-CN"/>
        </w:rPr>
      </w:pPr>
      <w:r>
        <w:rPr>
          <w:rFonts w:hint="eastAsia" w:ascii="宋体" w:hAnsi="宋体"/>
          <w:lang w:val="en-US" w:eastAsia="zh-CN"/>
        </w:rPr>
        <w:t>1.2.1切割设备</w:t>
      </w:r>
    </w:p>
    <w:tbl>
      <w:tblPr>
        <w:tblStyle w:val="2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2"/>
        <w:gridCol w:w="5671"/>
        <w:gridCol w:w="1335"/>
      </w:tblGrid>
      <w:tr w14:paraId="41740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F4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90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44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4C41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trPr>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1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柏楚激光切割系统魔盒</w:t>
            </w: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0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1台柏楚系统直切激光魔盒，1台柏楚系统坡口切激光魔盒，用于采集柏楚设备信息。</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8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DEC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1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海宝切割系统的OPCUA协议</w:t>
            </w: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B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2台海宝系统精细等离子切割机的OPCUA协议，以及1台海宝系统火焰切割机，用于采集海宝切割设备的设备信息。</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E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3B1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B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方菱切割系统的OPCUA协议</w:t>
            </w:r>
          </w:p>
        </w:tc>
        <w:tc>
          <w:tcPr>
            <w:tcW w:w="3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0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3台方菱系统火焰切割机OPCUA协议，用于采集方菱系统切割设备的信息。</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88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bl>
    <w:p w14:paraId="3685188F">
      <w:pPr>
        <w:widowControl w:val="0"/>
        <w:numPr>
          <w:ilvl w:val="0"/>
          <w:numId w:val="0"/>
        </w:numPr>
        <w:spacing w:after="160" w:line="360" w:lineRule="auto"/>
        <w:jc w:val="both"/>
        <w:rPr>
          <w:rFonts w:hint="default" w:ascii="宋体" w:hAnsi="宋体"/>
          <w:sz w:val="24"/>
          <w:lang w:val="en-US" w:eastAsia="zh-CN"/>
        </w:rPr>
      </w:pPr>
    </w:p>
    <w:p w14:paraId="2A0AF6A0">
      <w:pPr>
        <w:rPr>
          <w:rFonts w:hint="eastAsia" w:ascii="宋体" w:hAnsi="宋体"/>
        </w:rPr>
      </w:pPr>
      <w:r>
        <w:rPr>
          <w:rFonts w:hint="eastAsia" w:ascii="宋体" w:hAnsi="宋体"/>
        </w:rPr>
        <w:t>1.3供货范围</w:t>
      </w:r>
      <w:r>
        <w:rPr>
          <w:rFonts w:ascii="宋体" w:hAnsi="宋体"/>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3422"/>
        <w:gridCol w:w="1591"/>
        <w:gridCol w:w="1591"/>
      </w:tblGrid>
      <w:tr w14:paraId="6F1F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91" w:type="dxa"/>
            <w:noWrap/>
          </w:tcPr>
          <w:p w14:paraId="01A4139F">
            <w:pPr>
              <w:spacing w:before="240" w:beforeLines="100" w:line="360" w:lineRule="auto"/>
              <w:jc w:val="center"/>
              <w:rPr>
                <w:rFonts w:hint="eastAsia" w:ascii="宋体" w:hAnsi="宋体" w:cs="宋体"/>
                <w:b/>
                <w:bCs/>
                <w:sz w:val="24"/>
              </w:rPr>
            </w:pPr>
            <w:r>
              <w:rPr>
                <w:rFonts w:hint="eastAsia" w:ascii="宋体" w:hAnsi="宋体" w:cs="宋体"/>
                <w:b/>
                <w:bCs/>
                <w:sz w:val="24"/>
              </w:rPr>
              <w:t>序号</w:t>
            </w:r>
          </w:p>
        </w:tc>
        <w:tc>
          <w:tcPr>
            <w:tcW w:w="3422" w:type="dxa"/>
            <w:noWrap/>
          </w:tcPr>
          <w:p w14:paraId="0E9176C8">
            <w:pPr>
              <w:spacing w:before="240" w:beforeLines="100" w:line="360" w:lineRule="auto"/>
              <w:jc w:val="center"/>
              <w:rPr>
                <w:rFonts w:hint="eastAsia" w:ascii="宋体" w:hAnsi="宋体" w:cs="宋体"/>
                <w:b/>
                <w:bCs/>
                <w:sz w:val="24"/>
              </w:rPr>
            </w:pPr>
            <w:r>
              <w:rPr>
                <w:rFonts w:hint="eastAsia" w:ascii="宋体" w:hAnsi="宋体" w:cs="宋体"/>
                <w:b/>
                <w:bCs/>
                <w:sz w:val="24"/>
              </w:rPr>
              <w:t>名称</w:t>
            </w:r>
          </w:p>
        </w:tc>
        <w:tc>
          <w:tcPr>
            <w:tcW w:w="1591" w:type="dxa"/>
            <w:noWrap/>
          </w:tcPr>
          <w:p w14:paraId="7D869D16">
            <w:pPr>
              <w:spacing w:before="240" w:beforeLines="100" w:line="360" w:lineRule="auto"/>
              <w:jc w:val="center"/>
              <w:rPr>
                <w:rFonts w:hint="eastAsia" w:ascii="宋体" w:hAnsi="宋体" w:cs="宋体"/>
                <w:b/>
                <w:bCs/>
                <w:sz w:val="24"/>
              </w:rPr>
            </w:pPr>
            <w:r>
              <w:rPr>
                <w:rFonts w:hint="eastAsia" w:ascii="宋体" w:hAnsi="宋体" w:cs="宋体"/>
                <w:b/>
                <w:bCs/>
                <w:sz w:val="24"/>
              </w:rPr>
              <w:t>数量</w:t>
            </w:r>
          </w:p>
        </w:tc>
        <w:tc>
          <w:tcPr>
            <w:tcW w:w="1591" w:type="dxa"/>
            <w:noWrap/>
          </w:tcPr>
          <w:p w14:paraId="304556CF">
            <w:pPr>
              <w:spacing w:before="240" w:beforeLines="100" w:line="360" w:lineRule="auto"/>
              <w:jc w:val="center"/>
              <w:rPr>
                <w:rFonts w:hint="eastAsia" w:ascii="宋体" w:hAnsi="宋体" w:cs="宋体"/>
                <w:b/>
                <w:bCs/>
                <w:sz w:val="24"/>
              </w:rPr>
            </w:pPr>
            <w:r>
              <w:rPr>
                <w:rFonts w:hint="eastAsia" w:ascii="宋体" w:hAnsi="宋体" w:cs="宋体"/>
                <w:b/>
                <w:bCs/>
                <w:sz w:val="24"/>
              </w:rPr>
              <w:t>单位</w:t>
            </w:r>
          </w:p>
        </w:tc>
      </w:tr>
      <w:tr w14:paraId="1C3B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91" w:type="dxa"/>
            <w:noWrap/>
          </w:tcPr>
          <w:p w14:paraId="39668F96">
            <w:pPr>
              <w:spacing w:before="240" w:beforeLines="100" w:line="360" w:lineRule="auto"/>
              <w:jc w:val="center"/>
              <w:rPr>
                <w:rFonts w:hint="eastAsia" w:ascii="宋体" w:hAnsi="宋体" w:cs="宋体"/>
                <w:sz w:val="24"/>
              </w:rPr>
            </w:pPr>
            <w:r>
              <w:rPr>
                <w:rFonts w:hint="eastAsia" w:ascii="宋体" w:hAnsi="宋体" w:cs="宋体"/>
                <w:sz w:val="24"/>
              </w:rPr>
              <w:t>1</w:t>
            </w:r>
          </w:p>
        </w:tc>
        <w:tc>
          <w:tcPr>
            <w:tcW w:w="3422" w:type="dxa"/>
            <w:noWrap/>
          </w:tcPr>
          <w:p w14:paraId="2E9F50EC">
            <w:pPr>
              <w:spacing w:before="240" w:beforeLines="100" w:line="360" w:lineRule="auto"/>
              <w:jc w:val="center"/>
              <w:rPr>
                <w:rFonts w:hint="eastAsia" w:ascii="宋体" w:hAnsi="宋体" w:cs="宋体"/>
                <w:sz w:val="24"/>
              </w:rPr>
            </w:pPr>
            <w:r>
              <w:rPr>
                <w:rFonts w:hint="eastAsia" w:ascii="宋体" w:hAnsi="宋体" w:cs="宋体"/>
                <w:sz w:val="24"/>
              </w:rPr>
              <w:t>下料管理系统</w:t>
            </w:r>
          </w:p>
        </w:tc>
        <w:tc>
          <w:tcPr>
            <w:tcW w:w="1591" w:type="dxa"/>
            <w:noWrap/>
          </w:tcPr>
          <w:p w14:paraId="30F04900">
            <w:pPr>
              <w:spacing w:before="240" w:beforeLines="100" w:line="360" w:lineRule="auto"/>
              <w:jc w:val="center"/>
              <w:rPr>
                <w:rFonts w:hint="eastAsia" w:ascii="宋体" w:hAnsi="宋体" w:cs="宋体"/>
                <w:sz w:val="24"/>
              </w:rPr>
            </w:pPr>
            <w:r>
              <w:rPr>
                <w:rFonts w:hint="eastAsia" w:ascii="宋体" w:hAnsi="宋体" w:cs="宋体"/>
                <w:sz w:val="24"/>
              </w:rPr>
              <w:t>1</w:t>
            </w:r>
          </w:p>
        </w:tc>
        <w:tc>
          <w:tcPr>
            <w:tcW w:w="1591" w:type="dxa"/>
            <w:noWrap/>
          </w:tcPr>
          <w:p w14:paraId="0D2D419F">
            <w:pPr>
              <w:spacing w:before="240" w:beforeLines="100" w:line="360" w:lineRule="auto"/>
              <w:jc w:val="center"/>
              <w:rPr>
                <w:rFonts w:hint="eastAsia" w:ascii="宋体" w:hAnsi="宋体" w:cs="宋体"/>
                <w:sz w:val="24"/>
              </w:rPr>
            </w:pPr>
            <w:r>
              <w:rPr>
                <w:rFonts w:hint="eastAsia" w:ascii="宋体" w:hAnsi="宋体" w:cs="宋体"/>
                <w:sz w:val="24"/>
              </w:rPr>
              <w:t>项</w:t>
            </w:r>
          </w:p>
        </w:tc>
      </w:tr>
      <w:tr w14:paraId="235A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8195" w:type="dxa"/>
            <w:gridSpan w:val="4"/>
          </w:tcPr>
          <w:p w14:paraId="239C6D53">
            <w:pPr>
              <w:spacing w:before="240" w:beforeLines="100" w:line="360" w:lineRule="auto"/>
              <w:rPr>
                <w:rFonts w:hint="eastAsia" w:ascii="宋体" w:hAnsi="宋体" w:cs="宋体"/>
                <w:sz w:val="24"/>
              </w:rPr>
            </w:pPr>
            <w:r>
              <w:rPr>
                <w:rFonts w:hint="eastAsia" w:ascii="宋体" w:hAnsi="宋体" w:cs="宋体"/>
                <w:sz w:val="24"/>
              </w:rPr>
              <w:t>产品模块主要包含：</w:t>
            </w:r>
            <w:r>
              <w:rPr>
                <w:rFonts w:hint="eastAsia" w:ascii="宋体" w:hAnsi="宋体" w:cs="宋体"/>
                <w:sz w:val="24"/>
              </w:rPr>
              <w:br w:type="textWrapping"/>
            </w: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包含高端智能套排料软件 3 套：满足3台套电脑同时使用，保证至少</w:t>
            </w:r>
            <w:r>
              <w:rPr>
                <w:rFonts w:hint="eastAsia" w:ascii="宋体" w:hAnsi="宋体" w:cs="宋体"/>
                <w:color w:val="FF0000"/>
                <w:sz w:val="24"/>
              </w:rPr>
              <w:t>一台</w:t>
            </w:r>
            <w:r>
              <w:rPr>
                <w:rFonts w:hint="eastAsia" w:ascii="宋体" w:hAnsi="宋体" w:cs="宋体"/>
                <w:sz w:val="24"/>
              </w:rPr>
              <w:t>电脑可以使用最先进的</w:t>
            </w:r>
            <w:r>
              <w:rPr>
                <w:rFonts w:hint="eastAsia" w:ascii="宋体" w:hAnsi="宋体" w:cs="宋体"/>
                <w:color w:val="FF0000"/>
                <w:sz w:val="24"/>
              </w:rPr>
              <w:t>超级算法</w:t>
            </w:r>
            <w:r>
              <w:rPr>
                <w:rFonts w:hint="eastAsia" w:ascii="宋体" w:hAnsi="宋体" w:cs="宋体"/>
                <w:sz w:val="24"/>
              </w:rPr>
              <w:t>进行自动套料，提高套料利用率，提高套料效率。</w:t>
            </w:r>
            <w:r>
              <w:rPr>
                <w:rFonts w:hint="eastAsia" w:ascii="宋体" w:hAnsi="宋体" w:cs="宋体"/>
                <w:color w:val="EE0000"/>
                <w:sz w:val="24"/>
              </w:rPr>
              <w:br w:type="textWrapping"/>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color w:val="EE0000"/>
                <w:sz w:val="24"/>
              </w:rPr>
              <w:t>下料管理系位数 5个：保证至少5台电脑能同时打开统点下料管理系统。</w:t>
            </w:r>
          </w:p>
          <w:p w14:paraId="431ADEB8">
            <w:pPr>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与公司【云星空ERP】/【开目PLM】接口集成开发1套。</w:t>
            </w:r>
          </w:p>
          <w:p w14:paraId="78DF2350">
            <w:pPr>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现场实施服务 1套。</w:t>
            </w:r>
          </w:p>
          <w:p w14:paraId="6D19D14D">
            <w:pPr>
              <w:rPr>
                <w:rFonts w:hint="default" w:ascii="宋体" w:hAnsi="宋体" w:eastAsia="仿宋"/>
                <w:sz w:val="24"/>
                <w:szCs w:val="24"/>
                <w:lang w:val="en-US" w:eastAsia="zh-CN"/>
              </w:rPr>
            </w:pPr>
            <w:r>
              <w:rPr>
                <w:rFonts w:hint="eastAsia" w:ascii="宋体" w:hAnsi="宋体"/>
                <w:sz w:val="24"/>
                <w:szCs w:val="24"/>
                <w:lang w:val="en-US" w:eastAsia="zh-CN"/>
              </w:rPr>
              <w:t>（5）</w:t>
            </w:r>
            <w:r>
              <w:rPr>
                <w:rFonts w:hint="eastAsia" w:ascii="仿宋" w:hAnsi="仿宋" w:eastAsia="仿宋" w:cs="宋体"/>
                <w:b/>
                <w:kern w:val="0"/>
                <w:sz w:val="24"/>
                <w:szCs w:val="24"/>
              </w:rPr>
              <w:t>工业用触屏一体机</w:t>
            </w:r>
            <w:r>
              <w:rPr>
                <w:rFonts w:hint="eastAsia" w:ascii="仿宋" w:hAnsi="仿宋" w:eastAsia="仿宋" w:cs="宋体"/>
                <w:b/>
                <w:kern w:val="0"/>
                <w:sz w:val="24"/>
                <w:szCs w:val="24"/>
                <w:lang w:val="en-US" w:eastAsia="zh-CN"/>
              </w:rPr>
              <w:t>1台</w:t>
            </w:r>
            <w:r>
              <w:rPr>
                <w:rFonts w:hint="eastAsia" w:ascii="仿宋" w:hAnsi="仿宋" w:eastAsia="仿宋" w:cs="宋体"/>
                <w:b/>
                <w:kern w:val="0"/>
                <w:sz w:val="24"/>
                <w:szCs w:val="24"/>
                <w:lang w:eastAsia="zh-CN"/>
              </w:rPr>
              <w:t>（</w:t>
            </w:r>
            <w:r>
              <w:rPr>
                <w:rFonts w:hint="eastAsia" w:ascii="宋体" w:hAnsi="宋体" w:eastAsia="仿宋" w:cs="宋体"/>
                <w:kern w:val="0"/>
                <w:lang w:val="en-US" w:eastAsia="zh-CN"/>
              </w:rPr>
              <w:t>①</w:t>
            </w:r>
            <w:r>
              <w:rPr>
                <w:rFonts w:hint="eastAsia" w:ascii="宋体" w:hAnsi="宋体" w:cs="宋体"/>
                <w:kern w:val="0"/>
              </w:rPr>
              <w:t>封闭式/</w:t>
            </w:r>
            <w:r>
              <w:rPr>
                <w:rFonts w:ascii="宋体" w:hAnsi="宋体" w:cs="宋体"/>
                <w:kern w:val="0"/>
              </w:rPr>
              <w:t xml:space="preserve"> 17</w:t>
            </w:r>
            <w:r>
              <w:rPr>
                <w:rFonts w:hint="eastAsia" w:ascii="宋体" w:hAnsi="宋体" w:cs="宋体"/>
                <w:kern w:val="0"/>
              </w:rPr>
              <w:t>寸工业电容触摸屏</w:t>
            </w:r>
            <w:r>
              <w:rPr>
                <w:rFonts w:ascii="宋体" w:hAnsi="宋体" w:cs="宋体"/>
                <w:kern w:val="0"/>
              </w:rPr>
              <w:t>/I5</w:t>
            </w:r>
            <w:r>
              <w:rPr>
                <w:rFonts w:hint="eastAsia" w:ascii="宋体" w:hAnsi="宋体" w:cs="宋体"/>
                <w:kern w:val="0"/>
              </w:rPr>
              <w:t>四代</w:t>
            </w:r>
            <w:r>
              <w:rPr>
                <w:rFonts w:ascii="宋体" w:hAnsi="宋体" w:cs="宋体"/>
                <w:kern w:val="0"/>
              </w:rPr>
              <w:t>/16</w:t>
            </w:r>
            <w:r>
              <w:rPr>
                <w:rFonts w:hint="eastAsia" w:ascii="宋体" w:hAnsi="宋体" w:cs="宋体"/>
                <w:kern w:val="0"/>
              </w:rPr>
              <w:t>G内存</w:t>
            </w:r>
            <w:r>
              <w:rPr>
                <w:rFonts w:ascii="宋体" w:hAnsi="宋体" w:cs="宋体"/>
                <w:kern w:val="0"/>
              </w:rPr>
              <w:t>/256</w:t>
            </w:r>
            <w:r>
              <w:rPr>
                <w:rFonts w:hint="eastAsia" w:ascii="宋体" w:hAnsi="宋体" w:cs="宋体"/>
                <w:kern w:val="0"/>
              </w:rPr>
              <w:t>G固态硬盘</w:t>
            </w:r>
            <w:r>
              <w:rPr>
                <w:rFonts w:ascii="宋体" w:hAnsi="宋体" w:cs="宋体"/>
                <w:kern w:val="0"/>
              </w:rPr>
              <w:t>/WIFI/K</w:t>
            </w:r>
            <w:r>
              <w:rPr>
                <w:rFonts w:hint="eastAsia" w:ascii="宋体" w:hAnsi="宋体" w:cs="宋体"/>
                <w:kern w:val="0"/>
              </w:rPr>
              <w:t>型落地支架</w:t>
            </w:r>
            <w:r>
              <w:rPr>
                <w:rFonts w:hint="eastAsia" w:ascii="宋体" w:hAnsi="宋体" w:cs="宋体"/>
                <w:kern w:val="0"/>
                <w:lang w:eastAsia="zh-CN"/>
              </w:rPr>
              <w:t>。</w:t>
            </w:r>
            <w:r>
              <w:rPr>
                <w:rFonts w:hint="eastAsia" w:ascii="宋体" w:hAnsi="宋体" w:cs="宋体"/>
                <w:kern w:val="0"/>
                <w:lang w:val="en-US" w:eastAsia="zh-CN"/>
              </w:rPr>
              <w:t>②</w:t>
            </w:r>
            <w:r>
              <w:rPr>
                <w:rFonts w:hint="eastAsia" w:ascii="宋体" w:hAnsi="宋体" w:cs="宋体"/>
                <w:kern w:val="0"/>
              </w:rPr>
              <w:t>支持扫描功能：正确识别率不低于</w:t>
            </w:r>
            <w:r>
              <w:rPr>
                <w:rFonts w:ascii="宋体" w:hAnsi="宋体" w:cs="宋体"/>
                <w:kern w:val="0"/>
              </w:rPr>
              <w:t>99%</w:t>
            </w:r>
            <w:r>
              <w:rPr>
                <w:rFonts w:hint="eastAsia" w:ascii="宋体" w:hAnsi="宋体" w:cs="宋体"/>
                <w:kern w:val="0"/>
              </w:rPr>
              <w:t>；可读条码类别：条形码和二维码</w:t>
            </w:r>
            <w:r>
              <w:rPr>
                <w:rFonts w:hint="eastAsia" w:ascii="宋体" w:hAnsi="宋体" w:cs="宋体"/>
                <w:kern w:val="0"/>
                <w:lang w:eastAsia="zh-CN"/>
              </w:rPr>
              <w:t>。</w:t>
            </w:r>
            <w:r>
              <w:rPr>
                <w:rFonts w:hint="eastAsia" w:ascii="宋体" w:hAnsi="宋体" w:cs="宋体"/>
                <w:kern w:val="0"/>
                <w:lang w:val="en-US" w:eastAsia="zh-CN"/>
              </w:rPr>
              <w:t>③</w:t>
            </w:r>
            <w:r>
              <w:rPr>
                <w:rFonts w:hint="eastAsia" w:ascii="宋体" w:hAnsi="宋体" w:cs="宋体"/>
                <w:kern w:val="0"/>
              </w:rPr>
              <w:t>具有无线功能(5G)</w:t>
            </w:r>
            <w:r>
              <w:rPr>
                <w:rFonts w:hint="eastAsia" w:ascii="仿宋" w:hAnsi="仿宋" w:eastAsia="仿宋" w:cs="宋体"/>
                <w:b/>
                <w:kern w:val="0"/>
                <w:sz w:val="24"/>
                <w:szCs w:val="24"/>
                <w:lang w:eastAsia="zh-CN"/>
              </w:rPr>
              <w:t>）</w:t>
            </w:r>
            <w:r>
              <w:rPr>
                <w:rFonts w:hint="eastAsia" w:ascii="仿宋" w:hAnsi="仿宋" w:eastAsia="仿宋" w:cs="宋体"/>
                <w:b/>
                <w:kern w:val="0"/>
                <w:sz w:val="24"/>
                <w:szCs w:val="24"/>
                <w:lang w:val="en-US" w:eastAsia="zh-CN"/>
              </w:rPr>
              <w:t>，</w:t>
            </w:r>
            <w:r>
              <w:rPr>
                <w:rFonts w:hint="eastAsia" w:ascii="仿宋" w:hAnsi="仿宋" w:eastAsia="仿宋" w:cs="宋体"/>
                <w:b/>
                <w:kern w:val="0"/>
                <w:sz w:val="24"/>
                <w:szCs w:val="24"/>
              </w:rPr>
              <w:t>平板电脑/PDA</w:t>
            </w:r>
            <w:r>
              <w:rPr>
                <w:rFonts w:hint="eastAsia" w:ascii="仿宋" w:hAnsi="仿宋" w:eastAsia="仿宋" w:cs="宋体"/>
                <w:b/>
                <w:kern w:val="0"/>
                <w:sz w:val="24"/>
                <w:szCs w:val="24"/>
                <w:lang w:val="en-US" w:eastAsia="zh-CN"/>
              </w:rPr>
              <w:t>4台（</w:t>
            </w:r>
            <w:r>
              <w:rPr>
                <w:rFonts w:hint="eastAsia" w:ascii="宋体" w:hAnsi="宋体" w:cs="宋体"/>
                <w:kern w:val="0"/>
              </w:rPr>
              <w:t>全屏智能手持终端，</w:t>
            </w:r>
            <w:r>
              <w:rPr>
                <w:rFonts w:ascii="宋体" w:hAnsi="宋体" w:cs="宋体"/>
                <w:kern w:val="0"/>
              </w:rPr>
              <w:t>6.2</w:t>
            </w:r>
            <w:r>
              <w:rPr>
                <w:rFonts w:hint="eastAsia" w:ascii="宋体" w:hAnsi="宋体" w:cs="宋体"/>
                <w:kern w:val="0"/>
              </w:rPr>
              <w:t>英寸触摸屏（</w:t>
            </w:r>
            <w:r>
              <w:rPr>
                <w:rFonts w:ascii="宋体" w:hAnsi="宋体" w:cs="宋体"/>
                <w:kern w:val="0"/>
              </w:rPr>
              <w:t>1520 × 720</w:t>
            </w:r>
            <w:r>
              <w:rPr>
                <w:rFonts w:hint="eastAsia" w:ascii="宋体" w:hAnsi="宋体" w:cs="宋体"/>
                <w:kern w:val="0"/>
              </w:rPr>
              <w:t>，工业级电容屏），</w:t>
            </w:r>
            <w:r>
              <w:rPr>
                <w:rFonts w:ascii="宋体" w:hAnsi="宋体" w:cs="宋体"/>
                <w:kern w:val="0"/>
              </w:rPr>
              <w:t>Android 11</w:t>
            </w:r>
            <w:r>
              <w:rPr>
                <w:rFonts w:hint="eastAsia" w:ascii="宋体" w:hAnsi="宋体" w:cs="宋体"/>
                <w:kern w:val="0"/>
              </w:rPr>
              <w:t>，支持一维、二维码读取，</w:t>
            </w:r>
            <w:r>
              <w:rPr>
                <w:rFonts w:ascii="宋体" w:hAnsi="宋体" w:cs="宋体"/>
                <w:kern w:val="0"/>
              </w:rPr>
              <w:t>IP68</w:t>
            </w:r>
            <w:r>
              <w:rPr>
                <w:rFonts w:hint="eastAsia" w:ascii="宋体" w:hAnsi="宋体" w:cs="宋体"/>
                <w:kern w:val="0"/>
              </w:rPr>
              <w:t>防护等级；具有无线功能(5G)。</w:t>
            </w:r>
            <w:r>
              <w:rPr>
                <w:rFonts w:hint="eastAsia" w:ascii="仿宋" w:hAnsi="仿宋" w:eastAsia="仿宋" w:cs="宋体"/>
                <w:b/>
                <w:kern w:val="0"/>
                <w:sz w:val="24"/>
                <w:szCs w:val="24"/>
                <w:lang w:val="en-US" w:eastAsia="zh-CN"/>
              </w:rPr>
              <w:t>）（数量为预估，按实际数量结算）</w:t>
            </w:r>
          </w:p>
        </w:tc>
      </w:tr>
    </w:tbl>
    <w:p w14:paraId="6A663F00">
      <w:pPr>
        <w:pStyle w:val="51"/>
        <w:numPr>
          <w:ilvl w:val="0"/>
          <w:numId w:val="7"/>
        </w:numPr>
        <w:spacing w:before="240" w:beforeLines="100" w:line="360" w:lineRule="auto"/>
        <w:ind w:firstLineChars="0"/>
        <w:rPr>
          <w:rFonts w:hint="eastAsia" w:ascii="宋体" w:hAnsi="宋体" w:cs="宋体"/>
          <w:bCs/>
          <w:sz w:val="24"/>
        </w:rPr>
      </w:pPr>
      <w:r>
        <w:rPr>
          <w:rFonts w:hint="eastAsia" w:ascii="宋体" w:hAnsi="宋体" w:cs="宋体"/>
          <w:bCs/>
          <w:sz w:val="24"/>
        </w:rPr>
        <w:t>在实现所有功能的前提下，投标方提供的供货清单可与上述表格存在差异。</w:t>
      </w:r>
    </w:p>
    <w:p w14:paraId="6F8BDE08">
      <w:pPr>
        <w:pStyle w:val="51"/>
        <w:numPr>
          <w:ilvl w:val="0"/>
          <w:numId w:val="7"/>
        </w:numPr>
        <w:spacing w:before="240" w:beforeLines="100" w:line="360" w:lineRule="auto"/>
        <w:ind w:firstLineChars="0"/>
        <w:rPr>
          <w:rFonts w:hint="eastAsia" w:ascii="宋体" w:hAnsi="宋体" w:cs="宋体"/>
          <w:sz w:val="24"/>
        </w:rPr>
      </w:pPr>
      <w:r>
        <w:rPr>
          <w:rFonts w:hint="eastAsia" w:ascii="宋体" w:hAnsi="宋体" w:cs="宋体"/>
          <w:sz w:val="24"/>
        </w:rPr>
        <w:t>使用正版数据库软件或免费数据库软件（不得使用无授权或盗版数据库）</w:t>
      </w:r>
    </w:p>
    <w:p w14:paraId="63D1BC7C">
      <w:pPr>
        <w:pStyle w:val="51"/>
        <w:numPr>
          <w:ilvl w:val="0"/>
          <w:numId w:val="7"/>
        </w:numPr>
        <w:spacing w:before="240" w:beforeLines="100" w:line="360" w:lineRule="auto"/>
        <w:ind w:firstLineChars="0"/>
        <w:rPr>
          <w:rFonts w:hint="eastAsia" w:ascii="宋体" w:hAnsi="宋体" w:cs="宋体"/>
          <w:sz w:val="24"/>
        </w:rPr>
      </w:pPr>
      <w:r>
        <w:rPr>
          <w:rFonts w:hint="eastAsia" w:ascii="宋体" w:hAnsi="宋体" w:cs="宋体"/>
          <w:sz w:val="24"/>
        </w:rPr>
        <w:t>若有便用第三方软件或中间件，需取得授权（</w:t>
      </w:r>
      <w:r>
        <w:rPr>
          <w:rFonts w:hint="eastAsia" w:ascii="宋体" w:hAnsi="宋体" w:cs="宋体"/>
          <w:color w:val="EE0000"/>
          <w:sz w:val="24"/>
        </w:rPr>
        <w:t>使用开源软件或中间件需出具证明</w:t>
      </w:r>
      <w:r>
        <w:rPr>
          <w:rFonts w:hint="eastAsia" w:ascii="宋体" w:hAnsi="宋体" w:cs="宋体"/>
          <w:sz w:val="24"/>
        </w:rPr>
        <w:t>）</w:t>
      </w:r>
    </w:p>
    <w:p w14:paraId="0038CA53">
      <w:pPr>
        <w:pStyle w:val="51"/>
        <w:numPr>
          <w:ilvl w:val="0"/>
          <w:numId w:val="7"/>
        </w:numPr>
        <w:spacing w:before="240" w:beforeLines="100" w:line="360" w:lineRule="auto"/>
        <w:ind w:firstLineChars="0"/>
        <w:rPr>
          <w:rFonts w:hint="eastAsia" w:ascii="宋体" w:hAnsi="宋体" w:cs="宋体"/>
          <w:sz w:val="24"/>
        </w:rPr>
      </w:pPr>
      <w:r>
        <w:rPr>
          <w:rFonts w:hint="eastAsia" w:ascii="宋体" w:hAnsi="宋体" w:cs="宋体"/>
          <w:sz w:val="24"/>
        </w:rPr>
        <w:t>系统环境：</w:t>
      </w:r>
      <w:r>
        <w:rPr>
          <w:rFonts w:hint="eastAsia" w:ascii="宋体" w:hAnsi="宋体" w:eastAsia="宋体" w:cs="宋体"/>
          <w:sz w:val="24"/>
          <w:szCs w:val="20"/>
        </w:rPr>
        <w:t>最新Windows 或 Linux 或国产化操作系统。</w:t>
      </w:r>
    </w:p>
    <w:p w14:paraId="1DB68D7F">
      <w:pPr>
        <w:pStyle w:val="51"/>
        <w:numPr>
          <w:ilvl w:val="0"/>
          <w:numId w:val="7"/>
        </w:numPr>
        <w:spacing w:before="240" w:beforeLines="100" w:line="360" w:lineRule="auto"/>
        <w:ind w:firstLineChars="0"/>
        <w:rPr>
          <w:rFonts w:hint="eastAsia" w:ascii="宋体" w:hAnsi="宋体" w:cs="宋体"/>
          <w:bCs/>
          <w:sz w:val="24"/>
        </w:rPr>
      </w:pPr>
      <w:r>
        <w:rPr>
          <w:rFonts w:hint="eastAsia" w:ascii="宋体" w:hAnsi="宋体" w:cs="宋体"/>
          <w:bCs/>
          <w:sz w:val="24"/>
        </w:rPr>
        <w:t>软件基础要求：</w:t>
      </w:r>
    </w:p>
    <w:p w14:paraId="7F5F1594">
      <w:pPr>
        <w:spacing w:before="240" w:beforeLines="100" w:line="360" w:lineRule="auto"/>
        <w:ind w:firstLine="960" w:firstLineChars="400"/>
        <w:rPr>
          <w:rFonts w:hint="eastAsia" w:ascii="宋体" w:hAnsi="宋体" w:cs="宋体"/>
          <w:sz w:val="24"/>
        </w:rPr>
      </w:pPr>
      <w:r>
        <w:rPr>
          <w:rFonts w:hint="eastAsia" w:ascii="宋体" w:hAnsi="宋体" w:cs="宋体"/>
          <w:sz w:val="24"/>
        </w:rPr>
        <w:t>本地数据库（正版数据库软件）。</w:t>
      </w:r>
    </w:p>
    <w:p w14:paraId="7DCBD230">
      <w:pPr>
        <w:pStyle w:val="51"/>
        <w:numPr>
          <w:ilvl w:val="0"/>
          <w:numId w:val="7"/>
        </w:numPr>
        <w:spacing w:before="240" w:beforeLines="100" w:line="360" w:lineRule="auto"/>
        <w:ind w:firstLineChars="0"/>
        <w:rPr>
          <w:rFonts w:hint="eastAsia" w:ascii="宋体" w:hAnsi="宋体" w:cs="宋体"/>
          <w:bCs/>
          <w:sz w:val="24"/>
        </w:rPr>
      </w:pPr>
      <w:r>
        <w:rPr>
          <w:rFonts w:hint="eastAsia" w:ascii="宋体" w:hAnsi="宋体" w:cs="宋体"/>
          <w:bCs/>
          <w:sz w:val="24"/>
        </w:rPr>
        <w:t>软件使用及操作说明书若干套（包含软件说明书，操作手册，问题清册），培训</w:t>
      </w:r>
      <w:r>
        <w:rPr>
          <w:rFonts w:ascii="宋体" w:hAnsi="宋体" w:cs="宋体"/>
          <w:bCs/>
          <w:sz w:val="24"/>
        </w:rPr>
        <w:t>1</w:t>
      </w:r>
      <w:r>
        <w:rPr>
          <w:rFonts w:hint="eastAsia" w:ascii="宋体" w:hAnsi="宋体" w:cs="宋体"/>
          <w:bCs/>
          <w:sz w:val="24"/>
        </w:rPr>
        <w:t>套（培训工时不指定，需要培训到套料员熟练使用软件）。</w:t>
      </w:r>
    </w:p>
    <w:p w14:paraId="0F4B6C5C">
      <w:pPr>
        <w:numPr>
          <w:ilvl w:val="0"/>
          <w:numId w:val="0"/>
        </w:numPr>
        <w:tabs>
          <w:tab w:val="left" w:pos="0"/>
          <w:tab w:val="left" w:pos="420"/>
          <w:tab w:val="left" w:pos="630"/>
        </w:tabs>
        <w:spacing w:after="0"/>
        <w:ind w:left="360" w:leftChars="0" w:hanging="360" w:firstLineChars="0"/>
        <w:rPr>
          <w:rFonts w:hint="eastAsia" w:ascii="宋体" w:hAnsi="宋体"/>
          <w:sz w:val="24"/>
          <w:szCs w:val="24"/>
        </w:rPr>
      </w:pPr>
      <w:r>
        <w:rPr>
          <w:rFonts w:hint="eastAsia" w:ascii="宋体" w:hAnsi="宋体" w:cs="Times New Roman"/>
          <w:kern w:val="2"/>
          <w:sz w:val="24"/>
          <w:szCs w:val="24"/>
          <w:lang w:val="en-US" w:eastAsia="zh-CN" w:bidi="ar-SA"/>
        </w:rPr>
        <w:t>2</w:t>
      </w:r>
      <w:r>
        <w:rPr>
          <w:rFonts w:hint="default" w:ascii="宋体" w:hAnsi="宋体" w:eastAsia="宋体" w:cs="Times New Roman"/>
          <w:kern w:val="2"/>
          <w:sz w:val="24"/>
          <w:szCs w:val="24"/>
          <w:lang w:val="en-US" w:eastAsia="zh-CN" w:bidi="ar-SA"/>
        </w:rPr>
        <w:t>、</w:t>
      </w:r>
      <w:r>
        <w:rPr>
          <w:rFonts w:hint="eastAsia" w:ascii="宋体" w:hAnsi="宋体"/>
          <w:sz w:val="24"/>
          <w:szCs w:val="24"/>
        </w:rPr>
        <w:t>功能要求</w:t>
      </w:r>
    </w:p>
    <w:p w14:paraId="5B88AEB5">
      <w:pPr>
        <w:spacing w:before="240" w:beforeLines="100" w:line="360" w:lineRule="auto"/>
        <w:ind w:firstLine="480" w:firstLineChars="200"/>
        <w:rPr>
          <w:sz w:val="24"/>
          <w:szCs w:val="24"/>
        </w:rPr>
      </w:pPr>
      <w:r>
        <w:rPr>
          <w:rFonts w:hint="eastAsia"/>
          <w:sz w:val="24"/>
          <w:szCs w:val="24"/>
        </w:rPr>
        <w:t>此要求提出了基本且必须的技术要求，但并不一定对所有技术细节做出规定，未提及的投标方应保证提供符合或优于基本要求，并要求在满足或优于基本的技术要求的情况下，对本项目的技术细节做出详细说明方案。</w:t>
      </w:r>
    </w:p>
    <w:p w14:paraId="25A332D1">
      <w:pPr>
        <w:spacing w:before="240" w:beforeLines="100" w:line="360" w:lineRule="auto"/>
        <w:ind w:firstLine="480" w:firstLineChars="200"/>
        <w:rPr>
          <w:sz w:val="24"/>
          <w:szCs w:val="24"/>
        </w:rPr>
      </w:pPr>
      <w:r>
        <w:rPr>
          <w:rFonts w:hint="eastAsia"/>
          <w:sz w:val="24"/>
          <w:szCs w:val="24"/>
        </w:rPr>
        <w:t>下料管理系统</w:t>
      </w:r>
    </w:p>
    <w:p w14:paraId="00E14655">
      <w:r>
        <w:rPr>
          <w:rFonts w:hint="eastAsia" w:ascii="宋体" w:hAnsi="宋体"/>
        </w:rPr>
        <w:t>2.1</w:t>
      </w:r>
      <w:r>
        <w:rPr>
          <w:rFonts w:hint="eastAsia"/>
        </w:rPr>
        <w:t xml:space="preserve"> 套料软件功能符合性</w:t>
      </w:r>
    </w:p>
    <w:p w14:paraId="5D53EC84">
      <w:pPr>
        <w:pStyle w:val="51"/>
        <w:numPr>
          <w:ilvl w:val="0"/>
          <w:numId w:val="8"/>
        </w:numPr>
        <w:spacing w:after="0" w:line="360" w:lineRule="auto"/>
        <w:ind w:left="920" w:leftChars="0" w:hanging="440" w:firstLineChars="0"/>
        <w:rPr>
          <w:rFonts w:hint="eastAsia" w:ascii="宋体" w:hAnsi="宋体" w:eastAsia="宋体" w:cs="宋体"/>
          <w:sz w:val="24"/>
        </w:rPr>
      </w:pPr>
      <w:r>
        <w:rPr>
          <w:rFonts w:hint="eastAsia" w:ascii="宋体" w:hAnsi="宋体" w:eastAsia="宋体" w:cs="宋体"/>
          <w:sz w:val="24"/>
        </w:rPr>
        <w:t>套料软件输出的切割代码能够</w:t>
      </w:r>
      <w:bookmarkStart w:id="191" w:name="OLE_LINK1"/>
      <w:r>
        <w:rPr>
          <w:rFonts w:hint="eastAsia" w:ascii="宋体" w:hAnsi="宋体" w:eastAsia="宋体" w:cs="宋体"/>
          <w:sz w:val="24"/>
        </w:rPr>
        <w:t>支持“第四章 1.2 项目范围” 设备清单涉及的所有下料设备</w:t>
      </w:r>
      <w:bookmarkEnd w:id="191"/>
      <w:r>
        <w:rPr>
          <w:rFonts w:hint="eastAsia" w:ascii="宋体" w:hAnsi="宋体" w:eastAsia="宋体" w:cs="宋体"/>
          <w:sz w:val="24"/>
        </w:rPr>
        <w:t>。</w:t>
      </w:r>
    </w:p>
    <w:p w14:paraId="77A56249">
      <w:pPr>
        <w:pStyle w:val="51"/>
        <w:numPr>
          <w:ilvl w:val="0"/>
          <w:numId w:val="8"/>
        </w:numPr>
        <w:spacing w:after="0" w:line="360" w:lineRule="auto"/>
        <w:ind w:left="920" w:leftChars="0" w:hanging="440" w:firstLineChars="0"/>
        <w:rPr>
          <w:rFonts w:hint="eastAsia" w:ascii="宋体" w:hAnsi="宋体" w:eastAsia="宋体" w:cs="宋体"/>
          <w:sz w:val="24"/>
        </w:rPr>
      </w:pPr>
      <w:r>
        <w:rPr>
          <w:rFonts w:hint="eastAsia" w:ascii="宋体" w:hAnsi="宋体" w:eastAsia="宋体" w:cs="宋体"/>
          <w:sz w:val="24"/>
        </w:rPr>
        <w:t>使用最先进的算法引擎自动套料，提高钢板利用率，减少人工成本。</w:t>
      </w:r>
    </w:p>
    <w:p w14:paraId="1EB88A20">
      <w:pPr>
        <w:rPr>
          <w:b/>
          <w:bCs/>
        </w:rPr>
      </w:pPr>
      <w:r>
        <w:rPr>
          <w:rFonts w:hint="eastAsia" w:cs="宋体"/>
          <w:b/>
          <w:bCs/>
          <w:sz w:val="24"/>
        </w:rPr>
        <w:t>★</w:t>
      </w:r>
      <w:r>
        <w:rPr>
          <w:rFonts w:hint="eastAsia" w:ascii="宋体" w:hAnsi="宋体"/>
          <w:b/>
          <w:bCs/>
        </w:rPr>
        <w:t xml:space="preserve">2.2 </w:t>
      </w:r>
      <w:r>
        <w:rPr>
          <w:rFonts w:hint="eastAsia"/>
          <w:b/>
          <w:bCs/>
        </w:rPr>
        <w:t>下料管理系统方案符合性</w:t>
      </w:r>
    </w:p>
    <w:p w14:paraId="2897ADFD">
      <w:pPr>
        <w:pStyle w:val="51"/>
        <w:numPr>
          <w:ilvl w:val="0"/>
          <w:numId w:val="9"/>
        </w:numPr>
        <w:spacing w:after="0" w:line="360" w:lineRule="auto"/>
        <w:ind w:left="920" w:leftChars="0" w:hanging="440" w:firstLineChars="0"/>
        <w:rPr>
          <w:rFonts w:hint="eastAsia" w:ascii="宋体" w:hAnsi="宋体" w:eastAsia="宋体" w:cs="宋体"/>
          <w:sz w:val="24"/>
        </w:rPr>
      </w:pPr>
      <w:r>
        <w:rPr>
          <w:rFonts w:hint="eastAsia" w:ascii="宋体" w:hAnsi="宋体" w:eastAsia="宋体" w:cs="宋体"/>
          <w:sz w:val="24"/>
        </w:rPr>
        <w:t>计划排产，齐套排产，完工预测</w:t>
      </w:r>
    </w:p>
    <w:p w14:paraId="5DFA9DDF">
      <w:pPr>
        <w:pStyle w:val="51"/>
        <w:spacing w:after="0" w:line="360" w:lineRule="auto"/>
        <w:ind w:left="920" w:firstLine="0" w:firstLineChars="0"/>
        <w:rPr>
          <w:rFonts w:hint="eastAsia" w:ascii="宋体" w:hAnsi="宋体" w:eastAsia="宋体" w:cs="宋体"/>
          <w:sz w:val="24"/>
        </w:rPr>
      </w:pPr>
      <w:r>
        <w:rPr>
          <w:rFonts w:hint="eastAsia" w:ascii="宋体" w:hAnsi="宋体" w:eastAsia="宋体" w:cs="宋体"/>
          <w:sz w:val="24"/>
        </w:rPr>
        <w:t>订单从ERP或MOM下发到下料管理系统后，下料管理系统可以</w:t>
      </w:r>
      <w:r>
        <w:rPr>
          <w:rFonts w:hint="eastAsia" w:ascii="宋体" w:hAnsi="宋体" w:eastAsia="宋体" w:cs="宋体"/>
          <w:color w:val="FF0000"/>
          <w:sz w:val="24"/>
        </w:rPr>
        <w:t>优化下料排产计划</w:t>
      </w:r>
      <w:r>
        <w:rPr>
          <w:rFonts w:hint="eastAsia" w:ascii="宋体" w:hAnsi="宋体" w:eastAsia="宋体" w:cs="宋体"/>
          <w:sz w:val="24"/>
        </w:rPr>
        <w:t>以便快速反馈完工预测供车间主任做下料计划指导。对于有齐套要求的下料件，</w:t>
      </w:r>
      <w:r>
        <w:rPr>
          <w:rFonts w:hint="eastAsia" w:ascii="宋体" w:hAnsi="宋体" w:eastAsia="宋体" w:cs="宋体"/>
          <w:color w:val="EE0000"/>
          <w:sz w:val="24"/>
          <w:highlight w:val="none"/>
          <w:lang w:val="en-US" w:eastAsia="zh-CN"/>
        </w:rPr>
        <w:t>典型零件</w:t>
      </w:r>
      <w:r>
        <w:rPr>
          <w:rFonts w:hint="eastAsia" w:ascii="宋体" w:hAnsi="宋体" w:eastAsia="宋体" w:cs="宋体"/>
          <w:color w:val="EE0000"/>
          <w:sz w:val="24"/>
          <w:highlight w:val="none"/>
        </w:rPr>
        <w:t>下料利用率提升不低于</w:t>
      </w:r>
      <w:r>
        <w:rPr>
          <w:rFonts w:hint="eastAsia" w:ascii="宋体" w:hAnsi="宋体" w:eastAsia="宋体" w:cs="宋体"/>
          <w:color w:val="EE0000"/>
          <w:sz w:val="24"/>
          <w:highlight w:val="none"/>
          <w:lang w:val="en-US" w:eastAsia="zh-CN"/>
        </w:rPr>
        <w:t>2.5</w:t>
      </w:r>
      <w:r>
        <w:rPr>
          <w:rFonts w:hint="eastAsia" w:ascii="宋体" w:hAnsi="宋体" w:eastAsia="宋体" w:cs="宋体"/>
          <w:color w:val="EE0000"/>
          <w:sz w:val="24"/>
          <w:highlight w:val="none"/>
        </w:rPr>
        <w:t>%</w:t>
      </w:r>
      <w:r>
        <w:rPr>
          <w:rFonts w:hint="eastAsia" w:ascii="宋体" w:hAnsi="宋体" w:eastAsia="宋体" w:cs="宋体"/>
          <w:color w:val="EE0000"/>
          <w:sz w:val="24"/>
          <w:highlight w:val="none"/>
          <w:lang w:eastAsia="zh-CN"/>
        </w:rPr>
        <w:t>（</w:t>
      </w:r>
      <w:r>
        <w:rPr>
          <w:rFonts w:hint="eastAsia" w:ascii="宋体" w:hAnsi="宋体" w:eastAsia="宋体" w:cs="宋体"/>
          <w:color w:val="EE0000"/>
          <w:sz w:val="24"/>
          <w:highlight w:val="none"/>
          <w:lang w:val="en-US" w:eastAsia="zh-CN"/>
        </w:rPr>
        <w:t>典型零件套料图详见附件</w:t>
      </w:r>
      <w:r>
        <w:rPr>
          <w:rFonts w:hint="eastAsia" w:ascii="宋体" w:hAnsi="宋体" w:eastAsia="宋体" w:cs="宋体"/>
          <w:color w:val="EE0000"/>
          <w:sz w:val="24"/>
          <w:highlight w:val="none"/>
          <w:lang w:eastAsia="zh-CN"/>
        </w:rPr>
        <w:t>）</w:t>
      </w:r>
      <w:r>
        <w:rPr>
          <w:rFonts w:hint="eastAsia" w:ascii="宋体" w:hAnsi="宋体" w:eastAsia="宋体" w:cs="宋体"/>
          <w:sz w:val="24"/>
        </w:rPr>
        <w:t>，可以齐套下料。</w:t>
      </w:r>
    </w:p>
    <w:p w14:paraId="7287617B">
      <w:pPr>
        <w:pStyle w:val="51"/>
        <w:numPr>
          <w:ilvl w:val="0"/>
          <w:numId w:val="10"/>
        </w:numPr>
        <w:spacing w:after="0" w:line="360" w:lineRule="auto"/>
        <w:ind w:firstLineChars="0"/>
        <w:rPr>
          <w:rFonts w:hint="eastAsia" w:ascii="宋体" w:hAnsi="宋体" w:eastAsia="宋体" w:cs="宋体"/>
          <w:sz w:val="24"/>
        </w:rPr>
      </w:pPr>
      <w:r>
        <w:rPr>
          <w:rFonts w:hint="eastAsia" w:ascii="宋体" w:hAnsi="宋体" w:eastAsia="宋体" w:cs="宋体"/>
          <w:sz w:val="24"/>
        </w:rPr>
        <w:t>钢板仓储管理（含余料管理）</w:t>
      </w:r>
    </w:p>
    <w:p w14:paraId="4EB393FC">
      <w:pPr>
        <w:pStyle w:val="51"/>
        <w:spacing w:after="0" w:line="360" w:lineRule="auto"/>
        <w:ind w:left="920" w:firstLine="0" w:firstLineChars="0"/>
        <w:rPr>
          <w:rFonts w:hint="eastAsia" w:ascii="宋体" w:hAnsi="宋体" w:eastAsia="宋体" w:cs="宋体"/>
          <w:sz w:val="24"/>
        </w:rPr>
      </w:pPr>
      <w:r>
        <w:rPr>
          <w:rFonts w:hint="eastAsia" w:ascii="宋体" w:hAnsi="宋体" w:eastAsia="宋体" w:cs="宋体"/>
          <w:sz w:val="24"/>
        </w:rPr>
        <w:t>完整高效的钢板仓储管理方案，包含钢板入库、出库、库位管理等。余料产生后记录并保存，下次作业被高效利用。</w:t>
      </w:r>
    </w:p>
    <w:p w14:paraId="5A40FE64">
      <w:pPr>
        <w:pStyle w:val="51"/>
        <w:numPr>
          <w:ilvl w:val="0"/>
          <w:numId w:val="10"/>
        </w:numPr>
        <w:spacing w:after="0" w:line="360" w:lineRule="auto"/>
        <w:ind w:firstLineChars="0"/>
        <w:rPr>
          <w:rFonts w:hint="eastAsia" w:ascii="宋体" w:hAnsi="宋体" w:eastAsia="宋体" w:cs="宋体"/>
          <w:sz w:val="24"/>
        </w:rPr>
      </w:pPr>
      <w:r>
        <w:rPr>
          <w:rFonts w:hint="eastAsia" w:ascii="宋体" w:hAnsi="宋体" w:eastAsia="宋体" w:cs="宋体"/>
          <w:sz w:val="24"/>
        </w:rPr>
        <w:t>图纸管理</w:t>
      </w:r>
    </w:p>
    <w:p w14:paraId="0A6C25FD">
      <w:pPr>
        <w:pStyle w:val="51"/>
        <w:spacing w:after="0" w:line="360" w:lineRule="auto"/>
        <w:ind w:left="920" w:firstLine="0" w:firstLineChars="0"/>
        <w:rPr>
          <w:rFonts w:hint="eastAsia" w:ascii="宋体" w:hAnsi="宋体" w:eastAsia="宋体" w:cs="宋体"/>
          <w:sz w:val="24"/>
        </w:rPr>
      </w:pPr>
      <w:r>
        <w:rPr>
          <w:rFonts w:hint="eastAsia" w:ascii="宋体" w:hAnsi="宋体" w:eastAsia="宋体" w:cs="宋体"/>
          <w:sz w:val="24"/>
        </w:rPr>
        <w:t>下料图纸从PLM下发到下料管理系统后，下料管理系统具备保存图纸以及BOM关系及工艺路线等功能。供套料或生产随时调用。</w:t>
      </w:r>
    </w:p>
    <w:p w14:paraId="71F9FE59">
      <w:pPr>
        <w:pStyle w:val="51"/>
        <w:numPr>
          <w:ilvl w:val="0"/>
          <w:numId w:val="10"/>
        </w:numPr>
        <w:spacing w:after="0" w:line="360" w:lineRule="auto"/>
        <w:ind w:firstLineChars="0"/>
        <w:rPr>
          <w:rFonts w:hint="eastAsia" w:ascii="宋体" w:hAnsi="宋体" w:eastAsia="宋体" w:cs="宋体"/>
          <w:sz w:val="24"/>
        </w:rPr>
      </w:pPr>
      <w:r>
        <w:rPr>
          <w:rFonts w:hint="eastAsia" w:ascii="宋体" w:hAnsi="宋体" w:eastAsia="宋体" w:cs="宋体"/>
          <w:sz w:val="24"/>
        </w:rPr>
        <w:t>套料管理</w:t>
      </w:r>
    </w:p>
    <w:p w14:paraId="1E9F9951">
      <w:pPr>
        <w:pStyle w:val="51"/>
        <w:spacing w:after="0" w:line="360" w:lineRule="auto"/>
        <w:ind w:left="920" w:firstLine="0" w:firstLineChars="0"/>
        <w:rPr>
          <w:rFonts w:hint="eastAsia" w:ascii="宋体" w:hAnsi="宋体" w:eastAsia="宋体" w:cs="宋体"/>
          <w:sz w:val="24"/>
        </w:rPr>
      </w:pPr>
      <w:r>
        <w:rPr>
          <w:rFonts w:hint="eastAsia" w:ascii="宋体" w:hAnsi="宋体" w:eastAsia="宋体" w:cs="宋体"/>
          <w:sz w:val="24"/>
        </w:rPr>
        <w:t>下料管理系统能够根据零件特征或工艺路线等信息，自动分配下料切割设备，支持零件在设备间手动调配。套料员申领任务后，进行混套、齐套或其他指定方式套料。套料考虑通用件。套料进度实时在</w:t>
      </w:r>
      <w:r>
        <w:rPr>
          <w:rFonts w:hint="eastAsia" w:ascii="宋体" w:hAnsi="宋体" w:eastAsia="宋体" w:cs="宋体"/>
          <w:color w:val="FF0000"/>
          <w:sz w:val="24"/>
        </w:rPr>
        <w:t>看板系统实时</w:t>
      </w:r>
      <w:r>
        <w:rPr>
          <w:rFonts w:hint="eastAsia" w:ascii="宋体" w:hAnsi="宋体" w:eastAsia="宋体" w:cs="宋体"/>
          <w:sz w:val="24"/>
        </w:rPr>
        <w:t>反应。</w:t>
      </w:r>
    </w:p>
    <w:p w14:paraId="6BC96B00">
      <w:pPr>
        <w:pStyle w:val="51"/>
        <w:numPr>
          <w:ilvl w:val="0"/>
          <w:numId w:val="10"/>
        </w:numPr>
        <w:spacing w:after="0" w:line="360" w:lineRule="auto"/>
        <w:ind w:firstLineChars="0"/>
        <w:rPr>
          <w:rFonts w:hint="eastAsia" w:ascii="宋体" w:hAnsi="宋体" w:eastAsia="宋体" w:cs="宋体"/>
          <w:sz w:val="24"/>
        </w:rPr>
      </w:pPr>
      <w:r>
        <w:rPr>
          <w:rFonts w:hint="eastAsia" w:ascii="宋体" w:hAnsi="宋体" w:eastAsia="宋体" w:cs="宋体"/>
          <w:sz w:val="24"/>
        </w:rPr>
        <w:t>车间管理</w:t>
      </w:r>
    </w:p>
    <w:p w14:paraId="291AD025">
      <w:pPr>
        <w:pStyle w:val="51"/>
        <w:spacing w:after="0" w:line="360" w:lineRule="auto"/>
        <w:ind w:left="920" w:firstLine="0" w:firstLineChars="0"/>
        <w:rPr>
          <w:rFonts w:hint="eastAsia" w:ascii="宋体" w:hAnsi="宋体" w:eastAsia="宋体" w:cs="宋体"/>
          <w:sz w:val="24"/>
        </w:rPr>
      </w:pPr>
      <w:r>
        <w:rPr>
          <w:rFonts w:hint="eastAsia" w:ascii="宋体" w:hAnsi="宋体" w:eastAsia="宋体" w:cs="宋体"/>
          <w:sz w:val="24"/>
        </w:rPr>
        <w:t>套料完成后，程序经系统下发到设备切割。切割完后</w:t>
      </w:r>
      <w:r>
        <w:rPr>
          <w:rFonts w:hint="eastAsia" w:ascii="宋体" w:hAnsi="宋体" w:eastAsia="宋体" w:cs="宋体"/>
          <w:color w:val="FF0000"/>
          <w:sz w:val="24"/>
        </w:rPr>
        <w:t>现场报工</w:t>
      </w:r>
      <w:r>
        <w:rPr>
          <w:rFonts w:hint="eastAsia" w:ascii="宋体" w:hAnsi="宋体" w:eastAsia="宋体" w:cs="宋体"/>
          <w:sz w:val="24"/>
        </w:rPr>
        <w:t>，缺损件有快速补料措施。</w:t>
      </w:r>
    </w:p>
    <w:p w14:paraId="04AFD9B6">
      <w:pPr>
        <w:pStyle w:val="51"/>
        <w:numPr>
          <w:ilvl w:val="0"/>
          <w:numId w:val="10"/>
        </w:numPr>
        <w:spacing w:after="0" w:line="360" w:lineRule="auto"/>
        <w:ind w:firstLineChars="0"/>
        <w:rPr>
          <w:rFonts w:hint="eastAsia" w:ascii="宋体" w:hAnsi="宋体" w:eastAsia="宋体" w:cs="宋体"/>
          <w:sz w:val="24"/>
        </w:rPr>
      </w:pPr>
      <w:r>
        <w:rPr>
          <w:rFonts w:hint="eastAsia" w:ascii="宋体" w:hAnsi="宋体" w:eastAsia="宋体" w:cs="宋体"/>
          <w:sz w:val="24"/>
        </w:rPr>
        <w:t>生产过程追踪</w:t>
      </w:r>
    </w:p>
    <w:p w14:paraId="693FCC6B">
      <w:pPr>
        <w:pStyle w:val="51"/>
        <w:spacing w:after="0" w:line="360" w:lineRule="auto"/>
        <w:ind w:left="920" w:firstLine="0" w:firstLineChars="0"/>
        <w:rPr>
          <w:rFonts w:hint="eastAsia" w:ascii="宋体" w:hAnsi="宋体" w:eastAsia="宋体" w:cs="宋体"/>
          <w:sz w:val="24"/>
        </w:rPr>
      </w:pPr>
      <w:r>
        <w:rPr>
          <w:rFonts w:hint="eastAsia" w:ascii="宋体" w:hAnsi="宋体" w:eastAsia="宋体" w:cs="宋体"/>
          <w:sz w:val="24"/>
        </w:rPr>
        <w:t>生产进度看板能够实时监控各零件的加工状态、完成情况。生产完工后，如遇到质量问题需要追溯，可以通过不同维度，快速查看该零件相关的</w:t>
      </w:r>
      <w:r>
        <w:rPr>
          <w:rFonts w:hint="eastAsia" w:ascii="宋体" w:hAnsi="宋体" w:eastAsia="宋体" w:cs="宋体"/>
          <w:color w:val="FF0000"/>
          <w:sz w:val="24"/>
        </w:rPr>
        <w:t>包扣但不限于</w:t>
      </w:r>
      <w:r>
        <w:rPr>
          <w:rFonts w:hint="eastAsia" w:ascii="宋体" w:hAnsi="宋体" w:eastAsia="宋体" w:cs="宋体"/>
          <w:sz w:val="24"/>
        </w:rPr>
        <w:t>在订单号、切割的钢板编号炉批号等相关信息。</w:t>
      </w:r>
    </w:p>
    <w:p w14:paraId="4F9212A4">
      <w:pPr>
        <w:pStyle w:val="51"/>
        <w:numPr>
          <w:ilvl w:val="0"/>
          <w:numId w:val="10"/>
        </w:numPr>
        <w:spacing w:after="0" w:line="360" w:lineRule="auto"/>
        <w:ind w:firstLineChars="0"/>
        <w:rPr>
          <w:rFonts w:hint="eastAsia" w:ascii="宋体" w:hAnsi="宋体" w:eastAsia="宋体" w:cs="宋体"/>
          <w:sz w:val="24"/>
        </w:rPr>
      </w:pPr>
      <w:r>
        <w:rPr>
          <w:rFonts w:hint="eastAsia" w:ascii="宋体" w:hAnsi="宋体" w:eastAsia="宋体" w:cs="宋体"/>
          <w:sz w:val="24"/>
        </w:rPr>
        <w:t>系统集成</w:t>
      </w:r>
    </w:p>
    <w:p w14:paraId="31E1FB64">
      <w:pPr>
        <w:pStyle w:val="51"/>
        <w:spacing w:after="0" w:line="360" w:lineRule="auto"/>
        <w:ind w:left="920" w:firstLine="0" w:firstLineChars="0"/>
        <w:rPr>
          <w:rFonts w:hint="eastAsia" w:ascii="宋体" w:hAnsi="宋体" w:eastAsia="宋体" w:cs="宋体"/>
          <w:sz w:val="24"/>
        </w:rPr>
      </w:pPr>
      <w:r>
        <w:rPr>
          <w:rFonts w:hint="eastAsia" w:ascii="宋体" w:hAnsi="宋体" w:eastAsia="宋体" w:cs="宋体"/>
          <w:sz w:val="24"/>
        </w:rPr>
        <w:t>与云星空ERP/开目PLM/MOM通过API接口实现数据</w:t>
      </w:r>
      <w:r>
        <w:rPr>
          <w:rFonts w:hint="eastAsia" w:ascii="宋体" w:hAnsi="宋体" w:eastAsia="宋体" w:cs="宋体"/>
          <w:color w:val="FF0000"/>
          <w:sz w:val="24"/>
        </w:rPr>
        <w:t>双向交互</w:t>
      </w:r>
      <w:r>
        <w:rPr>
          <w:rFonts w:hint="eastAsia" w:ascii="宋体" w:hAnsi="宋体" w:eastAsia="宋体" w:cs="宋体"/>
          <w:sz w:val="24"/>
        </w:rPr>
        <w:t>，主要的交互数据</w:t>
      </w:r>
      <w:r>
        <w:rPr>
          <w:rFonts w:hint="eastAsia" w:ascii="宋体" w:hAnsi="宋体" w:eastAsia="宋体" w:cs="宋体"/>
          <w:color w:val="FF0000"/>
          <w:sz w:val="24"/>
        </w:rPr>
        <w:t>包扣但不限于以下数据</w:t>
      </w:r>
      <w:r>
        <w:rPr>
          <w:rFonts w:hint="eastAsia" w:ascii="宋体" w:hAnsi="宋体" w:eastAsia="宋体" w:cs="宋体"/>
          <w:sz w:val="24"/>
        </w:rPr>
        <w:t>：下料计划数据、钢板物料数据、下料零件图纸数据、下料完工报工数据。</w:t>
      </w:r>
    </w:p>
    <w:p w14:paraId="4575EEB0">
      <w:pPr>
        <w:pStyle w:val="51"/>
        <w:numPr>
          <w:ilvl w:val="0"/>
          <w:numId w:val="10"/>
        </w:numPr>
        <w:spacing w:after="0" w:line="360" w:lineRule="auto"/>
        <w:ind w:firstLineChars="0"/>
        <w:rPr>
          <w:rFonts w:hint="eastAsia" w:ascii="宋体" w:hAnsi="宋体" w:eastAsia="宋体" w:cs="宋体"/>
          <w:sz w:val="24"/>
        </w:rPr>
      </w:pPr>
      <w:r>
        <w:rPr>
          <w:rFonts w:hint="eastAsia" w:ascii="宋体" w:hAnsi="宋体" w:eastAsia="宋体" w:cs="宋体"/>
          <w:sz w:val="24"/>
        </w:rPr>
        <w:t>下料设备数据采集及反馈</w:t>
      </w:r>
    </w:p>
    <w:p w14:paraId="5852BB17">
      <w:pPr>
        <w:pStyle w:val="51"/>
        <w:spacing w:after="0" w:line="360" w:lineRule="auto"/>
        <w:ind w:left="920" w:firstLine="0" w:firstLineChars="0"/>
        <w:rPr>
          <w:rFonts w:hint="eastAsia" w:ascii="宋体" w:hAnsi="宋体" w:eastAsia="宋体" w:cs="宋体"/>
          <w:sz w:val="24"/>
        </w:rPr>
      </w:pPr>
      <w:r>
        <w:rPr>
          <w:rFonts w:hint="eastAsia" w:ascii="宋体" w:hAnsi="宋体" w:eastAsia="宋体" w:cs="宋体"/>
          <w:sz w:val="24"/>
        </w:rPr>
        <w:t>能够对“第四章 1.2 项目范围” 设备清单涉及的所有下料设备进行采集，并在下料管理系统中实时显示每台设备的状态。</w:t>
      </w:r>
    </w:p>
    <w:p w14:paraId="78E0436F">
      <w:pPr>
        <w:rPr>
          <w:rFonts w:hint="eastAsia" w:ascii="宋体" w:hAnsi="宋体"/>
        </w:rPr>
      </w:pPr>
      <w:r>
        <w:rPr>
          <w:rFonts w:hint="eastAsia" w:ascii="宋体" w:hAnsi="宋体"/>
        </w:rPr>
        <w:t>2.3 其他要求</w:t>
      </w:r>
    </w:p>
    <w:p w14:paraId="4E87F09C">
      <w:pPr>
        <w:spacing w:line="360" w:lineRule="auto"/>
        <w:ind w:firstLine="480"/>
        <w:rPr>
          <w:rFonts w:hint="eastAsia" w:ascii="宋体" w:hAnsi="宋体"/>
          <w:bCs/>
          <w:sz w:val="24"/>
          <w:szCs w:val="24"/>
        </w:rPr>
      </w:pPr>
      <w:r>
        <w:rPr>
          <w:rFonts w:hint="eastAsia" w:ascii="宋体" w:hAnsi="宋体"/>
          <w:bCs/>
          <w:sz w:val="24"/>
          <w:szCs w:val="24"/>
        </w:rPr>
        <w:t>系统应该具有：平台一体化可集成性、可配置性、可适应性、可扩展性和可靠性等要求，具体要求如下：</w:t>
      </w:r>
      <w:r>
        <w:rPr>
          <w:rFonts w:ascii="宋体" w:hAnsi="宋体"/>
          <w:bCs/>
          <w:sz w:val="24"/>
          <w:szCs w:val="24"/>
        </w:rPr>
        <w:t xml:space="preserve"> </w:t>
      </w:r>
    </w:p>
    <w:p w14:paraId="5026711B">
      <w:pPr>
        <w:pStyle w:val="51"/>
        <w:numPr>
          <w:ilvl w:val="0"/>
          <w:numId w:val="11"/>
        </w:numPr>
        <w:spacing w:after="0" w:line="360" w:lineRule="auto"/>
        <w:ind w:left="920" w:leftChars="0" w:hanging="440" w:firstLineChars="0"/>
        <w:rPr>
          <w:rFonts w:hint="eastAsia" w:ascii="宋体" w:hAnsi="宋体" w:eastAsia="宋体" w:cs="宋体"/>
          <w:sz w:val="24"/>
        </w:rPr>
      </w:pPr>
      <w:r>
        <w:rPr>
          <w:rFonts w:hint="eastAsia" w:ascii="宋体" w:hAnsi="宋体" w:eastAsia="宋体" w:cs="宋体"/>
          <w:sz w:val="24"/>
        </w:rPr>
        <w:t>采用一体化软件平台：</w:t>
      </w:r>
    </w:p>
    <w:p w14:paraId="6DCDE9E1">
      <w:pPr>
        <w:pStyle w:val="51"/>
        <w:spacing w:line="360" w:lineRule="auto"/>
        <w:ind w:left="720" w:firstLine="0" w:firstLineChars="0"/>
        <w:rPr>
          <w:rFonts w:hint="eastAsia" w:ascii="宋体" w:hAnsi="宋体" w:eastAsia="宋体"/>
          <w:bCs/>
          <w:sz w:val="24"/>
        </w:rPr>
      </w:pPr>
      <w:r>
        <w:rPr>
          <w:rFonts w:hint="eastAsia" w:ascii="宋体" w:hAnsi="宋体" w:eastAsia="宋体"/>
          <w:bCs/>
          <w:sz w:val="24"/>
        </w:rPr>
        <w:t>为了满足生产管理业务的全部功能需求，保证系统可灵活扩展，减少实施后期维护成本，系统建议采用一体化的平台工具进行开发，具体要求如下：</w:t>
      </w:r>
    </w:p>
    <w:p w14:paraId="0F924B1C">
      <w:pPr>
        <w:spacing w:line="360" w:lineRule="auto"/>
        <w:ind w:firstLine="720" w:firstLineChars="300"/>
        <w:rPr>
          <w:rFonts w:hint="eastAsia" w:ascii="宋体" w:hAnsi="宋体"/>
          <w:bCs/>
          <w:sz w:val="24"/>
          <w:szCs w:val="24"/>
        </w:rPr>
      </w:pPr>
      <w:r>
        <w:rPr>
          <w:rFonts w:hint="eastAsia" w:ascii="宋体" w:hAnsi="宋体"/>
          <w:bCs/>
          <w:sz w:val="24"/>
          <w:szCs w:val="24"/>
        </w:rPr>
        <w:t>开发语言：使用主流的开发语言。</w:t>
      </w:r>
    </w:p>
    <w:p w14:paraId="7A583A13">
      <w:pPr>
        <w:spacing w:line="360" w:lineRule="auto"/>
        <w:ind w:firstLine="720" w:firstLineChars="300"/>
        <w:rPr>
          <w:rFonts w:hint="eastAsia" w:ascii="宋体" w:hAnsi="宋体"/>
          <w:bCs/>
          <w:color w:val="EE0000"/>
          <w:sz w:val="24"/>
          <w:szCs w:val="24"/>
        </w:rPr>
      </w:pPr>
      <w:r>
        <w:rPr>
          <w:rFonts w:hint="eastAsia" w:ascii="宋体" w:hAnsi="宋体"/>
          <w:bCs/>
          <w:color w:val="EE0000"/>
          <w:sz w:val="24"/>
          <w:szCs w:val="24"/>
        </w:rPr>
        <w:t>功能全面：系统功能需求中的模块都能在同一软件平台系统上实现，避免信息在多个平台之间传输。</w:t>
      </w:r>
    </w:p>
    <w:p w14:paraId="25B8E0FE">
      <w:pPr>
        <w:pStyle w:val="51"/>
        <w:spacing w:line="360" w:lineRule="auto"/>
        <w:ind w:left="720" w:firstLine="0" w:firstLineChars="0"/>
        <w:rPr>
          <w:rFonts w:hint="eastAsia" w:ascii="宋体" w:hAnsi="宋体" w:eastAsia="宋体"/>
          <w:bCs/>
          <w:sz w:val="24"/>
        </w:rPr>
      </w:pPr>
      <w:r>
        <w:rPr>
          <w:rFonts w:hint="eastAsia" w:ascii="宋体" w:hAnsi="宋体" w:eastAsia="宋体"/>
          <w:bCs/>
          <w:sz w:val="24"/>
        </w:rPr>
        <w:t>架构开放：统一采用组件模块化的软件构架体系，提供开放式的API接口，开发人员有权限可以自行完成下料管理系统与企业内部系统相关系统过的整合。</w:t>
      </w:r>
    </w:p>
    <w:p w14:paraId="409C2DF1">
      <w:pPr>
        <w:pStyle w:val="51"/>
        <w:spacing w:line="360" w:lineRule="auto"/>
        <w:ind w:left="720" w:firstLine="0" w:firstLineChars="0"/>
        <w:rPr>
          <w:rFonts w:hint="eastAsia" w:ascii="宋体" w:hAnsi="宋体" w:eastAsia="宋体"/>
          <w:bCs/>
          <w:sz w:val="24"/>
        </w:rPr>
      </w:pPr>
      <w:r>
        <w:rPr>
          <w:rFonts w:hint="eastAsia" w:ascii="宋体" w:hAnsi="宋体" w:eastAsia="宋体"/>
          <w:bCs/>
          <w:sz w:val="24"/>
        </w:rPr>
        <w:t>数据共用：各功能模块的数据储存在同一数据库，同一业务数据的维护只有唯一录入和维护的入口，以保证数据的唯一性。</w:t>
      </w:r>
    </w:p>
    <w:p w14:paraId="429B3CD5">
      <w:pPr>
        <w:pStyle w:val="51"/>
        <w:spacing w:line="360" w:lineRule="auto"/>
        <w:ind w:left="720" w:firstLine="0" w:firstLineChars="0"/>
        <w:rPr>
          <w:rFonts w:hint="eastAsia" w:ascii="宋体" w:hAnsi="宋体" w:eastAsia="宋体"/>
          <w:bCs/>
          <w:sz w:val="24"/>
        </w:rPr>
      </w:pPr>
      <w:r>
        <w:rPr>
          <w:rFonts w:hint="eastAsia" w:ascii="宋体" w:hAnsi="宋体" w:eastAsia="宋体"/>
          <w:bCs/>
          <w:sz w:val="24"/>
        </w:rPr>
        <w:t>集中授权：所有功能授权方式一致，账号及密码具有唯一性。</w:t>
      </w:r>
    </w:p>
    <w:p w14:paraId="58799FC1">
      <w:pPr>
        <w:pStyle w:val="51"/>
        <w:numPr>
          <w:ilvl w:val="0"/>
          <w:numId w:val="11"/>
        </w:numPr>
        <w:spacing w:after="0" w:line="360" w:lineRule="auto"/>
        <w:ind w:left="920" w:leftChars="0" w:hanging="440" w:firstLineChars="0"/>
        <w:rPr>
          <w:rFonts w:hint="eastAsia" w:ascii="宋体" w:hAnsi="宋体" w:eastAsia="宋体" w:cs="宋体"/>
          <w:sz w:val="24"/>
        </w:rPr>
      </w:pPr>
      <w:r>
        <w:rPr>
          <w:rFonts w:hint="eastAsia" w:ascii="宋体" w:hAnsi="宋体" w:eastAsia="宋体" w:cs="宋体"/>
          <w:sz w:val="24"/>
        </w:rPr>
        <w:t>系统的界面统一：</w:t>
      </w:r>
    </w:p>
    <w:p w14:paraId="4CF289ED">
      <w:pPr>
        <w:pStyle w:val="51"/>
        <w:spacing w:line="360" w:lineRule="auto"/>
        <w:ind w:left="720" w:firstLine="0" w:firstLineChars="0"/>
        <w:rPr>
          <w:rFonts w:hint="eastAsia" w:ascii="宋体" w:hAnsi="宋体" w:eastAsia="宋体"/>
          <w:bCs/>
          <w:sz w:val="24"/>
        </w:rPr>
      </w:pPr>
      <w:r>
        <w:rPr>
          <w:rFonts w:hint="eastAsia" w:ascii="宋体" w:hAnsi="宋体" w:eastAsia="宋体"/>
          <w:bCs/>
          <w:sz w:val="24"/>
        </w:rPr>
        <w:t>采用一个登录入口，操作界面要求简单直观、布局合理，界面风格统一，符合招标方公司的UI风格，包括Logo、背景、窗体、菜单、图标、按钮、字体等风格保持统一，并且其颜色、大小、样式保持统一。</w:t>
      </w:r>
    </w:p>
    <w:p w14:paraId="0FA228A2">
      <w:pPr>
        <w:pStyle w:val="51"/>
        <w:numPr>
          <w:ilvl w:val="0"/>
          <w:numId w:val="11"/>
        </w:numPr>
        <w:spacing w:after="0" w:line="360" w:lineRule="auto"/>
        <w:ind w:left="920" w:leftChars="0" w:hanging="440" w:firstLineChars="0"/>
        <w:rPr>
          <w:rFonts w:hint="eastAsia" w:ascii="宋体" w:hAnsi="宋体" w:eastAsia="宋体" w:cs="宋体"/>
          <w:sz w:val="24"/>
        </w:rPr>
      </w:pPr>
      <w:r>
        <w:rPr>
          <w:rFonts w:hint="eastAsia" w:ascii="宋体" w:hAnsi="宋体" w:eastAsia="宋体" w:cs="宋体"/>
          <w:sz w:val="24"/>
        </w:rPr>
        <w:t>系统可靠性：</w:t>
      </w:r>
    </w:p>
    <w:p w14:paraId="5AFD9907">
      <w:pPr>
        <w:pStyle w:val="51"/>
        <w:spacing w:line="360" w:lineRule="auto"/>
        <w:ind w:left="720" w:firstLine="0" w:firstLineChars="0"/>
        <w:rPr>
          <w:rFonts w:hint="eastAsia" w:ascii="宋体" w:hAnsi="宋体" w:eastAsia="宋体"/>
          <w:bCs/>
          <w:sz w:val="24"/>
        </w:rPr>
      </w:pPr>
      <w:r>
        <w:rPr>
          <w:rFonts w:hint="eastAsia" w:ascii="宋体" w:hAnsi="宋体" w:eastAsia="宋体"/>
          <w:bCs/>
          <w:sz w:val="24"/>
        </w:rPr>
        <w:t>系统需提供成熟可靠的数据备份方法，服务器由甲方提供超融合架构，乙方负责实际部署。在安全方面，系统必须具有统一的权限管理中心，能够对每一个角色、每一个字段、每一个动作、每一类型的业务、每一个模块等设置不同的权限;</w:t>
      </w:r>
      <w:r>
        <w:rPr>
          <w:rFonts w:hint="eastAsia" w:ascii="宋体" w:hAnsi="宋体" w:eastAsia="宋体"/>
          <w:bCs/>
          <w:color w:val="FF0000"/>
          <w:sz w:val="24"/>
        </w:rPr>
        <w:t>所有操作必须要有日志记录</w:t>
      </w:r>
      <w:r>
        <w:rPr>
          <w:rFonts w:hint="eastAsia" w:ascii="宋体" w:hAnsi="宋体" w:eastAsia="宋体"/>
          <w:bCs/>
          <w:sz w:val="24"/>
        </w:rPr>
        <w:t>。系统不得出现卡顿、崩溃等严重影响用户使用的情况。</w:t>
      </w:r>
    </w:p>
    <w:p w14:paraId="4DE49B00">
      <w:pPr>
        <w:pStyle w:val="51"/>
        <w:numPr>
          <w:ilvl w:val="0"/>
          <w:numId w:val="11"/>
        </w:numPr>
        <w:spacing w:after="0" w:line="360" w:lineRule="auto"/>
        <w:ind w:left="920" w:leftChars="0" w:hanging="440" w:firstLineChars="0"/>
        <w:rPr>
          <w:rFonts w:hint="eastAsia" w:ascii="宋体" w:hAnsi="宋体" w:eastAsia="宋体" w:cs="宋体"/>
          <w:sz w:val="24"/>
        </w:rPr>
      </w:pPr>
      <w:r>
        <w:rPr>
          <w:rFonts w:hint="eastAsia" w:ascii="宋体" w:hAnsi="宋体" w:eastAsia="宋体" w:cs="宋体"/>
          <w:sz w:val="24"/>
        </w:rPr>
        <w:t>易于管理和操作：</w:t>
      </w:r>
    </w:p>
    <w:p w14:paraId="561B39B2">
      <w:pPr>
        <w:pStyle w:val="51"/>
        <w:spacing w:line="360" w:lineRule="auto"/>
        <w:ind w:left="720" w:firstLine="0" w:firstLineChars="0"/>
        <w:rPr>
          <w:rFonts w:hint="eastAsia" w:ascii="宋体" w:hAnsi="宋体" w:eastAsia="宋体"/>
          <w:bCs/>
          <w:sz w:val="24"/>
        </w:rPr>
      </w:pPr>
      <w:r>
        <w:rPr>
          <w:rFonts w:hint="eastAsia" w:ascii="宋体" w:hAnsi="宋体" w:eastAsia="宋体"/>
          <w:bCs/>
          <w:sz w:val="24"/>
        </w:rPr>
        <w:t>充分考虑行业现有的人员状况和传统习惯，系统要做到界面友好、易于理解、易于管理、易于操作等。</w:t>
      </w:r>
    </w:p>
    <w:p w14:paraId="6D8154AD">
      <w:pPr>
        <w:pStyle w:val="51"/>
        <w:numPr>
          <w:ilvl w:val="0"/>
          <w:numId w:val="11"/>
        </w:numPr>
        <w:spacing w:after="0" w:line="360" w:lineRule="auto"/>
        <w:ind w:left="920" w:leftChars="0" w:hanging="440" w:firstLineChars="0"/>
        <w:rPr>
          <w:rFonts w:hint="eastAsia" w:ascii="宋体" w:hAnsi="宋体" w:eastAsia="宋体" w:cs="宋体"/>
          <w:sz w:val="24"/>
        </w:rPr>
      </w:pPr>
      <w:r>
        <w:rPr>
          <w:rFonts w:hint="eastAsia" w:ascii="宋体" w:hAnsi="宋体" w:eastAsia="宋体" w:cs="宋体"/>
          <w:sz w:val="24"/>
        </w:rPr>
        <w:t>支持主流数据库：</w:t>
      </w:r>
    </w:p>
    <w:p w14:paraId="159A6A16">
      <w:pPr>
        <w:pStyle w:val="51"/>
        <w:spacing w:line="360" w:lineRule="auto"/>
        <w:ind w:left="720" w:firstLine="0" w:firstLineChars="0"/>
        <w:rPr>
          <w:rFonts w:hint="eastAsia" w:ascii="宋体" w:hAnsi="宋体" w:eastAsia="宋体"/>
          <w:bCs/>
          <w:sz w:val="24"/>
        </w:rPr>
      </w:pPr>
      <w:r>
        <w:rPr>
          <w:rFonts w:hint="eastAsia" w:ascii="宋体" w:hAnsi="宋体" w:eastAsia="宋体"/>
          <w:bCs/>
          <w:sz w:val="24"/>
        </w:rPr>
        <w:t>由于可能会涉及到多样化的数据库，所以系统要能够支持主流数据库，支持Windows、Linux系统部署。</w:t>
      </w:r>
    </w:p>
    <w:p w14:paraId="5FE47D92">
      <w:pPr>
        <w:pStyle w:val="51"/>
        <w:numPr>
          <w:ilvl w:val="0"/>
          <w:numId w:val="11"/>
        </w:numPr>
        <w:spacing w:after="0" w:line="360" w:lineRule="auto"/>
        <w:ind w:left="920" w:leftChars="0" w:hanging="440" w:firstLineChars="0"/>
        <w:rPr>
          <w:rFonts w:hint="eastAsia" w:ascii="宋体" w:hAnsi="宋体" w:eastAsia="宋体" w:cs="宋体"/>
          <w:sz w:val="24"/>
        </w:rPr>
      </w:pPr>
      <w:r>
        <w:rPr>
          <w:rFonts w:hint="eastAsia" w:ascii="宋体" w:hAnsi="宋体" w:eastAsia="宋体" w:cs="宋体"/>
          <w:sz w:val="24"/>
        </w:rPr>
        <w:t>运行环境要求：</w:t>
      </w:r>
    </w:p>
    <w:p w14:paraId="5BB230FD">
      <w:pPr>
        <w:pStyle w:val="51"/>
        <w:spacing w:line="360" w:lineRule="auto"/>
        <w:ind w:left="720" w:firstLine="0" w:firstLineChars="0"/>
        <w:rPr>
          <w:rFonts w:hint="eastAsia" w:ascii="宋体" w:hAnsi="宋体" w:eastAsia="宋体"/>
          <w:bCs/>
          <w:sz w:val="24"/>
        </w:rPr>
      </w:pPr>
      <w:r>
        <w:rPr>
          <w:rFonts w:hint="eastAsia" w:ascii="宋体" w:hAnsi="宋体" w:eastAsia="宋体"/>
          <w:bCs/>
          <w:sz w:val="24"/>
        </w:rPr>
        <w:t>系统软件架构：套料模块采用C/S架构，下料管理系统采购C/S或B/S架构。采用主流数据库，如：</w:t>
      </w:r>
      <w:r>
        <w:rPr>
          <w:rFonts w:ascii="宋体" w:hAnsi="宋体" w:eastAsia="宋体"/>
          <w:bCs/>
          <w:sz w:val="24"/>
        </w:rPr>
        <w:t>MySQL</w:t>
      </w:r>
      <w:r>
        <w:rPr>
          <w:rFonts w:hint="eastAsia" w:ascii="宋体" w:hAnsi="宋体" w:eastAsia="宋体"/>
          <w:bCs/>
          <w:sz w:val="24"/>
        </w:rPr>
        <w:t>、MS Sqlserver、Oracle等，支持Windows、Linux系统部署。</w:t>
      </w:r>
      <w:r>
        <w:rPr>
          <w:rFonts w:hint="eastAsia" w:ascii="宋体" w:hAnsi="宋体" w:eastAsia="宋体"/>
          <w:bCs/>
          <w:sz w:val="24"/>
        </w:rPr>
        <w:cr/>
      </w:r>
      <w:r>
        <w:rPr>
          <w:rFonts w:hint="eastAsia" w:ascii="宋体" w:hAnsi="宋体" w:eastAsia="宋体"/>
          <w:bCs/>
          <w:sz w:val="24"/>
        </w:rPr>
        <w:t xml:space="preserve">软硬件配置：Windows </w:t>
      </w:r>
      <w:r>
        <w:rPr>
          <w:rFonts w:ascii="宋体" w:hAnsi="宋体" w:eastAsia="宋体"/>
          <w:bCs/>
          <w:sz w:val="24"/>
        </w:rPr>
        <w:t>10</w:t>
      </w:r>
      <w:r>
        <w:rPr>
          <w:rFonts w:hint="eastAsia" w:ascii="宋体" w:hAnsi="宋体" w:eastAsia="宋体"/>
          <w:bCs/>
          <w:sz w:val="24"/>
        </w:rPr>
        <w:t xml:space="preserve">及以上系统运行环境。 </w:t>
      </w:r>
    </w:p>
    <w:p w14:paraId="5E0E49C7">
      <w:pPr>
        <w:pStyle w:val="51"/>
        <w:spacing w:line="360" w:lineRule="auto"/>
        <w:ind w:left="720" w:firstLine="0" w:firstLineChars="0"/>
        <w:rPr>
          <w:rFonts w:hint="eastAsia" w:ascii="宋体" w:hAnsi="宋体" w:eastAsia="宋体"/>
          <w:bCs/>
          <w:sz w:val="24"/>
        </w:rPr>
      </w:pPr>
      <w:r>
        <w:rPr>
          <w:rFonts w:hint="eastAsia" w:ascii="宋体" w:hAnsi="宋体" w:eastAsia="宋体"/>
          <w:bCs/>
          <w:sz w:val="24"/>
        </w:rPr>
        <w:t>提供服务器部署方案：提供部署架构、部署方案，可满足定时备份。</w:t>
      </w:r>
    </w:p>
    <w:p w14:paraId="65313866">
      <w:pPr>
        <w:numPr>
          <w:ilvl w:val="0"/>
          <w:numId w:val="6"/>
        </w:numPr>
        <w:adjustRightInd w:val="0"/>
        <w:snapToGrid w:val="0"/>
        <w:spacing w:line="360" w:lineRule="auto"/>
        <w:outlineLvl w:val="1"/>
        <w:rPr>
          <w:rFonts w:cs="宋体"/>
          <w:bCs/>
          <w:sz w:val="24"/>
          <w:szCs w:val="24"/>
        </w:rPr>
      </w:pPr>
      <w:bookmarkStart w:id="192" w:name="_Toc8899"/>
      <w:bookmarkStart w:id="193" w:name="_Toc21658"/>
      <w:r>
        <w:rPr>
          <w:rFonts w:hint="eastAsia" w:cs="宋体"/>
          <w:bCs/>
          <w:sz w:val="24"/>
          <w:szCs w:val="24"/>
        </w:rPr>
        <w:t>系统验收标准及方式</w:t>
      </w:r>
      <w:bookmarkEnd w:id="192"/>
      <w:bookmarkEnd w:id="193"/>
    </w:p>
    <w:p w14:paraId="2C4D8A7B">
      <w:pPr>
        <w:pStyle w:val="51"/>
        <w:numPr>
          <w:ilvl w:val="0"/>
          <w:numId w:val="12"/>
        </w:numPr>
        <w:spacing w:after="0" w:line="360" w:lineRule="auto"/>
        <w:ind w:left="920" w:leftChars="0" w:hanging="440" w:firstLineChars="0"/>
        <w:rPr>
          <w:rFonts w:hint="eastAsia" w:ascii="宋体" w:hAnsi="宋体" w:eastAsia="宋体" w:cs="宋体"/>
          <w:sz w:val="24"/>
        </w:rPr>
      </w:pPr>
      <w:r>
        <w:rPr>
          <w:rFonts w:hint="eastAsia" w:ascii="宋体" w:hAnsi="宋体" w:eastAsia="宋体" w:cs="宋体"/>
          <w:sz w:val="24"/>
        </w:rPr>
        <w:t>测试与验收机构</w:t>
      </w:r>
    </w:p>
    <w:p w14:paraId="35C659F7">
      <w:pPr>
        <w:pStyle w:val="51"/>
        <w:spacing w:line="440" w:lineRule="exact"/>
        <w:ind w:left="420" w:firstLine="0" w:firstLineChars="0"/>
        <w:rPr>
          <w:rFonts w:hint="eastAsia" w:ascii="宋体" w:hAnsi="宋体" w:eastAsia="宋体" w:cs="宋体"/>
          <w:sz w:val="24"/>
        </w:rPr>
      </w:pPr>
      <w:r>
        <w:rPr>
          <w:rFonts w:hint="eastAsia" w:ascii="宋体" w:hAnsi="宋体" w:eastAsia="宋体" w:cs="宋体"/>
          <w:sz w:val="24"/>
        </w:rPr>
        <w:t>项目结束之后由投标人与招标人共同组织项目的预验收（初验）。试运行阶段结束后，由招标人组织成立验收组对项目进行正式验收。</w:t>
      </w:r>
    </w:p>
    <w:p w14:paraId="157624EF">
      <w:pPr>
        <w:pStyle w:val="51"/>
        <w:numPr>
          <w:ilvl w:val="0"/>
          <w:numId w:val="12"/>
        </w:numPr>
        <w:spacing w:after="0" w:line="360" w:lineRule="auto"/>
        <w:ind w:left="920" w:leftChars="0" w:hanging="440" w:firstLineChars="0"/>
        <w:rPr>
          <w:rFonts w:hint="eastAsia" w:ascii="宋体" w:hAnsi="宋体" w:eastAsia="宋体" w:cs="宋体"/>
          <w:sz w:val="24"/>
        </w:rPr>
      </w:pPr>
      <w:r>
        <w:rPr>
          <w:rFonts w:hint="eastAsia" w:ascii="宋体" w:hAnsi="宋体" w:eastAsia="宋体" w:cs="宋体"/>
          <w:sz w:val="24"/>
        </w:rPr>
        <w:t>测试与验收方案</w:t>
      </w:r>
    </w:p>
    <w:p w14:paraId="7073B43F">
      <w:pPr>
        <w:pStyle w:val="51"/>
        <w:spacing w:line="440" w:lineRule="exact"/>
        <w:ind w:left="420" w:firstLine="0" w:firstLineChars="0"/>
        <w:rPr>
          <w:rFonts w:hint="eastAsia" w:ascii="宋体" w:hAnsi="宋体" w:eastAsia="宋体" w:cs="宋体"/>
          <w:sz w:val="24"/>
        </w:rPr>
      </w:pPr>
      <w:r>
        <w:rPr>
          <w:rFonts w:hint="eastAsia" w:ascii="宋体" w:hAnsi="宋体" w:eastAsia="宋体" w:cs="宋体"/>
          <w:sz w:val="24"/>
        </w:rPr>
        <w:t>项目验收组审核和批准投标人编制的验收测试方案后，并监督验收测试的过程。测试内容包括：数据内容、数据精度、系统安全、系统功能与性能、操作性与易用性。</w:t>
      </w:r>
    </w:p>
    <w:p w14:paraId="21D6C368">
      <w:pPr>
        <w:pStyle w:val="51"/>
        <w:numPr>
          <w:ilvl w:val="0"/>
          <w:numId w:val="12"/>
        </w:numPr>
        <w:spacing w:after="0" w:line="360" w:lineRule="auto"/>
        <w:ind w:left="920" w:leftChars="0" w:hanging="440" w:firstLineChars="0"/>
        <w:rPr>
          <w:rFonts w:hint="eastAsia" w:ascii="宋体" w:hAnsi="宋体" w:eastAsia="宋体" w:cs="宋体"/>
          <w:sz w:val="24"/>
        </w:rPr>
      </w:pPr>
      <w:r>
        <w:rPr>
          <w:rFonts w:hint="eastAsia" w:ascii="宋体" w:hAnsi="宋体" w:eastAsia="宋体" w:cs="宋体"/>
          <w:sz w:val="24"/>
        </w:rPr>
        <w:t>系统试运行</w:t>
      </w:r>
    </w:p>
    <w:p w14:paraId="4713439F">
      <w:pPr>
        <w:pStyle w:val="51"/>
        <w:spacing w:line="440" w:lineRule="exact"/>
        <w:ind w:left="420" w:firstLine="0" w:firstLineChars="0"/>
        <w:rPr>
          <w:rFonts w:hint="eastAsia" w:ascii="宋体" w:hAnsi="宋体" w:eastAsia="宋体" w:cs="宋体"/>
          <w:sz w:val="24"/>
        </w:rPr>
      </w:pPr>
      <w:r>
        <w:rPr>
          <w:rFonts w:hint="eastAsia" w:ascii="宋体" w:hAnsi="宋体" w:eastAsia="宋体" w:cs="宋体"/>
          <w:sz w:val="24"/>
        </w:rPr>
        <w:t>数据库及软件系统预验收合格签字之日起三个月，为本数据库及软件系统的试运行期。</w:t>
      </w:r>
    </w:p>
    <w:p w14:paraId="4916189B">
      <w:pPr>
        <w:pStyle w:val="51"/>
        <w:spacing w:line="440" w:lineRule="exact"/>
        <w:ind w:left="420" w:firstLine="0" w:firstLineChars="0"/>
        <w:rPr>
          <w:rFonts w:hint="eastAsia" w:ascii="宋体" w:hAnsi="宋体" w:eastAsia="宋体" w:cs="宋体"/>
          <w:sz w:val="24"/>
        </w:rPr>
      </w:pPr>
    </w:p>
    <w:p w14:paraId="6FBAD716">
      <w:pPr>
        <w:adjustRightInd w:val="0"/>
        <w:snapToGrid w:val="0"/>
        <w:spacing w:line="360" w:lineRule="auto"/>
        <w:outlineLvl w:val="1"/>
        <w:rPr>
          <w:rFonts w:cs="宋体"/>
          <w:b/>
          <w:bCs/>
          <w:sz w:val="24"/>
          <w:szCs w:val="24"/>
        </w:rPr>
      </w:pPr>
      <w:bookmarkStart w:id="194" w:name="_Toc19867"/>
      <w:bookmarkStart w:id="195" w:name="_Toc10010"/>
      <w:r>
        <w:rPr>
          <w:rFonts w:hint="eastAsia" w:cs="宋体"/>
          <w:b/>
          <w:bCs/>
          <w:sz w:val="24"/>
          <w:szCs w:val="24"/>
        </w:rPr>
        <w:t>三、技术培训</w:t>
      </w:r>
      <w:bookmarkEnd w:id="194"/>
      <w:bookmarkEnd w:id="195"/>
    </w:p>
    <w:p w14:paraId="6DDA4C98">
      <w:pPr>
        <w:pStyle w:val="51"/>
        <w:numPr>
          <w:ilvl w:val="0"/>
          <w:numId w:val="13"/>
        </w:numPr>
        <w:spacing w:after="0" w:line="360" w:lineRule="auto"/>
        <w:ind w:left="635" w:leftChars="0" w:hanging="425" w:firstLineChars="0"/>
        <w:rPr>
          <w:rFonts w:hint="eastAsia" w:ascii="宋体" w:hAnsi="宋体" w:eastAsia="宋体" w:cs="宋体"/>
          <w:sz w:val="24"/>
        </w:rPr>
      </w:pPr>
      <w:r>
        <w:rPr>
          <w:rFonts w:hint="eastAsia" w:ascii="宋体" w:hAnsi="宋体" w:eastAsia="宋体" w:cs="宋体"/>
          <w:sz w:val="24"/>
        </w:rPr>
        <w:t>投标人必须制定培训计划，培训计划须经双方签署认可。培训计划中应明确项目实施过程中每一阶段的培训对象、培训内容、培训教材、培训时间、授课人员及进度安排。</w:t>
      </w:r>
    </w:p>
    <w:p w14:paraId="6AB948BF">
      <w:pPr>
        <w:pStyle w:val="51"/>
        <w:numPr>
          <w:ilvl w:val="0"/>
          <w:numId w:val="13"/>
        </w:numPr>
        <w:spacing w:after="0" w:line="360" w:lineRule="auto"/>
        <w:ind w:left="635" w:leftChars="0" w:hanging="425" w:firstLineChars="0"/>
        <w:rPr>
          <w:rFonts w:hint="eastAsia" w:ascii="宋体" w:hAnsi="宋体" w:eastAsia="宋体" w:cs="宋体"/>
          <w:sz w:val="24"/>
        </w:rPr>
      </w:pPr>
      <w:r>
        <w:rPr>
          <w:rFonts w:hint="eastAsia" w:ascii="宋体" w:hAnsi="宋体" w:eastAsia="宋体" w:cs="宋体"/>
          <w:sz w:val="24"/>
        </w:rPr>
        <w:t>投标人应提供不低于</w:t>
      </w:r>
      <w:r>
        <w:rPr>
          <w:rFonts w:hint="eastAsia" w:ascii="宋体" w:hAnsi="宋体" w:eastAsia="宋体" w:cs="宋体"/>
          <w:b/>
          <w:bCs/>
          <w:color w:val="EE0000"/>
          <w:sz w:val="24"/>
        </w:rPr>
        <w:t>15</w:t>
      </w:r>
      <w:r>
        <w:rPr>
          <w:rFonts w:hint="eastAsia" w:ascii="宋体" w:hAnsi="宋体" w:eastAsia="宋体" w:cs="宋体"/>
          <w:sz w:val="24"/>
        </w:rPr>
        <w:t>天的下料管理系统操作培训，保证招标人技术人员熟练掌握全新的软件操作。</w:t>
      </w:r>
    </w:p>
    <w:p w14:paraId="6128A605">
      <w:pPr>
        <w:pStyle w:val="51"/>
        <w:numPr>
          <w:ilvl w:val="0"/>
          <w:numId w:val="13"/>
        </w:numPr>
        <w:spacing w:after="0" w:line="360" w:lineRule="auto"/>
        <w:ind w:left="635" w:leftChars="0" w:hanging="425" w:firstLineChars="0"/>
        <w:rPr>
          <w:rFonts w:hint="eastAsia" w:ascii="宋体" w:hAnsi="宋体" w:eastAsia="宋体" w:cs="宋体"/>
          <w:sz w:val="24"/>
        </w:rPr>
      </w:pPr>
      <w:r>
        <w:rPr>
          <w:rFonts w:hint="eastAsia" w:ascii="宋体" w:hAnsi="宋体" w:eastAsia="宋体" w:cs="宋体"/>
          <w:sz w:val="24"/>
        </w:rPr>
        <w:t>对系统管理及维护人员进行系统配置、维护和管理的培训，保证能够管理和维护应用系统，独立解决系统用户在日常应用中的常见问题，熟练进行系统配置。</w:t>
      </w:r>
    </w:p>
    <w:p w14:paraId="6F75F776">
      <w:pPr>
        <w:pStyle w:val="51"/>
        <w:numPr>
          <w:ilvl w:val="0"/>
          <w:numId w:val="13"/>
        </w:numPr>
        <w:spacing w:after="0" w:line="360" w:lineRule="auto"/>
        <w:ind w:left="635" w:leftChars="0" w:hanging="425" w:firstLineChars="0"/>
        <w:rPr>
          <w:rFonts w:hint="eastAsia" w:ascii="宋体" w:hAnsi="宋体" w:eastAsia="宋体" w:cs="宋体"/>
          <w:sz w:val="24"/>
        </w:rPr>
      </w:pPr>
      <w:r>
        <w:rPr>
          <w:rFonts w:hint="eastAsia" w:ascii="宋体" w:hAnsi="宋体" w:eastAsia="宋体" w:cs="宋体"/>
          <w:sz w:val="24"/>
        </w:rPr>
        <w:t>对具体操作人员进行相应功能模块的使用培训，保证能够独立地使用系统，并进行相关功能的操作。</w:t>
      </w:r>
    </w:p>
    <w:p w14:paraId="1BA36E6B">
      <w:pPr>
        <w:pStyle w:val="51"/>
        <w:numPr>
          <w:ilvl w:val="0"/>
          <w:numId w:val="13"/>
        </w:numPr>
        <w:spacing w:after="0" w:line="360" w:lineRule="auto"/>
        <w:ind w:left="635" w:leftChars="0" w:hanging="425" w:firstLineChars="0"/>
        <w:rPr>
          <w:rFonts w:hint="eastAsia" w:ascii="宋体" w:hAnsi="宋体" w:eastAsia="宋体" w:cs="宋体"/>
          <w:sz w:val="24"/>
        </w:rPr>
      </w:pPr>
      <w:r>
        <w:rPr>
          <w:rFonts w:hint="eastAsia" w:ascii="宋体" w:hAnsi="宋体" w:eastAsia="宋体" w:cs="宋体"/>
          <w:sz w:val="24"/>
        </w:rPr>
        <w:t>提供的培训教材应完整成套，并结合实际应用编制，必须采用简体中文编写。</w:t>
      </w:r>
    </w:p>
    <w:p w14:paraId="67CFBEC8">
      <w:pPr>
        <w:pStyle w:val="3"/>
        <w:rPr>
          <w:rFonts w:hint="eastAsia"/>
        </w:rPr>
      </w:pPr>
    </w:p>
    <w:p w14:paraId="27D6FC8A">
      <w:pPr>
        <w:adjustRightInd w:val="0"/>
        <w:snapToGrid w:val="0"/>
        <w:spacing w:line="360" w:lineRule="auto"/>
        <w:outlineLvl w:val="1"/>
        <w:rPr>
          <w:rFonts w:cs="宋体"/>
          <w:sz w:val="24"/>
          <w:szCs w:val="24"/>
        </w:rPr>
      </w:pPr>
      <w:bookmarkStart w:id="196" w:name="_Toc10866"/>
      <w:bookmarkStart w:id="197" w:name="_Toc17567"/>
      <w:r>
        <w:rPr>
          <w:rFonts w:hint="eastAsia" w:cs="宋体"/>
          <w:b/>
          <w:bCs/>
          <w:sz w:val="24"/>
          <w:szCs w:val="24"/>
        </w:rPr>
        <w:t>四、交货及售后服务</w:t>
      </w:r>
      <w:bookmarkEnd w:id="196"/>
      <w:bookmarkEnd w:id="197"/>
    </w:p>
    <w:p w14:paraId="7DA2F399">
      <w:pPr>
        <w:adjustRightInd w:val="0"/>
        <w:snapToGrid w:val="0"/>
        <w:spacing w:line="360" w:lineRule="auto"/>
        <w:ind w:firstLine="482" w:firstLineChars="200"/>
        <w:rPr>
          <w:rFonts w:cs="宋体"/>
          <w:b/>
          <w:bCs/>
          <w:color w:val="000000" w:themeColor="text1"/>
          <w:sz w:val="24"/>
          <w:szCs w:val="24"/>
          <w14:textFill>
            <w14:solidFill>
              <w14:schemeClr w14:val="tx1"/>
            </w14:solidFill>
          </w14:textFill>
        </w:rPr>
      </w:pPr>
      <w:r>
        <w:rPr>
          <w:rFonts w:hint="eastAsia" w:cs="宋体"/>
          <w:b/>
          <w:bCs/>
          <w:sz w:val="24"/>
          <w:szCs w:val="24"/>
        </w:rPr>
        <w:t>★1、本</w:t>
      </w:r>
      <w:r>
        <w:rPr>
          <w:rFonts w:hint="eastAsia" w:cs="宋体"/>
          <w:b/>
          <w:bCs/>
          <w:color w:val="000000" w:themeColor="text1"/>
          <w:sz w:val="24"/>
          <w:szCs w:val="24"/>
          <w14:textFill>
            <w14:solidFill>
              <w14:schemeClr w14:val="tx1"/>
            </w14:solidFill>
          </w14:textFill>
        </w:rPr>
        <w:t>次招标为交钥匙工程，除</w:t>
      </w:r>
      <w:r>
        <w:rPr>
          <w:rFonts w:hint="eastAsia" w:cs="宋体"/>
          <w:b/>
          <w:bCs/>
          <w:color w:val="000000" w:themeColor="text1"/>
          <w:sz w:val="24"/>
          <w:szCs w:val="24"/>
          <w:u w:val="single"/>
          <w14:textFill>
            <w14:solidFill>
              <w14:schemeClr w14:val="tx1"/>
            </w14:solidFill>
          </w14:textFill>
        </w:rPr>
        <w:t xml:space="preserve"> 电脑、服务器          </w:t>
      </w:r>
      <w:r>
        <w:rPr>
          <w:rFonts w:hint="eastAsia" w:cs="宋体"/>
          <w:b/>
          <w:bCs/>
          <w:color w:val="000000" w:themeColor="text1"/>
          <w:sz w:val="24"/>
          <w:szCs w:val="24"/>
          <w14:textFill>
            <w14:solidFill>
              <w14:schemeClr w14:val="tx1"/>
            </w14:solidFill>
          </w14:textFill>
        </w:rPr>
        <w:t>由招标方提供外，其余所需设备、物料、服务等均须按招标文件技术要求由投标方负责全部提供。</w:t>
      </w:r>
    </w:p>
    <w:p w14:paraId="6F6840FF">
      <w:pPr>
        <w:adjustRightInd w:val="0"/>
        <w:snapToGrid w:val="0"/>
        <w:spacing w:line="360" w:lineRule="auto"/>
        <w:ind w:firstLine="482" w:firstLineChars="200"/>
        <w:rPr>
          <w:rFonts w:hint="eastAsia" w:ascii="宋体" w:hAnsi="宋体" w:cs="宋体"/>
          <w:sz w:val="24"/>
          <w:szCs w:val="24"/>
        </w:rPr>
      </w:pPr>
      <w:r>
        <w:rPr>
          <w:rFonts w:hint="eastAsia" w:cs="宋体"/>
          <w:b/>
          <w:bCs/>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2、</w:t>
      </w:r>
      <w:r>
        <w:rPr>
          <w:rFonts w:ascii="宋体" w:hAnsi="宋体" w:cs="宋体"/>
          <w:sz w:val="24"/>
          <w:szCs w:val="24"/>
        </w:rPr>
        <w:t xml:space="preserve">合同签订后 </w:t>
      </w:r>
      <w:r>
        <w:rPr>
          <w:rFonts w:hint="eastAsia" w:ascii="宋体" w:hAnsi="宋体" w:cs="宋体"/>
          <w:sz w:val="24"/>
          <w:szCs w:val="24"/>
        </w:rPr>
        <w:t>6</w:t>
      </w:r>
      <w:r>
        <w:rPr>
          <w:rFonts w:ascii="宋体" w:hAnsi="宋体" w:cs="宋体"/>
          <w:sz w:val="24"/>
          <w:szCs w:val="24"/>
        </w:rPr>
        <w:t xml:space="preserve"> 个月内完成整套系统部署上线，保证系统平稳稳定运行，</w:t>
      </w:r>
      <w:r>
        <w:rPr>
          <w:rFonts w:hint="eastAsia" w:ascii="宋体" w:hAnsi="宋体" w:cs="宋体"/>
          <w:sz w:val="24"/>
          <w:szCs w:val="24"/>
        </w:rPr>
        <w:t>系统上线后2个月内</w:t>
      </w:r>
      <w:r>
        <w:rPr>
          <w:rFonts w:ascii="宋体" w:hAnsi="宋体" w:cs="宋体"/>
          <w:sz w:val="24"/>
          <w:szCs w:val="24"/>
        </w:rPr>
        <w:t>全面完成项目交付及竣工验收工作。</w:t>
      </w:r>
    </w:p>
    <w:p w14:paraId="0D925FC4">
      <w:pPr>
        <w:adjustRightInd w:val="0"/>
        <w:snapToGrid w:val="0"/>
        <w:spacing w:line="360" w:lineRule="auto"/>
        <w:ind w:firstLine="482" w:firstLineChars="200"/>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★3、质保期：以合同系统验收合格之日起系统质保1年。</w:t>
      </w:r>
    </w:p>
    <w:p w14:paraId="43708FAF">
      <w:pPr>
        <w:adjustRightInd w:val="0"/>
        <w:snapToGrid w:val="0"/>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质保期内，因产品质量引起的任何缺陷，由投标方（制造方）负责解决，所有费用均由投标方（制造方）承担，并应在接到招标方（使用方）通知后2小时内处理，远程处理不了的，24小时到达现场处理。如若在上述规定时间内投标方无法处理相关问题，招标方有权自行向第三方寻求解决方案，由此产生的相关费用及损失由投标方承担（如硬件设备发生质量问题，投标方进行更换的该硬件质保期自更换之日重新起算，质保期限一年）。</w:t>
      </w:r>
    </w:p>
    <w:p w14:paraId="5045103A">
      <w:pPr>
        <w:adjustRightInd w:val="0"/>
        <w:snapToGrid w:val="0"/>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5、质保期外，</w:t>
      </w:r>
      <w:r>
        <w:rPr>
          <w:rFonts w:hint="eastAsia" w:cs="宋体"/>
          <w:color w:val="000000" w:themeColor="text1"/>
          <w:sz w:val="24"/>
          <w:szCs w:val="24"/>
          <w:lang w:val="en-US" w:eastAsia="zh-CN"/>
          <w14:textFill>
            <w14:solidFill>
              <w14:schemeClr w14:val="tx1"/>
            </w14:solidFill>
          </w14:textFill>
        </w:rPr>
        <w:t>招投标</w:t>
      </w:r>
      <w:r>
        <w:rPr>
          <w:rFonts w:hint="eastAsia" w:cs="宋体"/>
          <w:color w:val="000000" w:themeColor="text1"/>
          <w:sz w:val="24"/>
          <w:szCs w:val="24"/>
          <w14:textFill>
            <w14:solidFill>
              <w14:schemeClr w14:val="tx1"/>
            </w14:solidFill>
          </w14:textFill>
        </w:rPr>
        <w:t>双方同意有偿服务条款的前提下，</w:t>
      </w:r>
      <w:r>
        <w:rPr>
          <w:rFonts w:hint="eastAsia" w:cs="宋体"/>
          <w:color w:val="000000" w:themeColor="text1"/>
          <w:sz w:val="24"/>
          <w:szCs w:val="24"/>
          <w:lang w:val="en-US" w:eastAsia="zh-CN"/>
          <w14:textFill>
            <w14:solidFill>
              <w14:schemeClr w14:val="tx1"/>
            </w14:solidFill>
          </w14:textFill>
        </w:rPr>
        <w:t>投标方</w:t>
      </w:r>
      <w:r>
        <w:rPr>
          <w:rFonts w:hint="eastAsia" w:cs="宋体"/>
          <w:color w:val="000000" w:themeColor="text1"/>
          <w:sz w:val="24"/>
          <w:szCs w:val="24"/>
          <w14:textFill>
            <w14:solidFill>
              <w14:schemeClr w14:val="tx1"/>
            </w14:solidFill>
          </w14:textFill>
        </w:rPr>
        <w:t>的响应方式应如质保期内一致。</w:t>
      </w:r>
    </w:p>
    <w:p w14:paraId="048C713E">
      <w:pPr>
        <w:adjustRightInd w:val="0"/>
        <w:snapToGrid w:val="0"/>
        <w:spacing w:line="360" w:lineRule="auto"/>
        <w:outlineLvl w:val="1"/>
        <w:rPr>
          <w:rFonts w:cs="宋体"/>
          <w:b/>
          <w:bCs/>
          <w:sz w:val="24"/>
          <w:szCs w:val="24"/>
        </w:rPr>
      </w:pPr>
      <w:bookmarkStart w:id="198" w:name="_Toc7686"/>
      <w:bookmarkStart w:id="199" w:name="_Toc24879"/>
      <w:r>
        <w:rPr>
          <w:rFonts w:hint="eastAsia" w:cs="宋体"/>
          <w:b/>
          <w:bCs/>
          <w:sz w:val="24"/>
          <w:szCs w:val="24"/>
        </w:rPr>
        <w:t>五、★付款方式</w:t>
      </w:r>
      <w:bookmarkEnd w:id="198"/>
      <w:bookmarkEnd w:id="199"/>
      <w:r>
        <w:rPr>
          <w:rFonts w:hint="eastAsia" w:cs="宋体"/>
          <w:b/>
          <w:bCs/>
          <w:sz w:val="24"/>
          <w:szCs w:val="24"/>
        </w:rPr>
        <w:t>（软件和硬件分开签合同+分开付款）</w:t>
      </w:r>
    </w:p>
    <w:p w14:paraId="4F300DB5">
      <w:pPr>
        <w:pStyle w:val="13"/>
        <w:spacing w:line="500" w:lineRule="exact"/>
        <w:ind w:left="424" w:leftChars="202"/>
        <w:rPr>
          <w:rFonts w:hint="eastAsia" w:eastAsia="宋体" w:cs="宋体"/>
          <w:b w:val="0"/>
          <w:bCs/>
          <w:color w:val="000000" w:themeColor="text1"/>
          <w:sz w:val="24"/>
          <w:szCs w:val="24"/>
          <w:lang w:val="en-US" w:eastAsia="zh-CN"/>
          <w14:textFill>
            <w14:solidFill>
              <w14:schemeClr w14:val="tx1"/>
            </w14:solidFill>
          </w14:textFill>
        </w:rPr>
      </w:pPr>
      <w:bookmarkStart w:id="200" w:name="_Toc20374"/>
      <w:r>
        <w:rPr>
          <w:rFonts w:hint="eastAsia" w:cs="宋体"/>
          <w:b w:val="0"/>
          <w:bCs/>
          <w:color w:val="000000" w:themeColor="text1"/>
          <w:sz w:val="24"/>
          <w:szCs w:val="24"/>
          <w:lang w:val="en-US" w:eastAsia="zh-CN"/>
          <w14:textFill>
            <w14:solidFill>
              <w14:schemeClr w14:val="tx1"/>
            </w14:solidFill>
          </w14:textFill>
        </w:rPr>
        <w:t>①软件合同付款方式</w:t>
      </w:r>
    </w:p>
    <w:p w14:paraId="79E15A68">
      <w:pPr>
        <w:pStyle w:val="13"/>
        <w:snapToGrid w:val="0"/>
        <w:spacing w:line="500" w:lineRule="exact"/>
        <w:ind w:left="707" w:leftChars="202" w:hanging="283" w:hangingChars="118"/>
        <w:rPr>
          <w:rFonts w:cs="宋体"/>
          <w:bCs/>
          <w:color w:val="000000" w:themeColor="text1"/>
          <w:sz w:val="24"/>
          <w:szCs w:val="24"/>
          <w14:textFill>
            <w14:solidFill>
              <w14:schemeClr w14:val="tx1"/>
            </w14:solidFill>
          </w14:textFill>
        </w:rPr>
      </w:pPr>
      <w:bookmarkStart w:id="201" w:name="_Toc32356"/>
      <w:r>
        <w:rPr>
          <w:rFonts w:hint="eastAsia" w:cs="宋体"/>
          <w:bCs/>
          <w:color w:val="000000" w:themeColor="text1"/>
          <w:sz w:val="24"/>
          <w:szCs w:val="24"/>
          <w14:textFill>
            <w14:solidFill>
              <w14:schemeClr w14:val="tx1"/>
            </w14:solidFill>
          </w14:textFill>
        </w:rPr>
        <w:t>1、合同签订收到</w:t>
      </w:r>
      <w:r>
        <w:rPr>
          <w:rFonts w:hint="eastAsia" w:cs="宋体"/>
          <w:bCs/>
          <w:color w:val="000000" w:themeColor="text1"/>
          <w:sz w:val="24"/>
          <w:szCs w:val="24"/>
          <w:lang w:val="en-US"/>
          <w14:textFill>
            <w14:solidFill>
              <w14:schemeClr w14:val="tx1"/>
            </w14:solidFill>
          </w14:textFill>
        </w:rPr>
        <w:t>中标</w:t>
      </w:r>
      <w:r>
        <w:rPr>
          <w:rFonts w:hint="eastAsia" w:cs="宋体"/>
          <w:bCs/>
          <w:color w:val="000000" w:themeColor="text1"/>
          <w:sz w:val="24"/>
          <w:szCs w:val="24"/>
          <w:lang w:val="en-US" w:eastAsia="zh-CN"/>
          <w14:textFill>
            <w14:solidFill>
              <w14:schemeClr w14:val="tx1"/>
            </w14:solidFill>
          </w14:textFill>
        </w:rPr>
        <w:t>人</w:t>
      </w:r>
      <w:r>
        <w:rPr>
          <w:rFonts w:hint="eastAsia" w:cs="宋体"/>
          <w:bCs/>
          <w:color w:val="000000" w:themeColor="text1"/>
          <w:sz w:val="24"/>
          <w:szCs w:val="24"/>
          <w14:textFill>
            <w14:solidFill>
              <w14:schemeClr w14:val="tx1"/>
            </w14:solidFill>
          </w14:textFill>
        </w:rPr>
        <w:t>“制造商的项目实施计划表”后</w:t>
      </w:r>
      <w:r>
        <w:rPr>
          <w:rFonts w:hint="eastAsia" w:cs="宋体"/>
          <w:bCs/>
          <w:color w:val="000000" w:themeColor="text1"/>
          <w:sz w:val="24"/>
          <w:szCs w:val="24"/>
          <w:lang w:val="en-US" w:eastAsia="zh-CN"/>
          <w14:textFill>
            <w14:solidFill>
              <w14:schemeClr w14:val="tx1"/>
            </w14:solidFill>
          </w14:textFill>
        </w:rPr>
        <w:t>10</w:t>
      </w:r>
      <w:r>
        <w:rPr>
          <w:rFonts w:hint="eastAsia" w:cs="宋体"/>
          <w:bCs/>
          <w:color w:val="000000" w:themeColor="text1"/>
          <w:sz w:val="24"/>
          <w:szCs w:val="24"/>
          <w14:textFill>
            <w14:solidFill>
              <w14:schemeClr w14:val="tx1"/>
            </w14:solidFill>
          </w14:textFill>
        </w:rPr>
        <w:t>日内</w:t>
      </w:r>
      <w:r>
        <w:rPr>
          <w:rFonts w:hint="eastAsia" w:cs="宋体"/>
          <w:bCs/>
          <w:color w:val="000000" w:themeColor="text1"/>
          <w:sz w:val="24"/>
          <w:szCs w:val="24"/>
          <w:lang w:val="en-US" w:eastAsia="zh-CN"/>
          <w14:textFill>
            <w14:solidFill>
              <w14:schemeClr w14:val="tx1"/>
            </w14:solidFill>
          </w14:textFill>
        </w:rPr>
        <w:t>招标人</w:t>
      </w:r>
      <w:r>
        <w:rPr>
          <w:rFonts w:hint="eastAsia" w:cs="宋体"/>
          <w:bCs/>
          <w:color w:val="000000" w:themeColor="text1"/>
          <w:sz w:val="24"/>
          <w:szCs w:val="24"/>
          <w14:textFill>
            <w14:solidFill>
              <w14:schemeClr w14:val="tx1"/>
            </w14:solidFill>
          </w14:textFill>
        </w:rPr>
        <w:t>向</w:t>
      </w:r>
      <w:r>
        <w:rPr>
          <w:rFonts w:hint="eastAsia" w:cs="宋体"/>
          <w:bCs/>
          <w:color w:val="000000" w:themeColor="text1"/>
          <w:sz w:val="24"/>
          <w:szCs w:val="24"/>
          <w:lang w:val="en-US"/>
          <w14:textFill>
            <w14:solidFill>
              <w14:schemeClr w14:val="tx1"/>
            </w14:solidFill>
          </w14:textFill>
        </w:rPr>
        <w:t>中标</w:t>
      </w:r>
      <w:r>
        <w:rPr>
          <w:rFonts w:hint="eastAsia" w:cs="宋体"/>
          <w:bCs/>
          <w:color w:val="000000" w:themeColor="text1"/>
          <w:sz w:val="24"/>
          <w:szCs w:val="24"/>
          <w:lang w:val="en-US" w:eastAsia="zh-CN"/>
          <w14:textFill>
            <w14:solidFill>
              <w14:schemeClr w14:val="tx1"/>
            </w14:solidFill>
          </w14:textFill>
        </w:rPr>
        <w:t>人</w:t>
      </w:r>
      <w:r>
        <w:rPr>
          <w:rFonts w:hint="eastAsia" w:cs="宋体"/>
          <w:bCs/>
          <w:color w:val="000000" w:themeColor="text1"/>
          <w:sz w:val="24"/>
          <w:szCs w:val="24"/>
          <w14:textFill>
            <w14:solidFill>
              <w14:schemeClr w14:val="tx1"/>
            </w14:solidFill>
          </w14:textFill>
        </w:rPr>
        <w:t>支付合同总额20％的预付货款。</w:t>
      </w:r>
    </w:p>
    <w:p w14:paraId="0F87C4A4">
      <w:pPr>
        <w:pStyle w:val="13"/>
        <w:snapToGrid w:val="0"/>
        <w:spacing w:line="500" w:lineRule="exact"/>
        <w:ind w:left="424" w:leftChars="202"/>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w:t>
      </w:r>
      <w:r>
        <w:rPr>
          <w:rFonts w:hint="eastAsia" w:cs="宋体"/>
          <w:bCs/>
          <w:color w:val="auto"/>
          <w:sz w:val="24"/>
          <w:szCs w:val="24"/>
          <w:lang w:val="en-US" w:eastAsia="zh-CN"/>
        </w:rPr>
        <w:t>中标人</w:t>
      </w:r>
      <w:r>
        <w:rPr>
          <w:rFonts w:hint="eastAsia" w:cs="宋体"/>
          <w:bCs/>
          <w:color w:val="000000" w:themeColor="text1"/>
          <w:sz w:val="24"/>
          <w:szCs w:val="24"/>
          <w14:textFill>
            <w14:solidFill>
              <w14:schemeClr w14:val="tx1"/>
            </w14:solidFill>
          </w14:textFill>
        </w:rPr>
        <w:t>的项目蓝图审核通过后再支付3</w:t>
      </w:r>
      <w:r>
        <w:rPr>
          <w:rFonts w:cs="宋体"/>
          <w:bCs/>
          <w:color w:val="000000" w:themeColor="text1"/>
          <w:sz w:val="24"/>
          <w:szCs w:val="24"/>
          <w14:textFill>
            <w14:solidFill>
              <w14:schemeClr w14:val="tx1"/>
            </w14:solidFill>
          </w14:textFill>
        </w:rPr>
        <w:t>0%</w:t>
      </w:r>
      <w:r>
        <w:rPr>
          <w:rFonts w:hint="eastAsia" w:cs="宋体"/>
          <w:bCs/>
          <w:color w:val="000000" w:themeColor="text1"/>
          <w:sz w:val="24"/>
          <w:szCs w:val="24"/>
          <w14:textFill>
            <w14:solidFill>
              <w14:schemeClr w14:val="tx1"/>
            </w14:solidFill>
          </w14:textFill>
        </w:rPr>
        <w:t>项目蓝图款，</w:t>
      </w:r>
    </w:p>
    <w:p w14:paraId="34DBBF0A">
      <w:pPr>
        <w:pStyle w:val="13"/>
        <w:snapToGrid w:val="0"/>
        <w:spacing w:line="500" w:lineRule="exact"/>
        <w:ind w:left="424" w:leftChars="202"/>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3、</w:t>
      </w:r>
      <w:r>
        <w:rPr>
          <w:rFonts w:hint="eastAsia" w:cs="宋体"/>
          <w:bCs/>
          <w:color w:val="000000" w:themeColor="text1"/>
          <w:sz w:val="24"/>
          <w:szCs w:val="24"/>
          <w:lang w:val="en-US"/>
          <w14:textFill>
            <w14:solidFill>
              <w14:schemeClr w14:val="tx1"/>
            </w14:solidFill>
          </w14:textFill>
        </w:rPr>
        <w:t>系统在</w:t>
      </w:r>
      <w:r>
        <w:rPr>
          <w:rFonts w:hint="eastAsia" w:cs="宋体"/>
          <w:bCs/>
          <w:color w:val="000000" w:themeColor="text1"/>
          <w:sz w:val="24"/>
          <w:szCs w:val="24"/>
          <w:lang w:val="en-US" w:eastAsia="zh-CN"/>
          <w14:textFill>
            <w14:solidFill>
              <w14:schemeClr w14:val="tx1"/>
            </w14:solidFill>
          </w14:textFill>
        </w:rPr>
        <w:t>招标人</w:t>
      </w:r>
      <w:r>
        <w:rPr>
          <w:rFonts w:hint="eastAsia" w:cs="宋体"/>
          <w:bCs/>
          <w:color w:val="000000" w:themeColor="text1"/>
          <w:sz w:val="24"/>
          <w:szCs w:val="24"/>
          <w14:textFill>
            <w14:solidFill>
              <w14:schemeClr w14:val="tx1"/>
            </w14:solidFill>
          </w14:textFill>
        </w:rPr>
        <w:t>现场安装调试完毕并经最终综合验收合格（三包期起算日）</w:t>
      </w:r>
      <w:r>
        <w:rPr>
          <w:rFonts w:hint="eastAsia" w:cs="宋体"/>
          <w:bCs/>
          <w:color w:val="000000" w:themeColor="text1"/>
          <w:sz w:val="24"/>
          <w:szCs w:val="24"/>
          <w:lang w:val="en-US" w:eastAsia="zh-CN"/>
          <w14:textFill>
            <w14:solidFill>
              <w14:schemeClr w14:val="tx1"/>
            </w14:solidFill>
          </w14:textFill>
        </w:rPr>
        <w:t>10</w:t>
      </w:r>
      <w:r>
        <w:rPr>
          <w:rFonts w:hint="eastAsia" w:cs="宋体"/>
          <w:bCs/>
          <w:color w:val="000000" w:themeColor="text1"/>
          <w:sz w:val="24"/>
          <w:szCs w:val="24"/>
          <w14:textFill>
            <w14:solidFill>
              <w14:schemeClr w14:val="tx1"/>
            </w14:solidFill>
          </w14:textFill>
        </w:rPr>
        <w:t>日内向</w:t>
      </w:r>
      <w:r>
        <w:rPr>
          <w:rFonts w:hint="eastAsia" w:cs="宋体"/>
          <w:bCs/>
          <w:color w:val="000000" w:themeColor="text1"/>
          <w:sz w:val="24"/>
          <w:szCs w:val="24"/>
          <w:lang w:val="en-US" w:eastAsia="zh-CN"/>
          <w14:textFill>
            <w14:solidFill>
              <w14:schemeClr w14:val="tx1"/>
            </w14:solidFill>
          </w14:textFill>
        </w:rPr>
        <w:t>中标人</w:t>
      </w:r>
      <w:r>
        <w:rPr>
          <w:rFonts w:hint="eastAsia" w:cs="宋体"/>
          <w:bCs/>
          <w:color w:val="000000" w:themeColor="text1"/>
          <w:sz w:val="24"/>
          <w:szCs w:val="24"/>
          <w14:textFill>
            <w14:solidFill>
              <w14:schemeClr w14:val="tx1"/>
            </w14:solidFill>
          </w14:textFill>
        </w:rPr>
        <w:t>支付合同金额40％；</w:t>
      </w:r>
    </w:p>
    <w:p w14:paraId="26B13BD8">
      <w:pPr>
        <w:pStyle w:val="13"/>
        <w:snapToGrid w:val="0"/>
        <w:spacing w:line="500" w:lineRule="exact"/>
        <w:ind w:left="424" w:leftChars="202"/>
        <w:rPr>
          <w:sz w:val="24"/>
          <w:szCs w:val="24"/>
        </w:rPr>
      </w:pPr>
      <w:r>
        <w:rPr>
          <w:rFonts w:hint="eastAsia" w:cs="宋体"/>
          <w:bCs/>
          <w:color w:val="000000" w:themeColor="text1"/>
          <w:sz w:val="24"/>
          <w:szCs w:val="24"/>
          <w14:textFill>
            <w14:solidFill>
              <w14:schemeClr w14:val="tx1"/>
            </w14:solidFill>
          </w14:textFill>
        </w:rPr>
        <w:t>4</w:t>
      </w:r>
      <w:r>
        <w:rPr>
          <w:rFonts w:hint="eastAsia" w:cs="宋体"/>
          <w:bCs/>
          <w:sz w:val="24"/>
          <w:szCs w:val="24"/>
        </w:rPr>
        <w:t>、</w:t>
      </w:r>
      <w:r>
        <w:rPr>
          <w:rFonts w:hint="eastAsia"/>
          <w:sz w:val="24"/>
          <w:szCs w:val="24"/>
        </w:rPr>
        <w:t>合同价款的10%作为质保金，</w:t>
      </w:r>
      <w:r>
        <w:rPr>
          <w:rFonts w:hint="eastAsia" w:cs="宋体"/>
          <w:bCs/>
          <w:color w:val="000000" w:themeColor="text1"/>
          <w:sz w:val="24"/>
          <w:szCs w:val="24"/>
          <w:lang w:val="en-US" w:eastAsia="zh-CN"/>
          <w14:textFill>
            <w14:solidFill>
              <w14:schemeClr w14:val="tx1"/>
            </w14:solidFill>
          </w14:textFill>
        </w:rPr>
        <w:t>招标人</w:t>
      </w:r>
      <w:r>
        <w:rPr>
          <w:rFonts w:hint="eastAsia"/>
          <w:sz w:val="24"/>
          <w:szCs w:val="24"/>
        </w:rPr>
        <w:t>于</w:t>
      </w:r>
      <w:r>
        <w:rPr>
          <w:rFonts w:hint="eastAsia"/>
          <w:sz w:val="24"/>
          <w:szCs w:val="24"/>
          <w:lang w:val="en-US"/>
        </w:rPr>
        <w:t>系统</w:t>
      </w:r>
      <w:r>
        <w:rPr>
          <w:rFonts w:hint="eastAsia"/>
          <w:sz w:val="24"/>
          <w:szCs w:val="24"/>
        </w:rPr>
        <w:t>质保期满无质量问题后</w:t>
      </w:r>
      <w:r>
        <w:rPr>
          <w:rFonts w:hint="eastAsia"/>
          <w:sz w:val="24"/>
          <w:szCs w:val="24"/>
          <w:u w:val="single"/>
          <w:lang w:val="en-US" w:eastAsia="zh-CN"/>
        </w:rPr>
        <w:t>14</w:t>
      </w:r>
      <w:r>
        <w:rPr>
          <w:rFonts w:hint="eastAsia"/>
          <w:sz w:val="24"/>
          <w:szCs w:val="24"/>
        </w:rPr>
        <w:t>日内向</w:t>
      </w:r>
      <w:r>
        <w:rPr>
          <w:rFonts w:hint="eastAsia" w:cs="宋体"/>
          <w:bCs/>
          <w:color w:val="000000" w:themeColor="text1"/>
          <w:sz w:val="24"/>
          <w:szCs w:val="24"/>
          <w:lang w:val="en-US"/>
          <w14:textFill>
            <w14:solidFill>
              <w14:schemeClr w14:val="tx1"/>
            </w14:solidFill>
          </w14:textFill>
        </w:rPr>
        <w:t>中标</w:t>
      </w:r>
      <w:r>
        <w:rPr>
          <w:rFonts w:hint="eastAsia" w:cs="宋体"/>
          <w:bCs/>
          <w:color w:val="000000" w:themeColor="text1"/>
          <w:sz w:val="24"/>
          <w:szCs w:val="24"/>
          <w:lang w:val="en-US" w:eastAsia="zh-CN"/>
          <w14:textFill>
            <w14:solidFill>
              <w14:schemeClr w14:val="tx1"/>
            </w14:solidFill>
          </w14:textFill>
        </w:rPr>
        <w:t>人</w:t>
      </w:r>
      <w:r>
        <w:rPr>
          <w:rFonts w:hint="eastAsia"/>
          <w:sz w:val="24"/>
          <w:szCs w:val="24"/>
        </w:rPr>
        <w:t>支付。</w:t>
      </w:r>
    </w:p>
    <w:p w14:paraId="2A18EF8C">
      <w:pPr>
        <w:pStyle w:val="13"/>
        <w:snapToGrid w:val="0"/>
        <w:spacing w:line="500" w:lineRule="exact"/>
        <w:ind w:left="424" w:leftChars="202"/>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5、在上述历次付款节点前，</w:t>
      </w:r>
      <w:r>
        <w:rPr>
          <w:rFonts w:hint="eastAsia" w:cs="宋体"/>
          <w:bCs/>
          <w:color w:val="auto"/>
          <w:sz w:val="24"/>
          <w:szCs w:val="24"/>
          <w:lang w:val="en-US" w:eastAsia="zh-CN"/>
        </w:rPr>
        <w:t>中标人</w:t>
      </w:r>
      <w:r>
        <w:rPr>
          <w:rFonts w:hint="eastAsia"/>
          <w:sz w:val="24"/>
          <w:szCs w:val="24"/>
        </w:rPr>
        <w:t>均应按相应付款金额提供等额的合格增值税专用发票，如</w:t>
      </w:r>
      <w:r>
        <w:rPr>
          <w:rFonts w:hint="eastAsia" w:cs="宋体"/>
          <w:bCs/>
          <w:color w:val="auto"/>
          <w:sz w:val="24"/>
          <w:szCs w:val="24"/>
          <w:lang w:val="en-US" w:eastAsia="zh-CN"/>
        </w:rPr>
        <w:t>中标人</w:t>
      </w:r>
      <w:r>
        <w:rPr>
          <w:rFonts w:hint="eastAsia"/>
          <w:sz w:val="24"/>
          <w:szCs w:val="24"/>
        </w:rPr>
        <w:t>不能提供或提供的发票不符合要求，</w:t>
      </w:r>
      <w:r>
        <w:rPr>
          <w:rFonts w:hint="eastAsia"/>
          <w:sz w:val="24"/>
          <w:szCs w:val="24"/>
          <w:lang w:val="en-US" w:eastAsia="zh-CN"/>
        </w:rPr>
        <w:t>招标人</w:t>
      </w:r>
      <w:r>
        <w:rPr>
          <w:rFonts w:hint="eastAsia"/>
          <w:sz w:val="24"/>
          <w:szCs w:val="24"/>
        </w:rPr>
        <w:t>有权拒绝付款，且不承担逾期付款违约责任</w:t>
      </w:r>
      <w:r>
        <w:rPr>
          <w:rFonts w:hint="eastAsia" w:cs="宋体"/>
          <w:bCs/>
          <w:sz w:val="24"/>
          <w:szCs w:val="24"/>
        </w:rPr>
        <w:t>。</w:t>
      </w:r>
    </w:p>
    <w:p w14:paraId="3050314E">
      <w:pPr>
        <w:pStyle w:val="13"/>
        <w:snapToGrid w:val="0"/>
        <w:spacing w:line="500" w:lineRule="exact"/>
        <w:ind w:left="424" w:leftChars="202"/>
        <w:rPr>
          <w:rFonts w:cs="宋体"/>
          <w:bCs/>
          <w:color w:val="000000" w:themeColor="text1"/>
          <w:sz w:val="24"/>
          <w:szCs w:val="24"/>
          <w14:textFill>
            <w14:solidFill>
              <w14:schemeClr w14:val="tx1"/>
            </w14:solidFill>
          </w14:textFill>
        </w:rPr>
      </w:pPr>
      <w:r>
        <w:rPr>
          <w:rFonts w:hint="eastAsia" w:cs="宋体"/>
          <w:bCs/>
          <w:color w:val="000000" w:themeColor="text1"/>
          <w:sz w:val="24"/>
          <w:szCs w:val="24"/>
          <w:lang w:val="en-US"/>
          <w14:textFill>
            <w14:solidFill>
              <w14:schemeClr w14:val="tx1"/>
            </w14:solidFill>
          </w14:textFill>
        </w:rPr>
        <w:t>②</w:t>
      </w:r>
      <w:r>
        <w:rPr>
          <w:rFonts w:hint="eastAsia" w:cs="宋体"/>
          <w:bCs/>
          <w:color w:val="000000" w:themeColor="text1"/>
          <w:sz w:val="24"/>
          <w:szCs w:val="24"/>
          <w14:textFill>
            <w14:solidFill>
              <w14:schemeClr w14:val="tx1"/>
            </w14:solidFill>
          </w14:textFill>
        </w:rPr>
        <w:t>硬件付款方式</w:t>
      </w:r>
    </w:p>
    <w:p w14:paraId="47955FCF">
      <w:pPr>
        <w:pStyle w:val="13"/>
        <w:numPr>
          <w:ilvl w:val="255"/>
          <w:numId w:val="0"/>
        </w:numPr>
        <w:snapToGrid w:val="0"/>
        <w:spacing w:line="500" w:lineRule="exact"/>
        <w:ind w:left="420"/>
        <w:rPr>
          <w:rFonts w:cs="宋体"/>
          <w:bCs/>
          <w:color w:val="auto"/>
          <w:sz w:val="24"/>
          <w:szCs w:val="24"/>
        </w:rPr>
      </w:pPr>
      <w:r>
        <w:rPr>
          <w:rFonts w:hint="eastAsia" w:cs="宋体"/>
          <w:bCs/>
          <w:color w:val="auto"/>
          <w:sz w:val="24"/>
          <w:szCs w:val="24"/>
        </w:rPr>
        <w:t>1、</w:t>
      </w:r>
      <w:r>
        <w:rPr>
          <w:rFonts w:hint="eastAsia" w:cs="宋体"/>
          <w:bCs/>
          <w:color w:val="auto"/>
          <w:sz w:val="24"/>
          <w:szCs w:val="24"/>
          <w:lang w:val="en-US"/>
        </w:rPr>
        <w:t>合同签订后，</w:t>
      </w:r>
      <w:r>
        <w:rPr>
          <w:rFonts w:hint="eastAsia" w:cs="宋体"/>
          <w:bCs/>
          <w:color w:val="auto"/>
          <w:sz w:val="24"/>
          <w:szCs w:val="24"/>
          <w:lang w:val="en-US" w:eastAsia="zh-CN"/>
        </w:rPr>
        <w:t>中标人</w:t>
      </w:r>
      <w:r>
        <w:rPr>
          <w:rFonts w:hint="eastAsia" w:cs="宋体"/>
          <w:bCs/>
          <w:color w:val="auto"/>
          <w:sz w:val="24"/>
          <w:szCs w:val="24"/>
        </w:rPr>
        <w:t>的项目蓝图审核通过后</w:t>
      </w:r>
      <w:r>
        <w:rPr>
          <w:rFonts w:hint="eastAsia" w:cs="宋体"/>
          <w:bCs/>
          <w:color w:val="auto"/>
          <w:sz w:val="24"/>
          <w:szCs w:val="24"/>
          <w:lang w:val="en-US"/>
        </w:rPr>
        <w:t>支付硬件设备</w:t>
      </w:r>
      <w:r>
        <w:rPr>
          <w:rFonts w:hint="eastAsia" w:cs="宋体"/>
          <w:bCs/>
          <w:color w:val="auto"/>
          <w:sz w:val="24"/>
          <w:szCs w:val="24"/>
        </w:rPr>
        <w:t>合同总额</w:t>
      </w:r>
      <w:r>
        <w:rPr>
          <w:rFonts w:hint="eastAsia" w:cs="宋体"/>
          <w:bCs/>
          <w:color w:val="auto"/>
          <w:sz w:val="24"/>
          <w:szCs w:val="24"/>
          <w:lang w:val="en-US"/>
        </w:rPr>
        <w:t>30</w:t>
      </w:r>
      <w:r>
        <w:rPr>
          <w:rFonts w:hint="eastAsia" w:cs="宋体"/>
          <w:bCs/>
          <w:color w:val="auto"/>
          <w:sz w:val="24"/>
          <w:szCs w:val="24"/>
        </w:rPr>
        <w:t>％的预付货款。</w:t>
      </w:r>
    </w:p>
    <w:p w14:paraId="455F97A5">
      <w:pPr>
        <w:pStyle w:val="13"/>
        <w:numPr>
          <w:ilvl w:val="255"/>
          <w:numId w:val="0"/>
        </w:numPr>
        <w:snapToGrid w:val="0"/>
        <w:spacing w:line="500" w:lineRule="exact"/>
        <w:ind w:left="420"/>
        <w:rPr>
          <w:rFonts w:cs="宋体"/>
          <w:bCs/>
          <w:color w:val="auto"/>
          <w:sz w:val="24"/>
          <w:szCs w:val="24"/>
          <w:lang w:val="en-US"/>
        </w:rPr>
      </w:pPr>
      <w:r>
        <w:rPr>
          <w:rFonts w:hint="eastAsia" w:cs="宋体"/>
          <w:bCs/>
          <w:color w:val="auto"/>
          <w:sz w:val="24"/>
          <w:szCs w:val="24"/>
          <w:lang w:val="en-US"/>
        </w:rPr>
        <w:t>2</w:t>
      </w:r>
      <w:r>
        <w:rPr>
          <w:rFonts w:hint="eastAsia" w:cs="宋体"/>
          <w:bCs/>
          <w:color w:val="auto"/>
          <w:sz w:val="24"/>
          <w:szCs w:val="24"/>
        </w:rPr>
        <w:t>、</w:t>
      </w:r>
      <w:r>
        <w:rPr>
          <w:rFonts w:hint="eastAsia" w:cs="宋体"/>
          <w:bCs/>
          <w:color w:val="auto"/>
          <w:sz w:val="24"/>
          <w:szCs w:val="24"/>
          <w:lang w:val="en-US" w:eastAsia="zh-CN"/>
        </w:rPr>
        <w:t>中标人</w:t>
      </w:r>
      <w:r>
        <w:rPr>
          <w:rFonts w:hint="eastAsia" w:cs="宋体"/>
          <w:bCs/>
          <w:color w:val="auto"/>
          <w:sz w:val="24"/>
          <w:szCs w:val="24"/>
        </w:rPr>
        <w:t>设备到货</w:t>
      </w:r>
      <w:r>
        <w:rPr>
          <w:rFonts w:hint="eastAsia" w:cs="宋体"/>
          <w:bCs/>
          <w:color w:val="auto"/>
          <w:sz w:val="24"/>
          <w:szCs w:val="24"/>
          <w:lang w:val="en-US"/>
        </w:rPr>
        <w:t>经清点无误，出具设备预验收清单后支付</w:t>
      </w:r>
      <w:r>
        <w:rPr>
          <w:rFonts w:hint="eastAsia" w:cs="宋体"/>
          <w:bCs/>
          <w:color w:val="auto"/>
          <w:sz w:val="24"/>
          <w:szCs w:val="24"/>
        </w:rPr>
        <w:t>合同总额30%</w:t>
      </w:r>
      <w:r>
        <w:rPr>
          <w:rFonts w:hint="eastAsia" w:cs="宋体"/>
          <w:bCs/>
          <w:color w:val="auto"/>
          <w:sz w:val="24"/>
          <w:szCs w:val="24"/>
          <w:lang w:val="en-US"/>
        </w:rPr>
        <w:t>的预验收款。</w:t>
      </w:r>
    </w:p>
    <w:p w14:paraId="0D0BEAFB">
      <w:pPr>
        <w:pStyle w:val="13"/>
        <w:numPr>
          <w:ilvl w:val="255"/>
          <w:numId w:val="0"/>
        </w:numPr>
        <w:snapToGrid w:val="0"/>
        <w:spacing w:line="500" w:lineRule="exact"/>
        <w:ind w:left="420"/>
        <w:rPr>
          <w:rFonts w:cs="宋体"/>
          <w:bCs/>
          <w:color w:val="auto"/>
          <w:sz w:val="24"/>
          <w:szCs w:val="24"/>
          <w:lang w:val="en-US"/>
        </w:rPr>
      </w:pPr>
      <w:r>
        <w:rPr>
          <w:rFonts w:hint="eastAsia" w:cs="宋体"/>
          <w:bCs/>
          <w:color w:val="auto"/>
          <w:sz w:val="24"/>
          <w:szCs w:val="24"/>
          <w:lang w:val="en-US"/>
        </w:rPr>
        <w:t>3</w:t>
      </w:r>
      <w:r>
        <w:rPr>
          <w:rFonts w:hint="eastAsia" w:cs="宋体"/>
          <w:bCs/>
          <w:color w:val="auto"/>
          <w:sz w:val="24"/>
          <w:szCs w:val="24"/>
        </w:rPr>
        <w:t>、设备</w:t>
      </w:r>
      <w:r>
        <w:rPr>
          <w:rFonts w:hint="eastAsia" w:cs="宋体"/>
          <w:bCs/>
          <w:color w:val="auto"/>
          <w:sz w:val="24"/>
          <w:szCs w:val="24"/>
          <w:lang w:val="en-US"/>
        </w:rPr>
        <w:t>到</w:t>
      </w:r>
      <w:r>
        <w:rPr>
          <w:rFonts w:hint="eastAsia" w:cs="宋体"/>
          <w:bCs/>
          <w:color w:val="auto"/>
          <w:sz w:val="24"/>
          <w:szCs w:val="24"/>
          <w:lang w:val="en-US" w:eastAsia="zh-CN"/>
        </w:rPr>
        <w:t>招标人</w:t>
      </w:r>
      <w:r>
        <w:rPr>
          <w:rFonts w:hint="eastAsia" w:cs="宋体"/>
          <w:bCs/>
          <w:color w:val="auto"/>
          <w:sz w:val="24"/>
          <w:szCs w:val="24"/>
        </w:rPr>
        <w:t>现场安装调试完毕并经最终综合验收合格（三包期起算日）后10日内向</w:t>
      </w:r>
      <w:r>
        <w:rPr>
          <w:rFonts w:hint="eastAsia" w:cs="宋体"/>
          <w:bCs/>
          <w:color w:val="auto"/>
          <w:sz w:val="24"/>
          <w:szCs w:val="24"/>
          <w:lang w:val="en-US"/>
        </w:rPr>
        <w:t>中标</w:t>
      </w:r>
      <w:r>
        <w:rPr>
          <w:rFonts w:hint="eastAsia" w:cs="宋体"/>
          <w:bCs/>
          <w:color w:val="auto"/>
          <w:sz w:val="24"/>
          <w:szCs w:val="24"/>
          <w:lang w:val="en-US" w:eastAsia="zh-CN"/>
        </w:rPr>
        <w:t>人</w:t>
      </w:r>
      <w:r>
        <w:rPr>
          <w:rFonts w:hint="eastAsia" w:cs="宋体"/>
          <w:bCs/>
          <w:color w:val="auto"/>
          <w:sz w:val="24"/>
          <w:szCs w:val="24"/>
        </w:rPr>
        <w:t>支付合同金额</w:t>
      </w:r>
      <w:r>
        <w:rPr>
          <w:rFonts w:hint="eastAsia" w:cs="宋体"/>
          <w:bCs/>
          <w:color w:val="auto"/>
          <w:sz w:val="24"/>
          <w:szCs w:val="24"/>
          <w:lang w:val="en-US"/>
        </w:rPr>
        <w:t>3</w:t>
      </w:r>
      <w:r>
        <w:rPr>
          <w:rFonts w:hint="eastAsia" w:cs="宋体"/>
          <w:bCs/>
          <w:color w:val="auto"/>
          <w:sz w:val="24"/>
          <w:szCs w:val="24"/>
        </w:rPr>
        <w:t>0%</w:t>
      </w:r>
      <w:r>
        <w:rPr>
          <w:rFonts w:hint="eastAsia" w:cs="宋体"/>
          <w:bCs/>
          <w:color w:val="auto"/>
          <w:sz w:val="24"/>
          <w:szCs w:val="24"/>
          <w:lang w:val="en-US"/>
        </w:rPr>
        <w:t>的竣工验收款</w:t>
      </w:r>
      <w:r>
        <w:rPr>
          <w:rFonts w:hint="eastAsia" w:cs="宋体"/>
          <w:bCs/>
          <w:color w:val="auto"/>
          <w:sz w:val="24"/>
          <w:szCs w:val="24"/>
        </w:rPr>
        <w:t>。</w:t>
      </w:r>
    </w:p>
    <w:p w14:paraId="1CB21D86">
      <w:pPr>
        <w:pStyle w:val="13"/>
        <w:numPr>
          <w:ilvl w:val="255"/>
          <w:numId w:val="0"/>
        </w:numPr>
        <w:snapToGrid w:val="0"/>
        <w:spacing w:line="500" w:lineRule="exact"/>
        <w:ind w:left="420"/>
        <w:rPr>
          <w:rFonts w:hint="eastAsia"/>
          <w:color w:val="auto"/>
          <w:sz w:val="24"/>
          <w:szCs w:val="24"/>
          <w:lang w:eastAsia="zh-CN"/>
        </w:rPr>
      </w:pPr>
      <w:r>
        <w:rPr>
          <w:rFonts w:hint="eastAsia" w:cs="宋体"/>
          <w:bCs/>
          <w:color w:val="auto"/>
          <w:sz w:val="24"/>
          <w:szCs w:val="24"/>
          <w:lang w:val="en-US"/>
        </w:rPr>
        <w:t>4</w:t>
      </w:r>
      <w:r>
        <w:rPr>
          <w:rFonts w:hint="eastAsia" w:cs="宋体"/>
          <w:bCs/>
          <w:color w:val="auto"/>
          <w:sz w:val="24"/>
          <w:szCs w:val="24"/>
        </w:rPr>
        <w:t>、</w:t>
      </w:r>
      <w:r>
        <w:rPr>
          <w:rFonts w:hint="eastAsia"/>
          <w:color w:val="auto"/>
          <w:sz w:val="24"/>
          <w:szCs w:val="24"/>
        </w:rPr>
        <w:t>合同价款的10%作为质保金，</w:t>
      </w:r>
      <w:r>
        <w:rPr>
          <w:rFonts w:hint="eastAsia" w:cs="宋体"/>
          <w:bCs/>
          <w:color w:val="auto"/>
          <w:sz w:val="24"/>
          <w:szCs w:val="24"/>
          <w:lang w:val="en-US" w:eastAsia="zh-CN"/>
        </w:rPr>
        <w:t>招标人</w:t>
      </w:r>
      <w:r>
        <w:rPr>
          <w:rFonts w:hint="eastAsia"/>
          <w:color w:val="auto"/>
          <w:sz w:val="24"/>
          <w:szCs w:val="24"/>
        </w:rPr>
        <w:t>于整机质保期满无质量问题后</w:t>
      </w:r>
      <w:r>
        <w:rPr>
          <w:rFonts w:hint="eastAsia"/>
          <w:color w:val="auto"/>
          <w:sz w:val="24"/>
          <w:szCs w:val="24"/>
          <w:u w:val="single"/>
        </w:rPr>
        <w:t>14</w:t>
      </w:r>
      <w:r>
        <w:rPr>
          <w:rFonts w:hint="eastAsia"/>
          <w:color w:val="auto"/>
          <w:sz w:val="24"/>
          <w:szCs w:val="24"/>
        </w:rPr>
        <w:t>日内向</w:t>
      </w:r>
      <w:r>
        <w:rPr>
          <w:rFonts w:hint="eastAsia" w:cs="宋体"/>
          <w:bCs/>
          <w:color w:val="000000" w:themeColor="text1"/>
          <w:sz w:val="24"/>
          <w:szCs w:val="24"/>
          <w:lang w:val="en-US"/>
          <w14:textFill>
            <w14:solidFill>
              <w14:schemeClr w14:val="tx1"/>
            </w14:solidFill>
          </w14:textFill>
        </w:rPr>
        <w:t>中标</w:t>
      </w:r>
      <w:r>
        <w:rPr>
          <w:rFonts w:hint="eastAsia" w:cs="宋体"/>
          <w:bCs/>
          <w:color w:val="000000" w:themeColor="text1"/>
          <w:sz w:val="24"/>
          <w:szCs w:val="24"/>
          <w:lang w:val="en-US" w:eastAsia="zh-CN"/>
          <w14:textFill>
            <w14:solidFill>
              <w14:schemeClr w14:val="tx1"/>
            </w14:solidFill>
          </w14:textFill>
        </w:rPr>
        <w:t>人</w:t>
      </w:r>
      <w:r>
        <w:rPr>
          <w:rFonts w:hint="eastAsia"/>
          <w:color w:val="auto"/>
          <w:sz w:val="24"/>
          <w:szCs w:val="24"/>
        </w:rPr>
        <w:t>支付</w:t>
      </w:r>
      <w:r>
        <w:rPr>
          <w:rFonts w:hint="eastAsia"/>
          <w:color w:val="auto"/>
          <w:sz w:val="24"/>
          <w:szCs w:val="24"/>
          <w:lang w:eastAsia="zh-CN"/>
        </w:rPr>
        <w:t>。</w:t>
      </w:r>
    </w:p>
    <w:p w14:paraId="4F11C5C7">
      <w:pPr>
        <w:pStyle w:val="13"/>
        <w:snapToGrid w:val="0"/>
        <w:spacing w:line="500" w:lineRule="exact"/>
        <w:ind w:left="424" w:leftChars="202"/>
        <w:rPr>
          <w:rFonts w:hint="eastAsia"/>
          <w:color w:val="auto"/>
          <w:sz w:val="24"/>
          <w:szCs w:val="24"/>
          <w:lang w:val="en-US" w:eastAsia="zh-CN"/>
        </w:rPr>
      </w:pPr>
      <w:r>
        <w:rPr>
          <w:rFonts w:hint="eastAsia" w:cs="宋体"/>
          <w:bCs/>
          <w:color w:val="auto"/>
          <w:sz w:val="24"/>
          <w:szCs w:val="24"/>
        </w:rPr>
        <w:t>5、在上述历次付款节点前，</w:t>
      </w:r>
      <w:r>
        <w:rPr>
          <w:rFonts w:hint="eastAsia" w:cs="宋体"/>
          <w:bCs/>
          <w:color w:val="auto"/>
          <w:sz w:val="24"/>
          <w:szCs w:val="24"/>
          <w:lang w:val="en-US" w:eastAsia="zh-CN"/>
        </w:rPr>
        <w:t>中标</w:t>
      </w:r>
      <w:r>
        <w:rPr>
          <w:rFonts w:hint="eastAsia"/>
          <w:color w:val="auto"/>
          <w:sz w:val="24"/>
          <w:szCs w:val="24"/>
          <w:lang w:val="en-US" w:eastAsia="zh-CN"/>
        </w:rPr>
        <w:t>人</w:t>
      </w:r>
      <w:r>
        <w:rPr>
          <w:rFonts w:hint="eastAsia"/>
          <w:color w:val="auto"/>
          <w:sz w:val="24"/>
          <w:szCs w:val="24"/>
        </w:rPr>
        <w:t>均应按相应付款金额提供等额的合格增值税专用发票，如</w:t>
      </w:r>
      <w:r>
        <w:rPr>
          <w:rFonts w:hint="eastAsia" w:cs="宋体"/>
          <w:bCs/>
          <w:color w:val="auto"/>
          <w:sz w:val="24"/>
          <w:szCs w:val="24"/>
          <w:lang w:val="en-US" w:eastAsia="zh-CN"/>
        </w:rPr>
        <w:t>中标</w:t>
      </w:r>
      <w:r>
        <w:rPr>
          <w:rFonts w:hint="eastAsia"/>
          <w:color w:val="auto"/>
          <w:sz w:val="24"/>
          <w:szCs w:val="24"/>
          <w:lang w:val="en-US" w:eastAsia="zh-CN"/>
        </w:rPr>
        <w:t>人</w:t>
      </w:r>
      <w:r>
        <w:rPr>
          <w:rFonts w:hint="eastAsia"/>
          <w:color w:val="auto"/>
          <w:sz w:val="24"/>
          <w:szCs w:val="24"/>
        </w:rPr>
        <w:t>不能提供或提供的发票不符合要求，</w:t>
      </w:r>
      <w:r>
        <w:rPr>
          <w:rFonts w:hint="eastAsia"/>
          <w:color w:val="auto"/>
          <w:sz w:val="24"/>
          <w:szCs w:val="24"/>
          <w:lang w:val="en-US" w:eastAsia="zh-CN"/>
        </w:rPr>
        <w:t>招标人</w:t>
      </w:r>
      <w:r>
        <w:rPr>
          <w:rFonts w:hint="eastAsia"/>
          <w:color w:val="auto"/>
          <w:sz w:val="24"/>
          <w:szCs w:val="24"/>
        </w:rPr>
        <w:t>有权拒绝付款，且不承担逾期付款违约责任</w:t>
      </w:r>
      <w:r>
        <w:rPr>
          <w:rFonts w:hint="eastAsia" w:cs="宋体"/>
          <w:bCs/>
          <w:color w:val="auto"/>
          <w:sz w:val="24"/>
          <w:szCs w:val="24"/>
        </w:rPr>
        <w:t>。</w:t>
      </w:r>
    </w:p>
    <w:p w14:paraId="60771CD4">
      <w:pPr>
        <w:adjustRightInd w:val="0"/>
        <w:snapToGrid w:val="0"/>
        <w:spacing w:line="360" w:lineRule="auto"/>
        <w:outlineLvl w:val="1"/>
        <w:rPr>
          <w:rFonts w:cs="宋体"/>
          <w:b/>
          <w:bCs/>
          <w:sz w:val="24"/>
          <w:szCs w:val="24"/>
        </w:rPr>
      </w:pPr>
      <w:r>
        <w:rPr>
          <w:rFonts w:hint="eastAsia" w:cs="宋体"/>
          <w:b/>
          <w:bCs/>
          <w:sz w:val="24"/>
          <w:szCs w:val="24"/>
        </w:rPr>
        <w:t>六、报价要求</w:t>
      </w:r>
      <w:bookmarkEnd w:id="200"/>
      <w:bookmarkEnd w:id="201"/>
    </w:p>
    <w:p w14:paraId="5499E707">
      <w:pPr>
        <w:adjustRightInd w:val="0"/>
        <w:snapToGrid w:val="0"/>
        <w:spacing w:line="360" w:lineRule="auto"/>
        <w:ind w:firstLine="480" w:firstLineChars="200"/>
        <w:rPr>
          <w:rFonts w:cs="宋体"/>
          <w:sz w:val="24"/>
          <w:szCs w:val="24"/>
        </w:rPr>
      </w:pPr>
      <w:r>
        <w:rPr>
          <w:rFonts w:hint="eastAsia" w:cs="宋体"/>
          <w:sz w:val="24"/>
          <w:szCs w:val="24"/>
        </w:rPr>
        <w:t>1、投标报价以人民币为货币单位，应分单价、小计和总价。</w:t>
      </w:r>
    </w:p>
    <w:p w14:paraId="2F40D49B">
      <w:pPr>
        <w:adjustRightInd w:val="0"/>
        <w:snapToGrid w:val="0"/>
        <w:spacing w:line="360" w:lineRule="auto"/>
        <w:ind w:firstLine="480" w:firstLineChars="200"/>
        <w:rPr>
          <w:rFonts w:cs="宋体"/>
          <w:sz w:val="24"/>
          <w:szCs w:val="24"/>
        </w:rPr>
      </w:pPr>
      <w:r>
        <w:rPr>
          <w:rFonts w:hint="eastAsia" w:cs="宋体"/>
          <w:sz w:val="24"/>
          <w:szCs w:val="24"/>
        </w:rPr>
        <w:t>2、投标总报价为货物送达采购人指定地点并实施安装调试，经采购人验收合格并交货完毕所发生的一切费用，其包括货物设计、制造、运输、采购保管、保险、售后服务（含保修期内的上门服务）、</w:t>
      </w:r>
      <w:r>
        <w:rPr>
          <w:rFonts w:hint="eastAsia" w:cs="宋体"/>
          <w:color w:val="000000" w:themeColor="text1"/>
          <w:sz w:val="24"/>
          <w:szCs w:val="24"/>
          <w14:textFill>
            <w14:solidFill>
              <w14:schemeClr w14:val="tx1"/>
            </w14:solidFill>
          </w14:textFill>
        </w:rPr>
        <w:t>资料图册提供及伴随服务等费用</w:t>
      </w:r>
      <w:r>
        <w:rPr>
          <w:rFonts w:hint="eastAsia" w:cs="宋体"/>
          <w:sz w:val="24"/>
          <w:szCs w:val="24"/>
        </w:rPr>
        <w:t>。所有报价均应已包含国家规定的所有税费。报价人应自行核算项目正常、合法运作及使用所必需的费用。</w:t>
      </w:r>
    </w:p>
    <w:p w14:paraId="652908B6">
      <w:pPr>
        <w:adjustRightInd w:val="0"/>
        <w:snapToGrid w:val="0"/>
        <w:spacing w:line="360" w:lineRule="auto"/>
        <w:ind w:firstLine="480" w:firstLineChars="200"/>
        <w:rPr>
          <w:rFonts w:cs="宋体"/>
          <w:sz w:val="24"/>
          <w:szCs w:val="24"/>
        </w:rPr>
      </w:pPr>
      <w:r>
        <w:rPr>
          <w:rFonts w:hint="eastAsia" w:cs="宋体"/>
          <w:sz w:val="24"/>
          <w:szCs w:val="24"/>
        </w:rPr>
        <w:t>3、投标人漏报的单价或每单价报价中漏报、少报的费用，视为此项费用已隐含在报价中，中标后不得再向招标人收取任何费用。</w:t>
      </w:r>
    </w:p>
    <w:p w14:paraId="7240161D">
      <w:pPr>
        <w:adjustRightInd w:val="0"/>
        <w:snapToGrid w:val="0"/>
        <w:spacing w:line="360" w:lineRule="auto"/>
        <w:ind w:firstLine="480" w:firstLineChars="200"/>
        <w:rPr>
          <w:rFonts w:cs="宋体"/>
          <w:sz w:val="24"/>
          <w:szCs w:val="24"/>
        </w:rPr>
      </w:pPr>
      <w:r>
        <w:rPr>
          <w:rFonts w:hint="eastAsia" w:cs="宋体"/>
          <w:sz w:val="24"/>
          <w:szCs w:val="24"/>
        </w:rPr>
        <w:t>4、投标人对本项目只能有一个报价，招标采购单位不接受有选择的报价。</w:t>
      </w:r>
    </w:p>
    <w:p w14:paraId="1F9D5B3C">
      <w:pPr>
        <w:adjustRightInd w:val="0"/>
        <w:snapToGrid w:val="0"/>
        <w:spacing w:line="360" w:lineRule="auto"/>
        <w:outlineLvl w:val="1"/>
        <w:rPr>
          <w:rFonts w:cs="宋体"/>
          <w:b/>
          <w:bCs/>
          <w:sz w:val="24"/>
          <w:szCs w:val="24"/>
        </w:rPr>
      </w:pPr>
      <w:bookmarkStart w:id="202" w:name="_Toc7498"/>
      <w:bookmarkStart w:id="203" w:name="_Toc20521"/>
      <w:r>
        <w:rPr>
          <w:rFonts w:hint="eastAsia" w:cs="宋体"/>
          <w:b/>
          <w:bCs/>
          <w:sz w:val="24"/>
          <w:szCs w:val="24"/>
        </w:rPr>
        <w:t>七、违约责任</w:t>
      </w:r>
      <w:bookmarkEnd w:id="202"/>
      <w:bookmarkEnd w:id="203"/>
    </w:p>
    <w:p w14:paraId="3A4A9A8F">
      <w:pPr>
        <w:widowControl/>
        <w:ind w:firstLine="480" w:firstLineChars="200"/>
        <w:jc w:val="left"/>
        <w:rPr>
          <w:rFonts w:cs="宋体"/>
          <w:sz w:val="24"/>
          <w:szCs w:val="24"/>
        </w:rPr>
      </w:pPr>
      <w:bookmarkStart w:id="204" w:name="_Toc31202"/>
      <w:r>
        <w:rPr>
          <w:rFonts w:hint="eastAsia" w:cs="宋体"/>
          <w:sz w:val="24"/>
          <w:szCs w:val="24"/>
        </w:rPr>
        <w:t>1、因中标人原因造成采购合同无法按时签订，视为中标人违约，中标人违约对招标人造成的损失的，需另行支付相应的赔偿（</w:t>
      </w:r>
      <w:r>
        <w:rPr>
          <w:rFonts w:hint="eastAsia" w:cs="宋体"/>
          <w:sz w:val="24"/>
          <w:szCs w:val="24"/>
          <w:lang w:bidi="ar"/>
        </w:rPr>
        <w:t>赔偿金额按招标人实际损失计算，实际损失无法核算的，按合同预估金额的30%计算，同时中标人需承担招标人为主张损失所支出的相关费用包括但不限于律师费</w:t>
      </w:r>
      <w:r>
        <w:rPr>
          <w:rFonts w:hint="eastAsia" w:cs="宋体"/>
          <w:sz w:val="24"/>
          <w:szCs w:val="24"/>
        </w:rPr>
        <w:t>、诉讼费、保全费等），并不予退还投标保证金。</w:t>
      </w:r>
    </w:p>
    <w:p w14:paraId="5B183225">
      <w:pPr>
        <w:spacing w:line="360" w:lineRule="auto"/>
        <w:ind w:firstLine="480" w:firstLineChars="200"/>
        <w:rPr>
          <w:rFonts w:cs="宋体"/>
          <w:sz w:val="24"/>
          <w:szCs w:val="24"/>
        </w:rPr>
      </w:pPr>
      <w:r>
        <w:rPr>
          <w:rFonts w:hint="eastAsia" w:cs="宋体"/>
          <w:sz w:val="24"/>
          <w:szCs w:val="24"/>
        </w:rPr>
        <w:t>2、在签订采购合同之后，中标人要求解除合同的，视为中标人违约，对招标人造成的损失的，中标人需支付相应的赔偿，（赔偿范围包括但不限于招标人重新采购的差价、工期延误损失等，</w:t>
      </w:r>
      <w:r>
        <w:rPr>
          <w:rFonts w:ascii="宋体" w:hAnsi="宋体" w:cs="宋体"/>
          <w:kern w:val="0"/>
          <w:sz w:val="24"/>
          <w:szCs w:val="24"/>
          <w:lang w:bidi="ar"/>
        </w:rPr>
        <w:t>实际损失无法核算的，按合同预估金额的</w:t>
      </w:r>
      <w:r>
        <w:rPr>
          <w:rFonts w:hint="eastAsia" w:ascii="宋体" w:hAnsi="宋体" w:cs="宋体"/>
          <w:kern w:val="0"/>
          <w:sz w:val="24"/>
          <w:szCs w:val="24"/>
          <w:lang w:bidi="ar"/>
        </w:rPr>
        <w:t>30</w:t>
      </w:r>
      <w:r>
        <w:rPr>
          <w:rFonts w:ascii="宋体" w:hAnsi="宋体" w:cs="宋体"/>
          <w:kern w:val="0"/>
          <w:sz w:val="24"/>
          <w:szCs w:val="24"/>
          <w:lang w:bidi="ar"/>
        </w:rPr>
        <w:t>%计算</w:t>
      </w:r>
      <w:r>
        <w:rPr>
          <w:rFonts w:hint="eastAsia" w:ascii="宋体" w:hAnsi="宋体" w:cs="宋体"/>
          <w:kern w:val="0"/>
          <w:sz w:val="24"/>
          <w:szCs w:val="24"/>
          <w:lang w:bidi="ar"/>
        </w:rPr>
        <w:t>，</w:t>
      </w:r>
      <w:r>
        <w:rPr>
          <w:rFonts w:hint="eastAsia" w:cs="宋体"/>
          <w:sz w:val="24"/>
          <w:szCs w:val="24"/>
          <w:lang w:bidi="ar"/>
        </w:rPr>
        <w:t>同时中标人需承担招标人为主张损失所支出的相关费用包括但不限于律师费</w:t>
      </w:r>
      <w:r>
        <w:rPr>
          <w:rFonts w:hint="eastAsia" w:cs="宋体"/>
          <w:sz w:val="24"/>
          <w:szCs w:val="24"/>
        </w:rPr>
        <w:t>、诉讼费、保全费等），若赔偿金额不足弥补招标人损失的，招标人有权追偿，并依据采购合同追究中标人的违约责任</w:t>
      </w:r>
      <w:r>
        <w:rPr>
          <w:rFonts w:hint="eastAsia" w:cs="宋体"/>
          <w:sz w:val="24"/>
          <w:szCs w:val="24"/>
          <w:lang w:eastAsia="zh-CN"/>
        </w:rPr>
        <w:t>，</w:t>
      </w:r>
      <w:r>
        <w:rPr>
          <w:rFonts w:hint="eastAsia" w:cs="宋体"/>
          <w:sz w:val="24"/>
          <w:szCs w:val="24"/>
        </w:rPr>
        <w:t>且履约保证金不予退还。</w:t>
      </w:r>
    </w:p>
    <w:p w14:paraId="4BDB3F43">
      <w:pPr>
        <w:spacing w:line="360" w:lineRule="auto"/>
        <w:ind w:firstLine="480" w:firstLineChars="200"/>
        <w:rPr>
          <w:rFonts w:cs="宋体"/>
          <w:sz w:val="24"/>
          <w:szCs w:val="24"/>
        </w:rPr>
      </w:pPr>
      <w:bookmarkStart w:id="205" w:name="_Toc21934"/>
      <w:r>
        <w:rPr>
          <w:rFonts w:hint="eastAsia" w:cs="宋体"/>
          <w:sz w:val="24"/>
          <w:szCs w:val="24"/>
        </w:rPr>
        <w:t>3、因中标人原因发生重大质量事故，除需依约承担赔偿责任（赔偿范围包括但不限于招标人重新采购的差价、工期延误损失等，</w:t>
      </w:r>
      <w:r>
        <w:rPr>
          <w:rFonts w:ascii="宋体" w:hAnsi="宋体" w:cs="宋体"/>
          <w:kern w:val="0"/>
          <w:sz w:val="24"/>
          <w:szCs w:val="24"/>
          <w:lang w:bidi="ar"/>
        </w:rPr>
        <w:t>实际损失无法核算的，按合同预估金额的</w:t>
      </w:r>
      <w:r>
        <w:rPr>
          <w:rFonts w:hint="eastAsia" w:ascii="宋体" w:hAnsi="宋体" w:cs="宋体"/>
          <w:kern w:val="0"/>
          <w:sz w:val="24"/>
          <w:szCs w:val="24"/>
          <w:lang w:bidi="ar"/>
        </w:rPr>
        <w:t>30</w:t>
      </w:r>
      <w:r>
        <w:rPr>
          <w:rFonts w:ascii="宋体" w:hAnsi="宋体" w:cs="宋体"/>
          <w:kern w:val="0"/>
          <w:sz w:val="24"/>
          <w:szCs w:val="24"/>
          <w:lang w:bidi="ar"/>
        </w:rPr>
        <w:t>%计算</w:t>
      </w:r>
      <w:r>
        <w:rPr>
          <w:rFonts w:hint="eastAsia" w:cs="宋体"/>
          <w:sz w:val="24"/>
          <w:szCs w:val="24"/>
        </w:rPr>
        <w:t>，若赔偿金额不足弥补招标人损失的，招标人有权追偿，并依据采购合同追究中标人的违约责任</w:t>
      </w:r>
      <w:r>
        <w:rPr>
          <w:rFonts w:hint="eastAsia" w:ascii="宋体" w:hAnsi="宋体" w:cs="宋体"/>
          <w:kern w:val="0"/>
          <w:sz w:val="24"/>
          <w:szCs w:val="24"/>
          <w:lang w:bidi="ar"/>
        </w:rPr>
        <w:t>，</w:t>
      </w:r>
      <w:r>
        <w:rPr>
          <w:rFonts w:hint="eastAsia" w:cs="宋体"/>
          <w:sz w:val="24"/>
          <w:szCs w:val="24"/>
          <w:lang w:bidi="ar"/>
        </w:rPr>
        <w:t>同时中标人需承担招标人为主张损失所支出的相关费用包括但不限于律师费</w:t>
      </w:r>
      <w:r>
        <w:rPr>
          <w:rFonts w:hint="eastAsia" w:cs="宋体"/>
          <w:sz w:val="24"/>
          <w:szCs w:val="24"/>
        </w:rPr>
        <w:t>、诉讼费、保全费等），还将按有关质量管理办法规定执行。同时，招标人有权保留更换中标人的权利，并报相关部门处罚。</w:t>
      </w:r>
    </w:p>
    <w:p w14:paraId="3516BC51">
      <w:pPr>
        <w:spacing w:line="360" w:lineRule="auto"/>
        <w:ind w:firstLine="480" w:firstLineChars="200"/>
        <w:rPr>
          <w:rFonts w:cs="宋体"/>
          <w:sz w:val="24"/>
          <w:szCs w:val="24"/>
        </w:rPr>
      </w:pPr>
      <w:r>
        <w:rPr>
          <w:rFonts w:hint="eastAsia" w:cs="宋体"/>
          <w:sz w:val="24"/>
          <w:szCs w:val="24"/>
        </w:rPr>
        <w:t>4、若发生死亡安全事故，除按国家有关安全管理规定及招标人有关安全管理办法执行外，并报相关部门处罚；发生重大安全事故或特大安全事故，除按国家有关安全管理规定及招标人有关安全管理办法执行外，招标人有权终止合同，给招标人造成的损失，还应承担赔偿责任（赔偿范围包括但不限于招标人重新采购的差价、工期延误损失等，实际损失无法核算的，按合同预估金额的30%计算</w:t>
      </w:r>
      <w:r>
        <w:rPr>
          <w:rFonts w:hint="eastAsia" w:ascii="宋体" w:hAnsi="宋体" w:cs="宋体"/>
          <w:kern w:val="0"/>
          <w:sz w:val="24"/>
          <w:szCs w:val="24"/>
          <w:lang w:bidi="ar"/>
        </w:rPr>
        <w:t>，</w:t>
      </w:r>
      <w:r>
        <w:rPr>
          <w:rFonts w:hint="eastAsia" w:cs="宋体"/>
          <w:sz w:val="24"/>
          <w:szCs w:val="24"/>
          <w:lang w:bidi="ar"/>
        </w:rPr>
        <w:t>同时中标人需承担招标人为主张损失所支出的相关费用包括但不限于律师费</w:t>
      </w:r>
      <w:r>
        <w:rPr>
          <w:rFonts w:hint="eastAsia" w:cs="宋体"/>
          <w:sz w:val="24"/>
          <w:szCs w:val="24"/>
        </w:rPr>
        <w:t>、诉讼费、保全费等）。</w:t>
      </w:r>
    </w:p>
    <w:p w14:paraId="34739B37">
      <w:pPr>
        <w:adjustRightInd w:val="0"/>
        <w:snapToGrid w:val="0"/>
        <w:spacing w:line="360" w:lineRule="auto"/>
        <w:outlineLvl w:val="1"/>
        <w:rPr>
          <w:rFonts w:hint="eastAsia" w:cs="宋体"/>
          <w:sz w:val="24"/>
          <w:szCs w:val="24"/>
        </w:rPr>
      </w:pPr>
      <w:r>
        <w:rPr>
          <w:rFonts w:hint="eastAsia" w:cs="宋体"/>
          <w:sz w:val="24"/>
          <w:szCs w:val="24"/>
        </w:rPr>
        <w:t>5、在明确违约责任后，中标人应在接到书面通知书起七日内支付赔偿金，逾期支付的，每逾期一日，按应付未付金额的4‰向招标人支付逾期违约金。</w:t>
      </w:r>
    </w:p>
    <w:p w14:paraId="6CBCBD05">
      <w:pPr>
        <w:adjustRightInd w:val="0"/>
        <w:snapToGrid w:val="0"/>
        <w:spacing w:line="360" w:lineRule="auto"/>
        <w:outlineLvl w:val="1"/>
        <w:rPr>
          <w:rFonts w:cs="宋体"/>
          <w:b/>
          <w:bCs/>
          <w:sz w:val="24"/>
          <w:szCs w:val="24"/>
        </w:rPr>
      </w:pPr>
      <w:r>
        <w:rPr>
          <w:rFonts w:hint="eastAsia" w:cs="宋体"/>
          <w:b/>
          <w:bCs/>
          <w:sz w:val="24"/>
          <w:szCs w:val="24"/>
        </w:rPr>
        <w:t>八、知识产权</w:t>
      </w:r>
      <w:bookmarkEnd w:id="204"/>
      <w:bookmarkEnd w:id="205"/>
    </w:p>
    <w:p w14:paraId="1FAC681F">
      <w:pPr>
        <w:spacing w:line="360" w:lineRule="auto"/>
        <w:ind w:firstLine="480" w:firstLineChars="200"/>
        <w:rPr>
          <w:rFonts w:cs="宋体"/>
          <w:sz w:val="24"/>
          <w:szCs w:val="24"/>
        </w:rPr>
      </w:pPr>
      <w:r>
        <w:rPr>
          <w:rFonts w:hint="eastAsia" w:cs="宋体"/>
          <w:sz w:val="24"/>
          <w:szCs w:val="24"/>
        </w:rPr>
        <w:t>1、投标人必须通过合法渠道获取，并保证招标人在使用过程的任何时候不受到知识产权或版权的纠纷。否则，由此产生的责任，完全由投标人承担。</w:t>
      </w:r>
    </w:p>
    <w:p w14:paraId="3423381E">
      <w:pPr>
        <w:spacing w:line="360" w:lineRule="auto"/>
        <w:ind w:firstLine="480" w:firstLineChars="200"/>
        <w:rPr>
          <w:rFonts w:cs="宋体"/>
          <w:sz w:val="24"/>
          <w:szCs w:val="24"/>
        </w:rPr>
      </w:pPr>
      <w:r>
        <w:rPr>
          <w:rFonts w:hint="eastAsia" w:cs="宋体"/>
          <w:sz w:val="24"/>
          <w:szCs w:val="24"/>
        </w:rPr>
        <w:t>2、投标人必须保证招标人在使用项目成果过程的任何时候均不侵犯第三方的知识产权（包括但不限于专利权、商标权、著作权和技术秘密等权利）。若任何第三方针对投标人根据本项目提供的货物及服务行为提出知识产权侵权指控，投标人须与第三方交涉并承担由此而引起的一切法律责任和费用。如果招标人因为第三方的侵权指控遭受了损失（包括但不限于律师费、诉讼费、生效法律文书要求招标人承担法律责任等），招标人有权向供应商追偿。</w:t>
      </w:r>
    </w:p>
    <w:p w14:paraId="462C9BFB">
      <w:pPr>
        <w:adjustRightInd w:val="0"/>
        <w:snapToGrid w:val="0"/>
        <w:spacing w:line="360" w:lineRule="auto"/>
        <w:outlineLvl w:val="1"/>
        <w:rPr>
          <w:rFonts w:cs="宋体"/>
          <w:b/>
          <w:bCs/>
          <w:sz w:val="24"/>
          <w:szCs w:val="24"/>
        </w:rPr>
      </w:pPr>
      <w:bookmarkStart w:id="206" w:name="_Toc8624"/>
      <w:bookmarkStart w:id="207" w:name="_Toc6734"/>
      <w:r>
        <w:rPr>
          <w:rFonts w:hint="eastAsia" w:cs="宋体"/>
          <w:b/>
          <w:bCs/>
          <w:sz w:val="24"/>
          <w:szCs w:val="24"/>
        </w:rPr>
        <w:t>九、合同签订</w:t>
      </w:r>
      <w:bookmarkEnd w:id="206"/>
      <w:bookmarkEnd w:id="207"/>
    </w:p>
    <w:p w14:paraId="3868D828">
      <w:pPr>
        <w:spacing w:line="360" w:lineRule="auto"/>
        <w:ind w:firstLine="480" w:firstLineChars="200"/>
        <w:rPr>
          <w:rFonts w:cs="宋体"/>
          <w:sz w:val="24"/>
          <w:szCs w:val="24"/>
        </w:rPr>
      </w:pPr>
      <w:r>
        <w:rPr>
          <w:rFonts w:hint="eastAsia" w:cs="宋体"/>
          <w:sz w:val="24"/>
          <w:szCs w:val="24"/>
        </w:rPr>
        <w:t>1、中标公告发布后，中标人应及时领取《中标通知书》，持《中标通知书》与招标人签订合同，招标文件、中标人的投标文件均作为合同订立的基础。</w:t>
      </w:r>
    </w:p>
    <w:p w14:paraId="2939468E">
      <w:pPr>
        <w:spacing w:line="360" w:lineRule="auto"/>
        <w:ind w:firstLine="482" w:firstLineChars="200"/>
        <w:rPr>
          <w:rFonts w:cs="宋体"/>
          <w:b/>
          <w:bCs/>
          <w:sz w:val="24"/>
          <w:szCs w:val="24"/>
        </w:rPr>
      </w:pPr>
      <w:r>
        <w:rPr>
          <w:rFonts w:hint="eastAsia" w:cs="宋体"/>
          <w:b/>
          <w:bCs/>
          <w:sz w:val="24"/>
          <w:szCs w:val="24"/>
        </w:rPr>
        <w:t>2、中标人应当在《中标通知书》发出之日起7日内，派代表与招标人签订合同，如中标人因自身原因不能按时和招标人签订合同，招标人有权取消其成交资格，由第二中标候选人依次递补，并按有关规定对其进行处罚。</w:t>
      </w:r>
    </w:p>
    <w:p w14:paraId="15548F21">
      <w:pPr>
        <w:pStyle w:val="3"/>
        <w:rPr>
          <w:rFonts w:hint="eastAsia"/>
        </w:rPr>
      </w:pPr>
    </w:p>
    <w:p w14:paraId="68039AC9">
      <w:pPr>
        <w:pStyle w:val="39"/>
        <w:spacing w:line="360" w:lineRule="auto"/>
        <w:ind w:firstLine="480"/>
        <w:rPr>
          <w:rFonts w:hint="eastAsia" w:ascii="宋体" w:hAnsi="宋体" w:eastAsia="宋体"/>
          <w:sz w:val="24"/>
          <w:szCs w:val="24"/>
        </w:rPr>
      </w:pPr>
    </w:p>
    <w:p w14:paraId="6D55FAE4">
      <w:pPr>
        <w:pStyle w:val="25"/>
        <w:rPr>
          <w:rFonts w:hint="eastAsia"/>
        </w:rPr>
      </w:pPr>
      <w:bookmarkStart w:id="208" w:name="_Toc176509528"/>
    </w:p>
    <w:bookmarkEnd w:id="208"/>
    <w:p w14:paraId="1686EFEC">
      <w:pPr>
        <w:spacing w:line="360" w:lineRule="auto"/>
        <w:jc w:val="center"/>
        <w:outlineLvl w:val="0"/>
        <w:rPr>
          <w:b/>
          <w:bCs/>
          <w:sz w:val="36"/>
          <w:szCs w:val="36"/>
        </w:rPr>
      </w:pPr>
    </w:p>
    <w:p w14:paraId="51AEE436">
      <w:pPr>
        <w:spacing w:line="240" w:lineRule="auto"/>
        <w:jc w:val="left"/>
        <w:rPr>
          <w:b/>
          <w:bCs/>
          <w:sz w:val="36"/>
          <w:szCs w:val="36"/>
        </w:rPr>
      </w:pPr>
      <w:bookmarkStart w:id="209" w:name="_Toc1402"/>
      <w:r>
        <w:rPr>
          <w:rFonts w:hint="eastAsia"/>
          <w:b/>
          <w:bCs/>
          <w:sz w:val="36"/>
          <w:szCs w:val="36"/>
        </w:rPr>
        <w:br w:type="page"/>
      </w:r>
    </w:p>
    <w:p w14:paraId="3D75BD4A">
      <w:pPr>
        <w:spacing w:line="360" w:lineRule="auto"/>
        <w:jc w:val="center"/>
        <w:outlineLvl w:val="0"/>
        <w:rPr>
          <w:b/>
          <w:bCs/>
          <w:sz w:val="36"/>
          <w:szCs w:val="36"/>
        </w:rPr>
      </w:pPr>
      <w:bookmarkStart w:id="210" w:name="_Toc15314"/>
      <w:r>
        <w:rPr>
          <w:rFonts w:hint="eastAsia"/>
          <w:b/>
          <w:bCs/>
          <w:sz w:val="36"/>
          <w:szCs w:val="36"/>
        </w:rPr>
        <w:t>第五章  合同条款</w:t>
      </w:r>
      <w:bookmarkEnd w:id="209"/>
      <w:bookmarkEnd w:id="210"/>
    </w:p>
    <w:tbl>
      <w:tblPr>
        <w:tblStyle w:val="28"/>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14:paraId="5FAE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8630" w:type="dxa"/>
            <w:tcBorders>
              <w:top w:val="single" w:color="auto" w:sz="4" w:space="0"/>
              <w:left w:val="single" w:color="auto" w:sz="4" w:space="0"/>
              <w:bottom w:val="single" w:color="auto" w:sz="4" w:space="0"/>
              <w:right w:val="single" w:color="auto" w:sz="4" w:space="0"/>
            </w:tcBorders>
          </w:tcPr>
          <w:p w14:paraId="68EB9945">
            <w:pPr>
              <w:snapToGrid w:val="0"/>
              <w:spacing w:line="360" w:lineRule="auto"/>
              <w:ind w:left="105"/>
              <w:rPr>
                <w:rFonts w:cs="宋体"/>
                <w:sz w:val="24"/>
                <w:szCs w:val="24"/>
              </w:rPr>
            </w:pPr>
            <w:r>
              <w:rPr>
                <w:rFonts w:hint="eastAsia" w:cs="宋体"/>
                <w:sz w:val="24"/>
                <w:szCs w:val="24"/>
              </w:rPr>
              <w:t>注释：</w:t>
            </w:r>
          </w:p>
          <w:p w14:paraId="3163E0A8">
            <w:pPr>
              <w:snapToGrid w:val="0"/>
              <w:spacing w:line="360" w:lineRule="auto"/>
              <w:ind w:firstLine="720" w:firstLineChars="300"/>
              <w:rPr>
                <w:rFonts w:cs="宋体"/>
                <w:sz w:val="24"/>
                <w:szCs w:val="24"/>
              </w:rPr>
            </w:pPr>
            <w:r>
              <w:rPr>
                <w:rFonts w:hint="eastAsia" w:cs="宋体"/>
                <w:sz w:val="24"/>
                <w:szCs w:val="24"/>
              </w:rPr>
              <w:t>本格式条款仅作为双方签订合同的参考，为阐明各方的权利和义务，经协商可增加新的条款、修改相关条款，但不得与招标文件、投标文件的实质性内容相背离。</w:t>
            </w:r>
          </w:p>
        </w:tc>
      </w:tr>
    </w:tbl>
    <w:p w14:paraId="3E90E2FF">
      <w:pPr>
        <w:jc w:val="center"/>
        <w:rPr>
          <w:rFonts w:hint="eastAsia" w:ascii="仿宋" w:hAnsi="仿宋" w:eastAsia="仿宋" w:cs="仿宋"/>
          <w:sz w:val="28"/>
          <w:szCs w:val="28"/>
        </w:rPr>
      </w:pPr>
      <w:r>
        <w:rPr>
          <w:rFonts w:hint="eastAsia" w:ascii="仿宋" w:hAnsi="仿宋" w:eastAsia="仿宋" w:cs="仿宋"/>
          <w:b/>
          <w:bCs/>
          <w:sz w:val="36"/>
          <w:szCs w:val="36"/>
        </w:rPr>
        <w:t>软件采购合同</w:t>
      </w:r>
    </w:p>
    <w:p w14:paraId="57613185">
      <w:pPr>
        <w:rPr>
          <w:rFonts w:hint="eastAsia" w:ascii="仿宋" w:hAnsi="仿宋" w:eastAsia="仿宋" w:cs="仿宋"/>
          <w:sz w:val="28"/>
          <w:szCs w:val="28"/>
        </w:rPr>
      </w:pPr>
      <w:r>
        <w:rPr>
          <w:rFonts w:hint="eastAsia" w:ascii="仿宋" w:hAnsi="仿宋" w:eastAsia="仿宋" w:cs="仿宋"/>
          <w:b/>
          <w:bCs/>
          <w:sz w:val="28"/>
          <w:szCs w:val="28"/>
        </w:rPr>
        <w:t>甲方(买方)：</w:t>
      </w:r>
      <w:r>
        <w:rPr>
          <w:rFonts w:hint="eastAsia" w:ascii="仿宋" w:hAnsi="仿宋" w:eastAsia="仿宋" w:cs="仿宋"/>
          <w:sz w:val="28"/>
          <w:szCs w:val="28"/>
        </w:rPr>
        <w:t xml:space="preserve">   </w:t>
      </w:r>
    </w:p>
    <w:p w14:paraId="46B58FD6">
      <w:pPr>
        <w:rPr>
          <w:rFonts w:hint="eastAsia" w:ascii="仿宋" w:hAnsi="仿宋" w:eastAsia="仿宋" w:cs="仿宋"/>
          <w:sz w:val="28"/>
          <w:szCs w:val="28"/>
        </w:rPr>
      </w:pPr>
      <w:r>
        <w:rPr>
          <w:rFonts w:hint="eastAsia" w:ascii="仿宋" w:hAnsi="仿宋" w:eastAsia="仿宋" w:cs="仿宋"/>
          <w:b/>
          <w:bCs/>
          <w:sz w:val="28"/>
          <w:szCs w:val="28"/>
        </w:rPr>
        <w:t>乙方(卖方)：</w:t>
      </w:r>
      <w:r>
        <w:rPr>
          <w:rFonts w:hint="eastAsia" w:ascii="仿宋" w:hAnsi="仿宋" w:eastAsia="仿宋" w:cs="仿宋"/>
          <w:sz w:val="28"/>
          <w:szCs w:val="28"/>
        </w:rPr>
        <w:t xml:space="preserve"> </w:t>
      </w:r>
    </w:p>
    <w:p w14:paraId="3E5BDA63">
      <w:pPr>
        <w:rPr>
          <w:rFonts w:hint="eastAsia" w:ascii="仿宋" w:hAnsi="仿宋" w:eastAsia="仿宋" w:cs="仿宋"/>
          <w:sz w:val="28"/>
          <w:szCs w:val="28"/>
        </w:rPr>
      </w:pPr>
      <w:r>
        <w:rPr>
          <w:rFonts w:hint="eastAsia" w:ascii="仿宋" w:hAnsi="仿宋" w:eastAsia="仿宋" w:cs="仿宋"/>
          <w:sz w:val="28"/>
          <w:szCs w:val="28"/>
        </w:rPr>
        <w:t xml:space="preserve">    甲乙双方本着平等互利、协商一致的原则，签订本合同，以资双方信守执行。 </w:t>
      </w:r>
    </w:p>
    <w:p w14:paraId="64D5D30B">
      <w:pPr>
        <w:ind w:firstLine="560"/>
        <w:rPr>
          <w:rFonts w:hint="eastAsia"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xml:space="preserve">  </w:t>
      </w:r>
      <w:r>
        <w:rPr>
          <w:rFonts w:hint="eastAsia" w:ascii="仿宋" w:hAnsi="仿宋" w:eastAsia="仿宋" w:cs="仿宋"/>
          <w:b/>
          <w:bCs/>
          <w:sz w:val="28"/>
          <w:szCs w:val="28"/>
        </w:rPr>
        <w:t>产品名称、种类、规格、单位、数量</w:t>
      </w:r>
      <w:r>
        <w:rPr>
          <w:rFonts w:hint="eastAsia" w:ascii="仿宋" w:hAnsi="仿宋" w:eastAsia="仿宋" w:cs="仿宋"/>
          <w:sz w:val="28"/>
          <w:szCs w:val="28"/>
        </w:rPr>
        <w:t xml:space="preserve"> </w:t>
      </w:r>
    </w:p>
    <w:p w14:paraId="7A0E26FB">
      <w:pPr>
        <w:ind w:firstLine="560"/>
        <w:rPr>
          <w:rFonts w:hint="eastAsia" w:ascii="仿宋" w:hAnsi="仿宋" w:eastAsia="仿宋" w:cs="仿宋"/>
          <w:sz w:val="28"/>
          <w:szCs w:val="28"/>
        </w:rPr>
      </w:pPr>
      <w:r>
        <w:rPr>
          <w:rFonts w:hint="eastAsia" w:ascii="仿宋" w:hAnsi="仿宋" w:eastAsia="仿宋" w:cs="仿宋"/>
          <w:sz w:val="28"/>
          <w:szCs w:val="28"/>
        </w:rPr>
        <w:t xml:space="preserve">乙方向甲方提供如下产品及服务： (1) 提供软件________套，版本：________。 (2) 提供本合同中所购买的软件及软件________年的模块免费升级、维护和技术支持，服务期自软件最终验收合格之日起计算；免费升级范围包含全部安全补丁、功能补丁、小版本迭代及大版本升级，乙方不得就合同约定模块的升级收取任何费用。 软件模块名称及数量具体内容见合同附件。 </w:t>
      </w:r>
    </w:p>
    <w:p w14:paraId="0BFA7129">
      <w:pPr>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第二条</w:t>
      </w:r>
      <w:r>
        <w:rPr>
          <w:rFonts w:hint="eastAsia" w:ascii="仿宋" w:hAnsi="仿宋" w:eastAsia="仿宋" w:cs="仿宋"/>
          <w:sz w:val="28"/>
          <w:szCs w:val="28"/>
        </w:rPr>
        <w:t xml:space="preserve">  </w:t>
      </w:r>
      <w:r>
        <w:rPr>
          <w:rFonts w:hint="eastAsia" w:ascii="仿宋" w:hAnsi="仿宋" w:eastAsia="仿宋" w:cs="仿宋"/>
          <w:b/>
          <w:bCs/>
          <w:sz w:val="28"/>
          <w:szCs w:val="28"/>
        </w:rPr>
        <w:t>合同组成</w:t>
      </w:r>
    </w:p>
    <w:p w14:paraId="21D3DCAE">
      <w:pPr>
        <w:ind w:firstLine="560" w:firstLineChars="200"/>
        <w:rPr>
          <w:rFonts w:hint="eastAsia" w:ascii="仿宋" w:hAnsi="仿宋" w:eastAsia="仿宋" w:cs="仿宋"/>
          <w:sz w:val="28"/>
          <w:szCs w:val="28"/>
        </w:rPr>
      </w:pPr>
      <w:r>
        <w:rPr>
          <w:rFonts w:hint="eastAsia" w:ascii="仿宋" w:hAnsi="仿宋" w:eastAsia="仿宋" w:cs="仿宋"/>
          <w:sz w:val="28"/>
          <w:szCs w:val="28"/>
        </w:rPr>
        <w:t>合同有效文件由合同正文、合同附件组成。采购实施过程中经签署生效的合同变更补充文档将作为合同有效的组成部分，同样具有法律效力。</w:t>
      </w:r>
    </w:p>
    <w:p w14:paraId="57C5CE2F">
      <w:pPr>
        <w:ind w:firstLine="562" w:firstLineChars="200"/>
        <w:rPr>
          <w:rStyle w:val="31"/>
          <w:rFonts w:hint="eastAsia" w:ascii="仿宋" w:hAnsi="仿宋" w:eastAsia="仿宋" w:cs="仿宋"/>
          <w:sz w:val="28"/>
          <w:szCs w:val="28"/>
        </w:rPr>
      </w:pPr>
      <w:r>
        <w:rPr>
          <w:rStyle w:val="31"/>
          <w:rFonts w:hint="eastAsia" w:ascii="仿宋" w:hAnsi="仿宋" w:eastAsia="仿宋" w:cs="仿宋"/>
          <w:sz w:val="28"/>
          <w:szCs w:val="28"/>
        </w:rPr>
        <w:t>第三条  交货方式</w:t>
      </w:r>
    </w:p>
    <w:p w14:paraId="5A83CC25">
      <w:pPr>
        <w:numPr>
          <w:ilvl w:val="0"/>
          <w:numId w:val="14"/>
        </w:numPr>
        <w:ind w:firstLine="560" w:firstLineChars="200"/>
        <w:rPr>
          <w:rFonts w:hint="eastAsia" w:ascii="仿宋" w:hAnsi="仿宋" w:eastAsia="仿宋" w:cs="仿宋"/>
          <w:sz w:val="28"/>
          <w:szCs w:val="28"/>
        </w:rPr>
      </w:pPr>
      <w:r>
        <w:rPr>
          <w:rFonts w:hint="eastAsia" w:ascii="仿宋" w:hAnsi="仿宋" w:eastAsia="仿宋" w:cs="仿宋"/>
          <w:sz w:val="28"/>
          <w:szCs w:val="28"/>
        </w:rPr>
        <w:t>交货时间：甲方与乙方签订合同后，以甲方与乙方共同书面确认的项目实施进度表为准</w:t>
      </w:r>
      <w:r>
        <w:rPr>
          <w:rFonts w:hint="eastAsia" w:ascii="仿宋" w:hAnsi="仿宋" w:eastAsia="仿宋" w:cs="仿宋"/>
          <w:sz w:val="28"/>
          <w:szCs w:val="28"/>
          <w:lang w:eastAsia="zh-CN"/>
        </w:rPr>
        <w:t>。</w:t>
      </w:r>
    </w:p>
    <w:p w14:paraId="0D3B96F0">
      <w:pPr>
        <w:ind w:firstLine="560" w:firstLineChars="200"/>
        <w:rPr>
          <w:rFonts w:hint="eastAsia" w:ascii="仿宋" w:hAnsi="仿宋" w:eastAsia="仿宋" w:cs="仿宋"/>
          <w:sz w:val="28"/>
          <w:szCs w:val="28"/>
        </w:rPr>
      </w:pPr>
      <w:r>
        <w:rPr>
          <w:rFonts w:hint="eastAsia" w:ascii="仿宋" w:hAnsi="仿宋" w:eastAsia="仿宋" w:cs="仿宋"/>
          <w:sz w:val="28"/>
          <w:szCs w:val="28"/>
        </w:rPr>
        <w:t>2.交货地点：厦工（三明）重型机器有限公司。</w:t>
      </w:r>
    </w:p>
    <w:p w14:paraId="421A3374">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3.交付内容：乙方交付内容包括但不限于软件安装介质（光盘 / U 盘）、正式授权许可文件、完整的操作手册、维护手册、管理员手册等纸质及电子文档，以及加密锁（如有）。</w:t>
      </w:r>
    </w:p>
    <w:p w14:paraId="0234C0D0">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第四条  安装及验收方法</w:t>
      </w:r>
    </w:p>
    <w:p w14:paraId="3CD58C9B">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1.乙方负责在交货地点安装、调试软件。软件到达用户现场，要求软件包装完好，资料和介质齐全。验收前，货物所有权不转移，甲方不承担货物损毁、灭失的风险。</w:t>
      </w:r>
    </w:p>
    <w:p w14:paraId="677FF41E">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2.乙方在接到甲方硬件环境具备要求的条件确认通知后，在【 】个工作日内派工程师到甲方现场完成软件安装工作，确保买方采购软件正常运行。</w:t>
      </w:r>
    </w:p>
    <w:p w14:paraId="32C523A0">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3.乙方按照合同附件约定的进度，完成相应阶段的培训服务并向甲方提供培训及相关技术文档后，甲方按照合同附件的约定对乙方培训进行验收，甲乙双方签署验收文件，如果甲方认为乙方的培训及相关技术支持不符合合同附件的约定而不予验收，应以书面形式向乙方说明不予验收的理由及依据，乙方将根据甲方的说明提供相应的改进。</w:t>
      </w:r>
    </w:p>
    <w:p w14:paraId="4FF48D36">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4.软件安装调试完成后，进入【  】日试运行期。试运行期内软件核心功能持续稳定运行、无重大故障、符合合同约定功能标准的，试运行期满后双方启动正式验收；试运行期内出现故障的，试运行期限自故障修复之日起重新计算。</w:t>
      </w:r>
    </w:p>
    <w:p w14:paraId="73DA3385">
      <w:pPr>
        <w:pStyle w:val="24"/>
        <w:ind w:firstLine="562" w:firstLineChars="200"/>
        <w:rPr>
          <w:rStyle w:val="31"/>
          <w:rFonts w:hint="eastAsia" w:ascii="仿宋" w:hAnsi="仿宋" w:eastAsia="仿宋" w:cs="仿宋"/>
          <w:sz w:val="28"/>
          <w:szCs w:val="28"/>
        </w:rPr>
      </w:pPr>
      <w:r>
        <w:rPr>
          <w:rStyle w:val="31"/>
          <w:rFonts w:hint="eastAsia" w:ascii="仿宋" w:hAnsi="仿宋" w:eastAsia="仿宋" w:cs="仿宋"/>
          <w:sz w:val="28"/>
          <w:szCs w:val="28"/>
        </w:rPr>
        <w:t>第五条  付款方式</w:t>
      </w:r>
    </w:p>
    <w:p w14:paraId="688AAD2C">
      <w:pPr>
        <w:pStyle w:val="13"/>
        <w:snapToGrid w:val="0"/>
        <w:spacing w:line="500" w:lineRule="exact"/>
        <w:ind w:left="707" w:leftChars="202" w:hanging="283" w:hangingChars="118"/>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1、合同签订收到</w:t>
      </w:r>
      <w:r>
        <w:rPr>
          <w:rFonts w:hint="eastAsia" w:cs="宋体"/>
          <w:bCs/>
          <w:color w:val="000000" w:themeColor="text1"/>
          <w:sz w:val="24"/>
          <w:szCs w:val="24"/>
          <w:lang w:val="en-US" w:eastAsia="zh-CN"/>
          <w14:textFill>
            <w14:solidFill>
              <w14:schemeClr w14:val="tx1"/>
            </w14:solidFill>
          </w14:textFill>
        </w:rPr>
        <w:t>卖方</w:t>
      </w:r>
      <w:r>
        <w:rPr>
          <w:rFonts w:hint="eastAsia" w:cs="宋体"/>
          <w:bCs/>
          <w:color w:val="000000" w:themeColor="text1"/>
          <w:sz w:val="24"/>
          <w:szCs w:val="24"/>
          <w14:textFill>
            <w14:solidFill>
              <w14:schemeClr w14:val="tx1"/>
            </w14:solidFill>
          </w14:textFill>
        </w:rPr>
        <w:t>“制造商的项目实施计划表”后</w:t>
      </w:r>
      <w:r>
        <w:rPr>
          <w:rFonts w:hint="eastAsia" w:cs="宋体"/>
          <w:bCs/>
          <w:color w:val="000000" w:themeColor="text1"/>
          <w:sz w:val="24"/>
          <w:szCs w:val="24"/>
          <w:lang w:val="en-US" w:eastAsia="zh-CN"/>
          <w14:textFill>
            <w14:solidFill>
              <w14:schemeClr w14:val="tx1"/>
            </w14:solidFill>
          </w14:textFill>
        </w:rPr>
        <w:t>10</w:t>
      </w:r>
      <w:r>
        <w:rPr>
          <w:rFonts w:hint="eastAsia" w:cs="宋体"/>
          <w:bCs/>
          <w:color w:val="000000" w:themeColor="text1"/>
          <w:sz w:val="24"/>
          <w:szCs w:val="24"/>
          <w14:textFill>
            <w14:solidFill>
              <w14:schemeClr w14:val="tx1"/>
            </w14:solidFill>
          </w14:textFill>
        </w:rPr>
        <w:t>日内</w:t>
      </w:r>
      <w:r>
        <w:rPr>
          <w:rFonts w:hint="eastAsia" w:cs="宋体"/>
          <w:bCs/>
          <w:color w:val="000000" w:themeColor="text1"/>
          <w:sz w:val="24"/>
          <w:szCs w:val="24"/>
          <w:lang w:val="en-US" w:eastAsia="zh-CN"/>
          <w14:textFill>
            <w14:solidFill>
              <w14:schemeClr w14:val="tx1"/>
            </w14:solidFill>
          </w14:textFill>
        </w:rPr>
        <w:t>买方</w:t>
      </w:r>
      <w:r>
        <w:rPr>
          <w:rFonts w:hint="eastAsia" w:cs="宋体"/>
          <w:bCs/>
          <w:color w:val="000000" w:themeColor="text1"/>
          <w:sz w:val="24"/>
          <w:szCs w:val="24"/>
          <w14:textFill>
            <w14:solidFill>
              <w14:schemeClr w14:val="tx1"/>
            </w14:solidFill>
          </w14:textFill>
        </w:rPr>
        <w:t>向</w:t>
      </w:r>
      <w:r>
        <w:rPr>
          <w:rFonts w:hint="eastAsia" w:cs="宋体"/>
          <w:bCs/>
          <w:color w:val="000000" w:themeColor="text1"/>
          <w:sz w:val="24"/>
          <w:szCs w:val="24"/>
          <w:lang w:val="en-US" w:eastAsia="zh-CN"/>
          <w14:textFill>
            <w14:solidFill>
              <w14:schemeClr w14:val="tx1"/>
            </w14:solidFill>
          </w14:textFill>
        </w:rPr>
        <w:t>卖方</w:t>
      </w:r>
      <w:r>
        <w:rPr>
          <w:rFonts w:hint="eastAsia" w:cs="宋体"/>
          <w:bCs/>
          <w:color w:val="000000" w:themeColor="text1"/>
          <w:sz w:val="24"/>
          <w:szCs w:val="24"/>
          <w14:textFill>
            <w14:solidFill>
              <w14:schemeClr w14:val="tx1"/>
            </w14:solidFill>
          </w14:textFill>
        </w:rPr>
        <w:t>支付合同总额20％的预付货款。</w:t>
      </w:r>
    </w:p>
    <w:p w14:paraId="5C06E7B5">
      <w:pPr>
        <w:pStyle w:val="13"/>
        <w:snapToGrid w:val="0"/>
        <w:spacing w:line="500" w:lineRule="exact"/>
        <w:ind w:left="424" w:leftChars="202"/>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w:t>
      </w:r>
      <w:r>
        <w:rPr>
          <w:rFonts w:hint="eastAsia" w:cs="宋体"/>
          <w:bCs/>
          <w:color w:val="000000" w:themeColor="text1"/>
          <w:sz w:val="24"/>
          <w:szCs w:val="24"/>
          <w:lang w:val="en-US" w:eastAsia="zh-CN"/>
          <w14:textFill>
            <w14:solidFill>
              <w14:schemeClr w14:val="tx1"/>
            </w14:solidFill>
          </w14:textFill>
        </w:rPr>
        <w:t>卖方</w:t>
      </w:r>
      <w:r>
        <w:rPr>
          <w:rFonts w:hint="eastAsia" w:cs="宋体"/>
          <w:bCs/>
          <w:color w:val="000000" w:themeColor="text1"/>
          <w:sz w:val="24"/>
          <w:szCs w:val="24"/>
          <w14:textFill>
            <w14:solidFill>
              <w14:schemeClr w14:val="tx1"/>
            </w14:solidFill>
          </w14:textFill>
        </w:rPr>
        <w:t>的项目蓝图审核通过后再支付3</w:t>
      </w:r>
      <w:r>
        <w:rPr>
          <w:rFonts w:cs="宋体"/>
          <w:bCs/>
          <w:color w:val="000000" w:themeColor="text1"/>
          <w:sz w:val="24"/>
          <w:szCs w:val="24"/>
          <w14:textFill>
            <w14:solidFill>
              <w14:schemeClr w14:val="tx1"/>
            </w14:solidFill>
          </w14:textFill>
        </w:rPr>
        <w:t>0%</w:t>
      </w:r>
      <w:r>
        <w:rPr>
          <w:rFonts w:hint="eastAsia" w:cs="宋体"/>
          <w:bCs/>
          <w:color w:val="000000" w:themeColor="text1"/>
          <w:sz w:val="24"/>
          <w:szCs w:val="24"/>
          <w14:textFill>
            <w14:solidFill>
              <w14:schemeClr w14:val="tx1"/>
            </w14:solidFill>
          </w14:textFill>
        </w:rPr>
        <w:t>项目蓝图款，</w:t>
      </w:r>
    </w:p>
    <w:p w14:paraId="2E20D271">
      <w:pPr>
        <w:pStyle w:val="13"/>
        <w:snapToGrid w:val="0"/>
        <w:spacing w:line="500" w:lineRule="exact"/>
        <w:ind w:left="424" w:leftChars="202"/>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3、</w:t>
      </w:r>
      <w:r>
        <w:rPr>
          <w:rFonts w:hint="eastAsia" w:cs="宋体"/>
          <w:bCs/>
          <w:color w:val="000000" w:themeColor="text1"/>
          <w:sz w:val="24"/>
          <w:szCs w:val="24"/>
          <w:lang w:val="en-US"/>
          <w14:textFill>
            <w14:solidFill>
              <w14:schemeClr w14:val="tx1"/>
            </w14:solidFill>
          </w14:textFill>
        </w:rPr>
        <w:t>系统在买</w:t>
      </w:r>
      <w:r>
        <w:rPr>
          <w:rFonts w:hint="eastAsia" w:cs="宋体"/>
          <w:bCs/>
          <w:color w:val="000000" w:themeColor="text1"/>
          <w:sz w:val="24"/>
          <w:szCs w:val="24"/>
          <w14:textFill>
            <w14:solidFill>
              <w14:schemeClr w14:val="tx1"/>
            </w14:solidFill>
          </w14:textFill>
        </w:rPr>
        <w:t>方现场安装调试完毕并经最终综合验收合格（三包期起算日）</w:t>
      </w:r>
      <w:r>
        <w:rPr>
          <w:rFonts w:hint="eastAsia" w:cs="宋体"/>
          <w:bCs/>
          <w:color w:val="000000" w:themeColor="text1"/>
          <w:sz w:val="24"/>
          <w:szCs w:val="24"/>
          <w:lang w:val="en-US" w:eastAsia="zh-CN"/>
          <w14:textFill>
            <w14:solidFill>
              <w14:schemeClr w14:val="tx1"/>
            </w14:solidFill>
          </w14:textFill>
        </w:rPr>
        <w:t>10</w:t>
      </w:r>
      <w:r>
        <w:rPr>
          <w:rFonts w:hint="eastAsia" w:cs="宋体"/>
          <w:bCs/>
          <w:color w:val="000000" w:themeColor="text1"/>
          <w:sz w:val="24"/>
          <w:szCs w:val="24"/>
          <w14:textFill>
            <w14:solidFill>
              <w14:schemeClr w14:val="tx1"/>
            </w14:solidFill>
          </w14:textFill>
        </w:rPr>
        <w:t>日内向</w:t>
      </w:r>
      <w:r>
        <w:rPr>
          <w:rFonts w:hint="eastAsia" w:cs="宋体"/>
          <w:bCs/>
          <w:color w:val="000000" w:themeColor="text1"/>
          <w:sz w:val="24"/>
          <w:szCs w:val="24"/>
          <w:lang w:val="en-US" w:eastAsia="zh-CN"/>
          <w14:textFill>
            <w14:solidFill>
              <w14:schemeClr w14:val="tx1"/>
            </w14:solidFill>
          </w14:textFill>
        </w:rPr>
        <w:t>卖</w:t>
      </w:r>
      <w:r>
        <w:rPr>
          <w:rFonts w:hint="eastAsia" w:cs="宋体"/>
          <w:bCs/>
          <w:color w:val="000000" w:themeColor="text1"/>
          <w:sz w:val="24"/>
          <w:szCs w:val="24"/>
          <w14:textFill>
            <w14:solidFill>
              <w14:schemeClr w14:val="tx1"/>
            </w14:solidFill>
          </w14:textFill>
        </w:rPr>
        <w:t>方支付合同金额40％；</w:t>
      </w:r>
    </w:p>
    <w:p w14:paraId="71DD632C">
      <w:pPr>
        <w:pStyle w:val="13"/>
        <w:snapToGrid w:val="0"/>
        <w:spacing w:line="500" w:lineRule="exact"/>
        <w:ind w:left="424" w:leftChars="202"/>
        <w:rPr>
          <w:sz w:val="24"/>
          <w:szCs w:val="24"/>
        </w:rPr>
      </w:pPr>
      <w:r>
        <w:rPr>
          <w:rFonts w:hint="eastAsia" w:cs="宋体"/>
          <w:bCs/>
          <w:color w:val="000000" w:themeColor="text1"/>
          <w:sz w:val="24"/>
          <w:szCs w:val="24"/>
          <w14:textFill>
            <w14:solidFill>
              <w14:schemeClr w14:val="tx1"/>
            </w14:solidFill>
          </w14:textFill>
        </w:rPr>
        <w:t>4</w:t>
      </w:r>
      <w:r>
        <w:rPr>
          <w:rFonts w:hint="eastAsia" w:cs="宋体"/>
          <w:bCs/>
          <w:sz w:val="24"/>
          <w:szCs w:val="24"/>
        </w:rPr>
        <w:t>、</w:t>
      </w:r>
      <w:r>
        <w:rPr>
          <w:rFonts w:hint="eastAsia"/>
          <w:sz w:val="24"/>
          <w:szCs w:val="24"/>
        </w:rPr>
        <w:t>合同价款的10%作为质保金，买方于</w:t>
      </w:r>
      <w:r>
        <w:rPr>
          <w:rFonts w:hint="eastAsia"/>
          <w:sz w:val="24"/>
          <w:szCs w:val="24"/>
          <w:lang w:val="en-US"/>
        </w:rPr>
        <w:t>系统</w:t>
      </w:r>
      <w:r>
        <w:rPr>
          <w:rFonts w:hint="eastAsia"/>
          <w:sz w:val="24"/>
          <w:szCs w:val="24"/>
        </w:rPr>
        <w:t>质保期满无质量问题后</w:t>
      </w:r>
      <w:r>
        <w:rPr>
          <w:rFonts w:hint="eastAsia"/>
          <w:sz w:val="24"/>
          <w:szCs w:val="24"/>
          <w:u w:val="single"/>
          <w:lang w:val="en-US" w:eastAsia="zh-CN"/>
        </w:rPr>
        <w:t>14</w:t>
      </w:r>
      <w:r>
        <w:rPr>
          <w:rFonts w:hint="eastAsia"/>
          <w:sz w:val="24"/>
          <w:szCs w:val="24"/>
        </w:rPr>
        <w:t>日内向卖方支付。</w:t>
      </w:r>
    </w:p>
    <w:p w14:paraId="1553F1C5">
      <w:pPr>
        <w:pStyle w:val="13"/>
        <w:snapToGrid w:val="0"/>
        <w:spacing w:line="500" w:lineRule="exact"/>
        <w:ind w:left="424" w:leftChars="202"/>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5、在上述历次付款节点前，</w:t>
      </w:r>
      <w:r>
        <w:rPr>
          <w:rFonts w:hint="eastAsia" w:cs="宋体"/>
          <w:bCs/>
          <w:color w:val="000000" w:themeColor="text1"/>
          <w:sz w:val="24"/>
          <w:szCs w:val="24"/>
          <w:lang w:val="en-US" w:eastAsia="zh-CN"/>
          <w14:textFill>
            <w14:solidFill>
              <w14:schemeClr w14:val="tx1"/>
            </w14:solidFill>
          </w14:textFill>
        </w:rPr>
        <w:t>卖</w:t>
      </w:r>
      <w:r>
        <w:rPr>
          <w:rFonts w:hint="eastAsia"/>
          <w:sz w:val="24"/>
          <w:szCs w:val="24"/>
        </w:rPr>
        <w:t>方均应按相应付款金额提供等额的合格增值税专用发票，如</w:t>
      </w:r>
      <w:r>
        <w:rPr>
          <w:rFonts w:hint="eastAsia" w:cs="宋体"/>
          <w:bCs/>
          <w:color w:val="000000" w:themeColor="text1"/>
          <w:sz w:val="24"/>
          <w:szCs w:val="24"/>
          <w:lang w:val="en-US" w:eastAsia="zh-CN"/>
          <w14:textFill>
            <w14:solidFill>
              <w14:schemeClr w14:val="tx1"/>
            </w14:solidFill>
          </w14:textFill>
        </w:rPr>
        <w:t>卖</w:t>
      </w:r>
      <w:r>
        <w:rPr>
          <w:rFonts w:hint="eastAsia"/>
          <w:sz w:val="24"/>
          <w:szCs w:val="24"/>
        </w:rPr>
        <w:t>方不能提供或提供的发票不符合要求，买方有权拒绝付款，且不承担逾期付款违约责任</w:t>
      </w:r>
      <w:r>
        <w:rPr>
          <w:rFonts w:hint="eastAsia" w:cs="宋体"/>
          <w:bCs/>
          <w:sz w:val="24"/>
          <w:szCs w:val="24"/>
        </w:rPr>
        <w:t>。</w:t>
      </w:r>
    </w:p>
    <w:p w14:paraId="21B0DEF2">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第六条  服务条款</w:t>
      </w:r>
    </w:p>
    <w:p w14:paraId="1965BB83">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1.采用用户现场软件培训方式。甲方指定培训人数。</w:t>
      </w:r>
    </w:p>
    <w:p w14:paraId="6ED76302">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2.保证培训的时间及质量，培训时间及安排详见附件。培训完毕要保证所培训人员能正常使用软件系统。</w:t>
      </w:r>
    </w:p>
    <w:p w14:paraId="57FE3C6F">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3.甲方安装软件的主机硬件损坏导致软件无法使用或更换主机，乙方将免费为甲方提供移机。</w:t>
      </w:r>
    </w:p>
    <w:p w14:paraId="4F616024">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4.软件安装验收完毕之后，乙方提供________年的本合同中所购买的软件、维护和技术支持。软件现场问题24小时内响应。</w:t>
      </w:r>
    </w:p>
    <w:p w14:paraId="65B21B8B">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5.甲方应准备适当的场地及设备以获得本合同所约定的各项服务，否则，乙方有权等待甲方准备完毕再提供本合同所约定的各项服务。</w:t>
      </w:r>
    </w:p>
    <w:p w14:paraId="7E29F381">
      <w:pPr>
        <w:pStyle w:val="24"/>
        <w:ind w:firstLine="560" w:firstLineChars="200"/>
        <w:rPr>
          <w:rFonts w:ascii="仿宋" w:hAnsi="仿宋" w:eastAsia="仿宋" w:cs="仿宋"/>
          <w:sz w:val="28"/>
          <w:szCs w:val="28"/>
        </w:rPr>
      </w:pPr>
      <w:r>
        <w:rPr>
          <w:rFonts w:hint="eastAsia" w:ascii="仿宋" w:hAnsi="仿宋" w:eastAsia="仿宋" w:cs="仿宋"/>
          <w:sz w:val="28"/>
          <w:szCs w:val="28"/>
        </w:rPr>
        <w:t>6.本合同对应年度服务费用为软件部分价格的10%。</w:t>
      </w:r>
    </w:p>
    <w:p w14:paraId="7CD794DC">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7.免费服务期满后，甲方有权自主选择是否续约维护服务；续约费用不得高于本合同对应年度服务费用</w:t>
      </w:r>
      <w:r>
        <w:rPr>
          <w:rFonts w:hint="eastAsia" w:ascii="仿宋" w:hAnsi="仿宋" w:eastAsia="仿宋" w:cs="仿宋"/>
          <w:sz w:val="28"/>
          <w:szCs w:val="28"/>
          <w:lang w:eastAsia="zh-CN"/>
        </w:rPr>
        <w:t>。</w:t>
      </w:r>
    </w:p>
    <w:p w14:paraId="7576B54E">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第七条  运输费用</w:t>
      </w:r>
    </w:p>
    <w:p w14:paraId="66165510">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运输、保险、装卸费用及运输途中的货物损毁、灭失风险全部由乙方承担，货物交付甲方并验收合格前的一切风险由乙方负责。</w:t>
      </w:r>
    </w:p>
    <w:p w14:paraId="01CA3E07">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第八条  违约责任</w:t>
      </w:r>
    </w:p>
    <w:p w14:paraId="70736A96">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1.乙方未按合同约定时间交货或完成安装调试的，每逾期 1 日，应向甲方支付合同总额0.5‰的违约金；逾期超过30日的，甲方有权单方解除合同，乙方应于合同解除后 3 个工作日内退还甲方已支付的全部款项，并支付合同总额30% 的违约金。</w:t>
      </w:r>
    </w:p>
    <w:p w14:paraId="16CCF2E2">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2.乙方交付的软件功能、性能不符合合同约定标准的，甲方有权要求乙方限期整改，整改后仍不合格的，甲方有权拒收或解除合同，乙方应退还全部已付款，并赔偿甲方因此遭受的全部损失（如若损失无法确定，损失金额按合同总额的30%为准）。</w:t>
      </w:r>
    </w:p>
    <w:p w14:paraId="4F8E7B47">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3.乙方保证所提供软件为合法正版软件，且拥有完整知识产权或合法授权。若第三方指控甲方使用该软件构成侵权，乙方应负责全程处理纠纷并承担全部费用（包括但不限于诉讼费、律师费、赔偿款）；若软件被生效法律文书禁止使用，乙方应免费为甲方更换功能等同的合法软件，或退还全部合同款项，并支付合同总额30% 的惩罚性违约金，同时赔偿甲方因此遭受的全部业务损失、商誉损失。</w:t>
      </w:r>
    </w:p>
    <w:p w14:paraId="281C2EF5">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4.在合同约定的有效售后服务期内，乙方怠于处理甲方所反馈的软件技术问题，每延迟一日，影响甲方的业务正常进行，乙方按每日合同总额0.05‰向甲方支付违约金。</w:t>
      </w:r>
    </w:p>
    <w:p w14:paraId="5C423083">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5.乙方不能履行本合同中培训相关承诺的，甲方有权拒付合同中约定的培训费用或收回已支付给乙方的培训费用，乙方同时需要向甲方支付本合同总金额的30％的赔偿金。</w:t>
      </w:r>
    </w:p>
    <w:p w14:paraId="724C04AD">
      <w:pPr>
        <w:pStyle w:val="24"/>
        <w:ind w:firstLine="560" w:firstLineChars="200"/>
        <w:rPr>
          <w:rFonts w:ascii="仿宋" w:hAnsi="仿宋" w:eastAsia="仿宋" w:cs="仿宋"/>
          <w:sz w:val="28"/>
          <w:szCs w:val="28"/>
        </w:rPr>
      </w:pPr>
      <w:r>
        <w:rPr>
          <w:rFonts w:hint="eastAsia" w:ascii="仿宋" w:hAnsi="仿宋" w:eastAsia="仿宋" w:cs="仿宋"/>
          <w:sz w:val="28"/>
          <w:szCs w:val="28"/>
        </w:rPr>
        <w:t>6.一方违反保密义务的，应向守约方支付合同总额30% 的违约金，并赔偿守约方因此遭受的全部损失。</w:t>
      </w:r>
    </w:p>
    <w:p w14:paraId="3742851B">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7.同时乙方应承担甲方为追索债权或追究乙方违约责任所支出的相关费用包括但不限于诉讼费,律师费，保全费等。</w:t>
      </w:r>
    </w:p>
    <w:p w14:paraId="5847C472">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第九条  合同的变更及终止</w:t>
      </w:r>
    </w:p>
    <w:p w14:paraId="544829D9">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任意一方如提出增减设备数量，变动交货时间，应提前通知对方，征得同意，并经双方协商一致且以书面形式签字确认，作为合同的附件或补充合同。</w:t>
      </w:r>
    </w:p>
    <w:p w14:paraId="6F7A3AE7">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第十条  </w:t>
      </w:r>
      <w:r>
        <w:rPr>
          <w:rStyle w:val="31"/>
          <w:rFonts w:hint="eastAsia" w:ascii="仿宋" w:hAnsi="仿宋" w:eastAsia="仿宋" w:cs="仿宋"/>
          <w:spacing w:val="7"/>
          <w:sz w:val="28"/>
          <w:szCs w:val="28"/>
        </w:rPr>
        <w:t>知识产权</w:t>
      </w:r>
    </w:p>
    <w:p w14:paraId="3F329E4A">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1.乙方软件系统为载体的软件知识产权归乙方所有。甲方应充分尊重乙方知识产权，未经乙方许可，甲方不得以任何形式将乙方软件及相关文件向任何第三方提供。</w:t>
      </w:r>
    </w:p>
    <w:p w14:paraId="13EF45CB">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2.乙方应保证提供给甲方的产品拥有自主知识产权，如被第三方指控侵权，由此引起的任何纠纷将由乙方负全部责任， 承担由此给甲方造成的一切经济损失。</w:t>
      </w:r>
    </w:p>
    <w:p w14:paraId="5D55261B">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第十一条  争议解决方式</w:t>
      </w:r>
    </w:p>
    <w:p w14:paraId="26A3BDD7">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甲乙双方与本合同有关的一切争议应由甲乙双方协商解决。协商仍不能解决的，任何一方均可向甲方所在地人民法院提起诉讼，以诉讼方式解决。</w:t>
      </w:r>
    </w:p>
    <w:p w14:paraId="72B6A763">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第十二条  保密</w:t>
      </w:r>
    </w:p>
    <w:p w14:paraId="64406957">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保密期限自信息披露之日起至信息合法公开之日止，不受本合同变更、解除、终止的影响。保密信息包括但不限于本合同内容、双方的商业信息、技术资料、甲方业务数据、项目方案等。乙方应对其参与本项目的员工、外包人员进行保密管理，前述人员违反保密义务的，由乙方承担全部责任。</w:t>
      </w:r>
    </w:p>
    <w:p w14:paraId="1616097F">
      <w:pPr>
        <w:pStyle w:val="24"/>
        <w:ind w:firstLine="562" w:firstLineChars="200"/>
        <w:rPr>
          <w:rStyle w:val="31"/>
          <w:rFonts w:hint="eastAsia" w:ascii="仿宋" w:hAnsi="仿宋" w:eastAsia="仿宋" w:cs="仿宋"/>
          <w:sz w:val="28"/>
          <w:szCs w:val="28"/>
        </w:rPr>
      </w:pPr>
      <w:r>
        <w:rPr>
          <w:rStyle w:val="31"/>
          <w:rFonts w:hint="eastAsia" w:ascii="仿宋" w:hAnsi="仿宋" w:eastAsia="仿宋" w:cs="仿宋"/>
          <w:sz w:val="28"/>
          <w:szCs w:val="28"/>
        </w:rPr>
        <w:t>第十三条  其他</w:t>
      </w:r>
    </w:p>
    <w:p w14:paraId="66770D46">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1.双方确认本合同载明的地址、联系人为法定送达地址与联系人，所有书面通知按该地址寄送，签收之日视为送达；拒收或无人签收的，寄出后第 3 日视为送达。一方变更送达信息的，应提前 3 个工作日书面通知对方，否则承担送达不能的责任。</w:t>
      </w:r>
    </w:p>
    <w:p w14:paraId="004522DB">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2.因不可抗力导致合同无法履行的，受影响一方应于 24 小时内通知对方，并于 7 日内提供有效证明；双方根据不可抗力影响程度，协商决定延期履行、部分履行或解除合同，互不承担违约责任。</w:t>
      </w:r>
    </w:p>
    <w:p w14:paraId="7756D8AA">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3.本合同经甲乙双方签字盖章后生效。</w:t>
      </w:r>
    </w:p>
    <w:p w14:paraId="59C2D8EF">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4.本合同一式 2 份，甲方持 1 份，乙方持 1 份，每份合同具有同等的法律效力。</w:t>
      </w:r>
    </w:p>
    <w:tbl>
      <w:tblPr>
        <w:tblStyle w:val="28"/>
        <w:tblpPr w:leftFromText="180" w:rightFromText="180" w:vertAnchor="text" w:horzAnchor="margin" w:tblpXSpec="center" w:tblpY="42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2"/>
        <w:gridCol w:w="4732"/>
      </w:tblGrid>
      <w:tr w14:paraId="4C4E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4732" w:type="dxa"/>
            <w:vAlign w:val="center"/>
          </w:tcPr>
          <w:p w14:paraId="230935B2">
            <w:pPr>
              <w:spacing w:line="400" w:lineRule="exact"/>
              <w:ind w:firstLine="1365" w:firstLineChars="650"/>
              <w:rPr>
                <w:rFonts w:hint="eastAsia" w:ascii="仿宋" w:hAnsi="仿宋" w:eastAsia="仿宋" w:cs="仿宋"/>
                <w:szCs w:val="21"/>
              </w:rPr>
            </w:pPr>
            <w:r>
              <w:rPr>
                <w:rFonts w:hint="eastAsia" w:ascii="仿宋" w:hAnsi="仿宋" w:eastAsia="仿宋" w:cs="仿宋"/>
                <w:szCs w:val="21"/>
              </w:rPr>
              <w:t>甲        方</w:t>
            </w:r>
          </w:p>
          <w:p w14:paraId="335DC495">
            <w:pPr>
              <w:spacing w:line="400" w:lineRule="exact"/>
              <w:ind w:firstLine="200"/>
              <w:rPr>
                <w:rFonts w:hint="eastAsia" w:ascii="仿宋" w:hAnsi="仿宋" w:eastAsia="仿宋" w:cs="仿宋"/>
                <w:szCs w:val="21"/>
              </w:rPr>
            </w:pPr>
            <w:r>
              <w:rPr>
                <w:rFonts w:hint="eastAsia" w:ascii="仿宋" w:hAnsi="仿宋" w:eastAsia="仿宋" w:cs="仿宋"/>
                <w:szCs w:val="21"/>
              </w:rPr>
              <w:t>单位名称: 厦工（三明）重型机器有限公司</w:t>
            </w:r>
          </w:p>
          <w:p w14:paraId="2F4B5695">
            <w:pPr>
              <w:spacing w:line="400" w:lineRule="exact"/>
              <w:ind w:firstLine="200"/>
              <w:rPr>
                <w:rFonts w:hint="eastAsia" w:ascii="仿宋" w:hAnsi="仿宋" w:eastAsia="仿宋" w:cs="仿宋"/>
                <w:szCs w:val="21"/>
              </w:rPr>
            </w:pPr>
            <w:r>
              <w:rPr>
                <w:rFonts w:hint="eastAsia" w:ascii="仿宋" w:hAnsi="仿宋" w:eastAsia="仿宋" w:cs="仿宋"/>
                <w:szCs w:val="21"/>
              </w:rPr>
              <w:t>单位地址: 福建三明沙县金沙工业园</w:t>
            </w:r>
          </w:p>
          <w:p w14:paraId="78454C6C">
            <w:pPr>
              <w:spacing w:line="400" w:lineRule="exact"/>
              <w:ind w:firstLine="200"/>
              <w:rPr>
                <w:rFonts w:hint="eastAsia" w:ascii="仿宋" w:hAnsi="仿宋" w:eastAsia="仿宋" w:cs="仿宋"/>
                <w:szCs w:val="21"/>
              </w:rPr>
            </w:pPr>
            <w:r>
              <w:rPr>
                <w:rFonts w:hint="eastAsia" w:ascii="仿宋" w:hAnsi="仿宋" w:eastAsia="仿宋" w:cs="仿宋"/>
                <w:szCs w:val="21"/>
              </w:rPr>
              <w:t>邮政编码：365500</w:t>
            </w:r>
          </w:p>
          <w:p w14:paraId="1591B137">
            <w:pPr>
              <w:spacing w:line="400" w:lineRule="exact"/>
              <w:ind w:firstLine="200"/>
              <w:rPr>
                <w:rFonts w:hint="eastAsia" w:ascii="仿宋" w:hAnsi="仿宋" w:eastAsia="仿宋" w:cs="仿宋"/>
                <w:szCs w:val="21"/>
                <w:u w:val="single"/>
              </w:rPr>
            </w:pPr>
            <w:r>
              <w:rPr>
                <w:rFonts w:hint="eastAsia" w:ascii="仿宋" w:hAnsi="仿宋" w:eastAsia="仿宋" w:cs="仿宋"/>
                <w:szCs w:val="21"/>
              </w:rPr>
              <w:t>经办人：</w:t>
            </w:r>
            <w:r>
              <w:rPr>
                <w:rFonts w:hint="eastAsia" w:ascii="仿宋" w:hAnsi="仿宋" w:eastAsia="仿宋" w:cs="仿宋"/>
                <w:szCs w:val="21"/>
                <w:u w:val="single"/>
              </w:rPr>
              <w:t xml:space="preserve">                  </w:t>
            </w:r>
          </w:p>
          <w:p w14:paraId="114846B4">
            <w:pPr>
              <w:spacing w:line="400" w:lineRule="exact"/>
              <w:ind w:firstLine="200"/>
              <w:rPr>
                <w:rFonts w:hint="eastAsia" w:ascii="仿宋" w:hAnsi="仿宋" w:eastAsia="仿宋" w:cs="仿宋"/>
                <w:szCs w:val="21"/>
              </w:rPr>
            </w:pPr>
            <w:r>
              <w:rPr>
                <w:rFonts w:hint="eastAsia" w:ascii="仿宋" w:hAnsi="仿宋" w:eastAsia="仿宋" w:cs="仿宋"/>
                <w:szCs w:val="21"/>
              </w:rPr>
              <w:t>电话号码：0598-5699316</w:t>
            </w:r>
          </w:p>
          <w:p w14:paraId="1CCD11F4">
            <w:pPr>
              <w:spacing w:line="400" w:lineRule="exact"/>
              <w:ind w:firstLine="200"/>
              <w:rPr>
                <w:rFonts w:hint="eastAsia" w:ascii="仿宋" w:hAnsi="仿宋" w:eastAsia="仿宋" w:cs="仿宋"/>
                <w:szCs w:val="21"/>
              </w:rPr>
            </w:pPr>
            <w:r>
              <w:rPr>
                <w:rFonts w:hint="eastAsia" w:ascii="仿宋" w:hAnsi="仿宋" w:eastAsia="仿宋" w:cs="仿宋"/>
                <w:szCs w:val="21"/>
              </w:rPr>
              <w:t>传真号码：0598-5699900-3309</w:t>
            </w:r>
          </w:p>
          <w:p w14:paraId="023677B7">
            <w:pPr>
              <w:spacing w:line="400" w:lineRule="exact"/>
              <w:ind w:firstLine="200"/>
              <w:rPr>
                <w:rFonts w:hint="eastAsia" w:ascii="仿宋" w:hAnsi="仿宋" w:eastAsia="仿宋" w:cs="仿宋"/>
                <w:szCs w:val="21"/>
              </w:rPr>
            </w:pPr>
            <w:r>
              <w:rPr>
                <w:rFonts w:hint="eastAsia" w:ascii="仿宋" w:hAnsi="仿宋" w:eastAsia="仿宋" w:cs="仿宋"/>
                <w:szCs w:val="21"/>
              </w:rPr>
              <w:t>开户行: 中国建设银行股份有限公司沙县支行</w:t>
            </w:r>
          </w:p>
          <w:p w14:paraId="7E9B5230">
            <w:pPr>
              <w:spacing w:line="400" w:lineRule="exact"/>
              <w:ind w:firstLine="200"/>
              <w:rPr>
                <w:rFonts w:hint="eastAsia" w:ascii="仿宋" w:hAnsi="仿宋" w:eastAsia="仿宋" w:cs="仿宋"/>
                <w:szCs w:val="21"/>
              </w:rPr>
            </w:pPr>
            <w:r>
              <w:rPr>
                <w:rFonts w:hint="eastAsia" w:ascii="仿宋" w:hAnsi="仿宋" w:eastAsia="仿宋" w:cs="仿宋"/>
                <w:szCs w:val="21"/>
              </w:rPr>
              <w:t>银行账号：35001647707052502197</w:t>
            </w:r>
          </w:p>
          <w:p w14:paraId="27ACE9D0">
            <w:pPr>
              <w:spacing w:line="400" w:lineRule="exact"/>
              <w:ind w:firstLine="200"/>
              <w:rPr>
                <w:rFonts w:hint="eastAsia" w:ascii="仿宋" w:hAnsi="仿宋" w:eastAsia="仿宋" w:cs="仿宋"/>
                <w:szCs w:val="21"/>
              </w:rPr>
            </w:pPr>
            <w:r>
              <w:rPr>
                <w:rFonts w:hint="eastAsia" w:ascii="仿宋" w:hAnsi="仿宋" w:eastAsia="仿宋" w:cs="仿宋"/>
                <w:szCs w:val="21"/>
              </w:rPr>
              <w:t>纳税人识别号: 91350400155583837C</w:t>
            </w:r>
          </w:p>
        </w:tc>
        <w:tc>
          <w:tcPr>
            <w:tcW w:w="4732" w:type="dxa"/>
          </w:tcPr>
          <w:p w14:paraId="2F928A09">
            <w:pPr>
              <w:spacing w:line="400" w:lineRule="exact"/>
              <w:ind w:firstLine="1365" w:firstLineChars="650"/>
              <w:rPr>
                <w:rFonts w:hint="eastAsia" w:ascii="仿宋" w:hAnsi="仿宋" w:eastAsia="仿宋" w:cs="仿宋"/>
                <w:szCs w:val="21"/>
              </w:rPr>
            </w:pPr>
            <w:r>
              <w:rPr>
                <w:rFonts w:hint="eastAsia" w:ascii="仿宋" w:hAnsi="仿宋" w:eastAsia="仿宋" w:cs="仿宋"/>
                <w:szCs w:val="21"/>
              </w:rPr>
              <w:t>乙       方</w:t>
            </w:r>
          </w:p>
          <w:p w14:paraId="23C63AF6">
            <w:pPr>
              <w:spacing w:line="400" w:lineRule="exact"/>
              <w:ind w:firstLine="200"/>
              <w:rPr>
                <w:rFonts w:hint="eastAsia" w:ascii="仿宋" w:hAnsi="仿宋" w:eastAsia="仿宋" w:cs="仿宋"/>
                <w:szCs w:val="21"/>
              </w:rPr>
            </w:pPr>
            <w:r>
              <w:rPr>
                <w:rFonts w:hint="eastAsia" w:ascii="仿宋" w:hAnsi="仿宋" w:eastAsia="仿宋" w:cs="仿宋"/>
                <w:szCs w:val="21"/>
              </w:rPr>
              <w:t>名称:</w:t>
            </w:r>
          </w:p>
          <w:p w14:paraId="06D0B1FB">
            <w:pPr>
              <w:spacing w:line="400" w:lineRule="exact"/>
              <w:ind w:firstLine="200"/>
              <w:rPr>
                <w:rFonts w:hint="eastAsia" w:ascii="仿宋" w:hAnsi="仿宋" w:eastAsia="仿宋" w:cs="仿宋"/>
                <w:szCs w:val="21"/>
              </w:rPr>
            </w:pPr>
            <w:r>
              <w:rPr>
                <w:rFonts w:hint="eastAsia" w:ascii="仿宋" w:hAnsi="仿宋" w:eastAsia="仿宋" w:cs="仿宋"/>
                <w:szCs w:val="21"/>
              </w:rPr>
              <w:t xml:space="preserve">地址: </w:t>
            </w:r>
          </w:p>
          <w:p w14:paraId="0F48B005">
            <w:pPr>
              <w:spacing w:line="400" w:lineRule="exact"/>
              <w:ind w:firstLine="200"/>
              <w:rPr>
                <w:rFonts w:hint="eastAsia" w:ascii="仿宋" w:hAnsi="仿宋" w:eastAsia="仿宋" w:cs="仿宋"/>
                <w:b/>
                <w:szCs w:val="21"/>
              </w:rPr>
            </w:pPr>
            <w:r>
              <w:rPr>
                <w:rFonts w:hint="eastAsia" w:ascii="仿宋" w:hAnsi="仿宋" w:eastAsia="仿宋" w:cs="仿宋"/>
                <w:szCs w:val="21"/>
              </w:rPr>
              <w:t>邮政编码：</w:t>
            </w:r>
            <w:r>
              <w:rPr>
                <w:rFonts w:hint="eastAsia" w:ascii="仿宋" w:hAnsi="仿宋" w:eastAsia="仿宋" w:cs="仿宋"/>
                <w:b/>
                <w:color w:val="FF0000"/>
                <w:szCs w:val="21"/>
              </w:rPr>
              <w:t xml:space="preserve"> </w:t>
            </w:r>
          </w:p>
          <w:p w14:paraId="72956E61">
            <w:pPr>
              <w:spacing w:line="400" w:lineRule="exact"/>
              <w:ind w:firstLine="200"/>
              <w:rPr>
                <w:rFonts w:hint="eastAsia" w:ascii="仿宋" w:hAnsi="仿宋" w:eastAsia="仿宋" w:cs="仿宋"/>
                <w:szCs w:val="21"/>
                <w:u w:val="single"/>
              </w:rPr>
            </w:pPr>
            <w:r>
              <w:rPr>
                <w:rFonts w:hint="eastAsia" w:ascii="仿宋" w:hAnsi="仿宋" w:eastAsia="仿宋" w:cs="仿宋"/>
                <w:szCs w:val="21"/>
              </w:rPr>
              <w:t>经办人：</w:t>
            </w:r>
            <w:r>
              <w:rPr>
                <w:rFonts w:hint="eastAsia" w:ascii="仿宋" w:hAnsi="仿宋" w:eastAsia="仿宋" w:cs="仿宋"/>
                <w:szCs w:val="21"/>
                <w:u w:val="single"/>
              </w:rPr>
              <w:t xml:space="preserve">                  </w:t>
            </w:r>
          </w:p>
          <w:p w14:paraId="69B872C7">
            <w:pPr>
              <w:spacing w:line="400" w:lineRule="exact"/>
              <w:ind w:firstLine="200"/>
              <w:rPr>
                <w:rFonts w:hint="eastAsia" w:ascii="仿宋" w:hAnsi="仿宋" w:eastAsia="仿宋" w:cs="仿宋"/>
                <w:szCs w:val="21"/>
              </w:rPr>
            </w:pPr>
            <w:r>
              <w:rPr>
                <w:rFonts w:hint="eastAsia" w:ascii="仿宋" w:hAnsi="仿宋" w:eastAsia="仿宋" w:cs="仿宋"/>
                <w:szCs w:val="21"/>
              </w:rPr>
              <w:t>电话号码：</w:t>
            </w:r>
          </w:p>
          <w:p w14:paraId="641819BA">
            <w:pPr>
              <w:spacing w:line="400" w:lineRule="exact"/>
              <w:ind w:firstLine="200"/>
              <w:rPr>
                <w:rFonts w:hint="eastAsia" w:ascii="仿宋" w:hAnsi="仿宋" w:eastAsia="仿宋" w:cs="仿宋"/>
                <w:szCs w:val="21"/>
              </w:rPr>
            </w:pPr>
            <w:r>
              <w:rPr>
                <w:rFonts w:hint="eastAsia" w:ascii="仿宋" w:hAnsi="仿宋" w:eastAsia="仿宋" w:cs="仿宋"/>
                <w:szCs w:val="21"/>
              </w:rPr>
              <w:t>传真号码：</w:t>
            </w:r>
          </w:p>
          <w:p w14:paraId="0B9FE1D2">
            <w:pPr>
              <w:spacing w:line="400" w:lineRule="exact"/>
              <w:ind w:firstLine="200"/>
              <w:rPr>
                <w:rFonts w:hint="eastAsia" w:ascii="仿宋" w:hAnsi="仿宋" w:eastAsia="仿宋" w:cs="仿宋"/>
                <w:szCs w:val="21"/>
              </w:rPr>
            </w:pPr>
            <w:r>
              <w:rPr>
                <w:rFonts w:hint="eastAsia" w:ascii="仿宋" w:hAnsi="仿宋" w:eastAsia="仿宋" w:cs="仿宋"/>
                <w:szCs w:val="21"/>
              </w:rPr>
              <w:t>开户银行:</w:t>
            </w:r>
          </w:p>
          <w:p w14:paraId="0FA6E253">
            <w:pPr>
              <w:spacing w:line="400" w:lineRule="exact"/>
              <w:ind w:firstLine="200"/>
              <w:rPr>
                <w:rFonts w:hint="eastAsia" w:ascii="仿宋" w:hAnsi="仿宋" w:eastAsia="仿宋" w:cs="仿宋"/>
                <w:szCs w:val="21"/>
              </w:rPr>
            </w:pPr>
            <w:r>
              <w:rPr>
                <w:rFonts w:hint="eastAsia" w:ascii="仿宋" w:hAnsi="仿宋" w:eastAsia="仿宋" w:cs="仿宋"/>
                <w:szCs w:val="21"/>
              </w:rPr>
              <w:t>银行账号：</w:t>
            </w:r>
          </w:p>
          <w:p w14:paraId="10454400">
            <w:pPr>
              <w:spacing w:line="400" w:lineRule="exact"/>
              <w:ind w:firstLine="200"/>
              <w:rPr>
                <w:rFonts w:hint="eastAsia" w:ascii="仿宋" w:hAnsi="仿宋" w:eastAsia="仿宋" w:cs="仿宋"/>
                <w:szCs w:val="21"/>
              </w:rPr>
            </w:pPr>
            <w:r>
              <w:rPr>
                <w:rFonts w:hint="eastAsia" w:ascii="仿宋" w:hAnsi="仿宋" w:eastAsia="仿宋" w:cs="仿宋"/>
                <w:szCs w:val="21"/>
              </w:rPr>
              <w:t xml:space="preserve">纳税人识别号: </w:t>
            </w:r>
          </w:p>
        </w:tc>
      </w:tr>
    </w:tbl>
    <w:p w14:paraId="7831F5FD">
      <w:pPr>
        <w:rPr>
          <w:rFonts w:hint="eastAsia" w:ascii="仿宋" w:hAnsi="仿宋" w:eastAsia="仿宋" w:cs="仿宋"/>
          <w:sz w:val="28"/>
          <w:szCs w:val="28"/>
        </w:rPr>
      </w:pPr>
      <w:r>
        <w:rPr>
          <w:rFonts w:hint="eastAsia" w:ascii="仿宋" w:hAnsi="仿宋" w:eastAsia="仿宋" w:cs="仿宋"/>
          <w:sz w:val="28"/>
          <w:szCs w:val="28"/>
        </w:rPr>
        <w:br w:type="page"/>
      </w:r>
    </w:p>
    <w:p w14:paraId="0AE997FF">
      <w:pPr>
        <w:rPr>
          <w:rFonts w:hint="eastAsia" w:ascii="仿宋" w:hAnsi="仿宋" w:eastAsia="仿宋" w:cs="仿宋"/>
          <w:sz w:val="28"/>
          <w:szCs w:val="28"/>
        </w:rPr>
      </w:pPr>
    </w:p>
    <w:tbl>
      <w:tblPr>
        <w:tblStyle w:val="28"/>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14:paraId="11CB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8630" w:type="dxa"/>
            <w:tcBorders>
              <w:top w:val="single" w:color="auto" w:sz="4" w:space="0"/>
              <w:left w:val="single" w:color="auto" w:sz="4" w:space="0"/>
              <w:bottom w:val="single" w:color="auto" w:sz="4" w:space="0"/>
              <w:right w:val="single" w:color="auto" w:sz="4" w:space="0"/>
            </w:tcBorders>
          </w:tcPr>
          <w:p w14:paraId="6862A273">
            <w:pPr>
              <w:snapToGrid w:val="0"/>
              <w:spacing w:line="360" w:lineRule="auto"/>
              <w:ind w:left="105"/>
              <w:rPr>
                <w:rFonts w:cs="宋体"/>
                <w:sz w:val="24"/>
                <w:szCs w:val="24"/>
              </w:rPr>
            </w:pPr>
            <w:r>
              <w:rPr>
                <w:rFonts w:hint="eastAsia" w:cs="宋体"/>
                <w:sz w:val="24"/>
                <w:szCs w:val="24"/>
              </w:rPr>
              <w:t>注释：</w:t>
            </w:r>
          </w:p>
          <w:p w14:paraId="2AFEF35D">
            <w:pPr>
              <w:snapToGrid w:val="0"/>
              <w:spacing w:line="360" w:lineRule="auto"/>
              <w:ind w:firstLine="720" w:firstLineChars="300"/>
              <w:rPr>
                <w:rFonts w:cs="宋体"/>
                <w:sz w:val="24"/>
                <w:szCs w:val="24"/>
              </w:rPr>
            </w:pPr>
            <w:r>
              <w:rPr>
                <w:rFonts w:hint="eastAsia" w:cs="宋体"/>
                <w:sz w:val="24"/>
                <w:szCs w:val="24"/>
              </w:rPr>
              <w:t>本格式条款仅作为双方签订合同的参考，为阐明各方的权利和义务，经协商可增加新的条款、修改相关条款，但不得与招标文件、投标文件的实质性内容相背离。</w:t>
            </w:r>
          </w:p>
        </w:tc>
      </w:tr>
    </w:tbl>
    <w:p w14:paraId="35890476">
      <w:pPr>
        <w:spacing w:line="360" w:lineRule="auto"/>
        <w:jc w:val="center"/>
        <w:rPr>
          <w:rFonts w:cs="宋体"/>
          <w:b/>
          <w:sz w:val="28"/>
          <w:szCs w:val="28"/>
        </w:rPr>
      </w:pPr>
      <w:r>
        <w:rPr>
          <w:rFonts w:hint="eastAsia" w:cs="宋体"/>
          <w:b/>
          <w:sz w:val="28"/>
          <w:szCs w:val="28"/>
        </w:rPr>
        <w:t xml:space="preserve">设  备  买  卖  合  同 </w:t>
      </w:r>
    </w:p>
    <w:p w14:paraId="647D03D3">
      <w:pPr>
        <w:spacing w:line="360" w:lineRule="auto"/>
        <w:rPr>
          <w:rFonts w:cs="宋体"/>
          <w:sz w:val="24"/>
          <w:szCs w:val="24"/>
        </w:rPr>
      </w:pPr>
      <w:r>
        <w:rPr>
          <w:rFonts w:hint="eastAsia" w:cs="宋体"/>
          <w:sz w:val="24"/>
          <w:szCs w:val="24"/>
        </w:rPr>
        <w:t>买方：厦工（三明）重型机器有限公司            合同签订地点：三明沙县</w:t>
      </w:r>
    </w:p>
    <w:p w14:paraId="2B089124">
      <w:pPr>
        <w:pStyle w:val="24"/>
        <w:shd w:val="clear" w:color="auto" w:fill="FFFFFF"/>
        <w:spacing w:line="360" w:lineRule="auto"/>
        <w:rPr>
          <w:rFonts w:hint="eastAsia"/>
        </w:rPr>
      </w:pPr>
      <w:r>
        <w:rPr>
          <w:rFonts w:hint="eastAsia"/>
        </w:rPr>
        <w:t>卖方：                                                 合同编号：</w:t>
      </w:r>
    </w:p>
    <w:p w14:paraId="02B4E39B">
      <w:pPr>
        <w:pStyle w:val="24"/>
        <w:shd w:val="clear" w:color="auto" w:fill="FFFFFF"/>
        <w:spacing w:line="360" w:lineRule="auto"/>
        <w:rPr>
          <w:rFonts w:hint="eastAsia"/>
        </w:rPr>
      </w:pPr>
    </w:p>
    <w:p w14:paraId="06D64A2D">
      <w:pPr>
        <w:spacing w:line="360" w:lineRule="auto"/>
        <w:ind w:right="-624" w:rightChars="-297"/>
        <w:rPr>
          <w:rFonts w:hint="eastAsia" w:cs="宋体"/>
          <w:sz w:val="24"/>
          <w:szCs w:val="24"/>
        </w:rPr>
      </w:pPr>
      <w:r>
        <w:rPr>
          <w:rFonts w:hint="eastAsia" w:cs="宋体"/>
          <w:sz w:val="24"/>
          <w:szCs w:val="24"/>
        </w:rPr>
        <w:t>买卖双方根据相关法律法规的规定，在平等互利友好协商的基础上达成如下合同条款：</w:t>
      </w:r>
    </w:p>
    <w:p w14:paraId="47B2B778">
      <w:pPr>
        <w:numPr>
          <w:ilvl w:val="0"/>
          <w:numId w:val="15"/>
        </w:numPr>
        <w:spacing w:line="360" w:lineRule="auto"/>
        <w:outlineLvl w:val="1"/>
        <w:rPr>
          <w:rFonts w:hint="eastAsia" w:cs="宋体"/>
          <w:b/>
          <w:sz w:val="24"/>
          <w:szCs w:val="24"/>
        </w:rPr>
      </w:pPr>
      <w:bookmarkStart w:id="211" w:name="_Toc5258"/>
      <w:bookmarkStart w:id="212" w:name="_Toc19633"/>
      <w:bookmarkStart w:id="213" w:name="_Toc10188"/>
      <w:bookmarkStart w:id="214" w:name="_Toc31820"/>
      <w:r>
        <w:rPr>
          <w:rFonts w:hint="eastAsia" w:cs="宋体"/>
          <w:b/>
          <w:sz w:val="24"/>
          <w:szCs w:val="24"/>
        </w:rPr>
        <w:t>设备的名称、型号、数量、单价、总价（单位：元）</w:t>
      </w:r>
      <w:bookmarkEnd w:id="211"/>
      <w:bookmarkEnd w:id="212"/>
      <w:bookmarkEnd w:id="213"/>
      <w:bookmarkEnd w:id="214"/>
    </w:p>
    <w:tbl>
      <w:tblPr>
        <w:tblStyle w:val="28"/>
        <w:tblW w:w="855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2044"/>
        <w:gridCol w:w="1417"/>
        <w:gridCol w:w="867"/>
        <w:gridCol w:w="1150"/>
        <w:gridCol w:w="1283"/>
        <w:gridCol w:w="1000"/>
      </w:tblGrid>
      <w:tr w14:paraId="1A0F2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2EC688FB">
            <w:pPr>
              <w:adjustRightInd w:val="0"/>
              <w:snapToGrid w:val="0"/>
              <w:spacing w:before="156" w:beforeLines="50" w:line="360" w:lineRule="auto"/>
              <w:jc w:val="center"/>
              <w:rPr>
                <w:rFonts w:hint="eastAsia" w:cs="宋体"/>
                <w:sz w:val="24"/>
                <w:szCs w:val="24"/>
              </w:rPr>
            </w:pPr>
            <w:r>
              <w:rPr>
                <w:rFonts w:hint="eastAsia" w:cs="宋体"/>
                <w:sz w:val="24"/>
                <w:szCs w:val="24"/>
              </w:rPr>
              <w:t>序号</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65C51447">
            <w:pPr>
              <w:adjustRightInd w:val="0"/>
              <w:snapToGrid w:val="0"/>
              <w:spacing w:before="156" w:beforeLines="50" w:line="360" w:lineRule="auto"/>
              <w:jc w:val="center"/>
              <w:rPr>
                <w:rFonts w:hint="eastAsia" w:cs="宋体"/>
                <w:sz w:val="24"/>
                <w:szCs w:val="24"/>
              </w:rPr>
            </w:pPr>
            <w:r>
              <w:rPr>
                <w:rFonts w:hint="eastAsia" w:cs="宋体"/>
                <w:sz w:val="24"/>
                <w:szCs w:val="24"/>
              </w:rPr>
              <w:t>产品名称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D166CD2">
            <w:pPr>
              <w:adjustRightInd w:val="0"/>
              <w:snapToGrid w:val="0"/>
              <w:spacing w:before="156" w:beforeLines="50" w:line="360" w:lineRule="auto"/>
              <w:jc w:val="center"/>
              <w:rPr>
                <w:rFonts w:hint="eastAsia" w:cs="宋体"/>
                <w:sz w:val="24"/>
                <w:szCs w:val="24"/>
              </w:rPr>
            </w:pPr>
            <w:r>
              <w:rPr>
                <w:rFonts w:hint="eastAsia" w:cs="宋体"/>
                <w:sz w:val="24"/>
                <w:szCs w:val="24"/>
              </w:rPr>
              <w:t>规格型号</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6D4DC37C">
            <w:pPr>
              <w:adjustRightInd w:val="0"/>
              <w:snapToGrid w:val="0"/>
              <w:spacing w:before="156" w:beforeLines="50" w:line="360" w:lineRule="auto"/>
              <w:jc w:val="center"/>
              <w:rPr>
                <w:rFonts w:hint="eastAsia" w:cs="宋体"/>
                <w:sz w:val="24"/>
                <w:szCs w:val="24"/>
              </w:rPr>
            </w:pPr>
            <w:r>
              <w:rPr>
                <w:rFonts w:hint="eastAsia" w:cs="宋体"/>
                <w:sz w:val="24"/>
                <w:szCs w:val="24"/>
              </w:rPr>
              <w:t>数量</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84F839C">
            <w:pPr>
              <w:adjustRightInd w:val="0"/>
              <w:snapToGrid w:val="0"/>
              <w:spacing w:before="156" w:beforeLines="50"/>
              <w:jc w:val="center"/>
              <w:rPr>
                <w:rFonts w:hint="eastAsia" w:cs="宋体"/>
                <w:sz w:val="24"/>
                <w:szCs w:val="24"/>
              </w:rPr>
            </w:pPr>
            <w:r>
              <w:rPr>
                <w:rFonts w:hint="eastAsia" w:cs="宋体"/>
                <w:sz w:val="24"/>
                <w:szCs w:val="24"/>
              </w:rPr>
              <w:t>单价</w:t>
            </w:r>
          </w:p>
          <w:p w14:paraId="0D62D316">
            <w:pPr>
              <w:adjustRightInd w:val="0"/>
              <w:snapToGrid w:val="0"/>
              <w:spacing w:before="156" w:beforeLines="50"/>
              <w:jc w:val="center"/>
              <w:rPr>
                <w:rFonts w:hint="eastAsia" w:cs="宋体"/>
                <w:sz w:val="24"/>
                <w:szCs w:val="24"/>
              </w:rPr>
            </w:pPr>
            <w:r>
              <w:rPr>
                <w:rFonts w:hint="eastAsia" w:cs="宋体"/>
                <w:sz w:val="24"/>
                <w:szCs w:val="24"/>
              </w:rPr>
              <w:t>（含税）</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08BA6CF8">
            <w:pPr>
              <w:adjustRightInd w:val="0"/>
              <w:snapToGrid w:val="0"/>
              <w:spacing w:before="156" w:beforeLines="50"/>
              <w:jc w:val="center"/>
              <w:rPr>
                <w:rFonts w:hint="eastAsia" w:cs="宋体"/>
                <w:sz w:val="24"/>
                <w:szCs w:val="24"/>
              </w:rPr>
            </w:pPr>
            <w:r>
              <w:rPr>
                <w:rFonts w:hint="eastAsia" w:cs="宋体"/>
                <w:sz w:val="24"/>
                <w:szCs w:val="24"/>
              </w:rPr>
              <w:t>总价</w:t>
            </w:r>
          </w:p>
          <w:p w14:paraId="675B9465">
            <w:pPr>
              <w:adjustRightInd w:val="0"/>
              <w:snapToGrid w:val="0"/>
              <w:spacing w:before="156" w:beforeLines="50"/>
              <w:jc w:val="center"/>
              <w:rPr>
                <w:rFonts w:hint="eastAsia" w:cs="宋体"/>
                <w:sz w:val="24"/>
                <w:szCs w:val="24"/>
              </w:rPr>
            </w:pPr>
            <w:r>
              <w:rPr>
                <w:rFonts w:hint="eastAsia" w:cs="宋体"/>
                <w:sz w:val="24"/>
                <w:szCs w:val="24"/>
              </w:rPr>
              <w:t>（含税）</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06D96C5">
            <w:pPr>
              <w:adjustRightInd w:val="0"/>
              <w:snapToGrid w:val="0"/>
              <w:spacing w:before="156" w:beforeLines="50"/>
              <w:jc w:val="center"/>
              <w:rPr>
                <w:rFonts w:hint="eastAsia" w:cs="宋体"/>
                <w:sz w:val="24"/>
                <w:szCs w:val="24"/>
              </w:rPr>
            </w:pPr>
            <w:r>
              <w:rPr>
                <w:rFonts w:hint="eastAsia" w:cs="宋体"/>
                <w:sz w:val="24"/>
                <w:szCs w:val="24"/>
              </w:rPr>
              <w:t>备注</w:t>
            </w:r>
          </w:p>
          <w:p w14:paraId="7FA06C06">
            <w:pPr>
              <w:adjustRightInd w:val="0"/>
              <w:snapToGrid w:val="0"/>
              <w:spacing w:before="156" w:beforeLines="50"/>
              <w:jc w:val="center"/>
              <w:rPr>
                <w:rFonts w:hint="eastAsia" w:cs="宋体"/>
                <w:sz w:val="24"/>
                <w:szCs w:val="24"/>
              </w:rPr>
            </w:pPr>
          </w:p>
        </w:tc>
      </w:tr>
      <w:tr w14:paraId="0E20D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616CC8FB">
            <w:pPr>
              <w:spacing w:line="360" w:lineRule="auto"/>
              <w:jc w:val="center"/>
              <w:rPr>
                <w:rFonts w:hint="eastAsia" w:cs="宋体"/>
                <w:sz w:val="24"/>
                <w:szCs w:val="24"/>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14:paraId="2032B60A">
            <w:pPr>
              <w:spacing w:line="360" w:lineRule="auto"/>
              <w:jc w:val="center"/>
              <w:rPr>
                <w:rFonts w:hint="eastAsia" w:cs="宋体"/>
                <w:sz w:val="24"/>
                <w:szCs w:val="24"/>
              </w:rPr>
            </w:pPr>
          </w:p>
        </w:tc>
        <w:tc>
          <w:tcPr>
            <w:tcW w:w="1417" w:type="dxa"/>
            <w:tcBorders>
              <w:left w:val="single" w:color="auto" w:sz="4" w:space="0"/>
              <w:bottom w:val="single" w:color="auto" w:sz="4" w:space="0"/>
              <w:right w:val="single" w:color="auto" w:sz="4" w:space="0"/>
            </w:tcBorders>
            <w:noWrap w:val="0"/>
            <w:vAlign w:val="center"/>
          </w:tcPr>
          <w:p w14:paraId="7433A3B1">
            <w:pPr>
              <w:spacing w:line="360" w:lineRule="auto"/>
              <w:jc w:val="center"/>
              <w:rPr>
                <w:rFonts w:hint="eastAsia" w:cs="宋体"/>
                <w:sz w:val="24"/>
                <w:szCs w:val="24"/>
              </w:rPr>
            </w:pPr>
          </w:p>
        </w:tc>
        <w:tc>
          <w:tcPr>
            <w:tcW w:w="867" w:type="dxa"/>
            <w:tcBorders>
              <w:top w:val="single" w:color="auto" w:sz="4" w:space="0"/>
              <w:left w:val="single" w:color="auto" w:sz="4" w:space="0"/>
              <w:bottom w:val="single" w:color="auto" w:sz="4" w:space="0"/>
              <w:right w:val="single" w:color="auto" w:sz="4" w:space="0"/>
            </w:tcBorders>
            <w:noWrap w:val="0"/>
            <w:vAlign w:val="center"/>
          </w:tcPr>
          <w:p w14:paraId="412E032A">
            <w:pPr>
              <w:spacing w:line="360" w:lineRule="auto"/>
              <w:jc w:val="center"/>
              <w:rPr>
                <w:rFonts w:hint="eastAsia" w:cs="宋体"/>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A8C62A3">
            <w:pPr>
              <w:spacing w:line="360" w:lineRule="auto"/>
              <w:jc w:val="center"/>
              <w:rPr>
                <w:rFonts w:hint="eastAsia" w:cs="宋体"/>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14:paraId="29A95D69">
            <w:pPr>
              <w:spacing w:line="360" w:lineRule="auto"/>
              <w:jc w:val="center"/>
              <w:rPr>
                <w:rFonts w:hint="eastAsia" w:cs="宋体"/>
                <w:sz w:val="24"/>
                <w:szCs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99A0AAE">
            <w:pPr>
              <w:spacing w:line="360" w:lineRule="auto"/>
              <w:jc w:val="center"/>
              <w:rPr>
                <w:rFonts w:hint="eastAsia" w:cs="宋体"/>
                <w:sz w:val="24"/>
                <w:szCs w:val="24"/>
              </w:rPr>
            </w:pPr>
          </w:p>
        </w:tc>
      </w:tr>
      <w:tr w14:paraId="415E5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76AFA7E8">
            <w:pPr>
              <w:spacing w:line="360" w:lineRule="auto"/>
              <w:jc w:val="center"/>
              <w:rPr>
                <w:rFonts w:hint="eastAsia" w:cs="宋体"/>
                <w:sz w:val="24"/>
                <w:szCs w:val="24"/>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14:paraId="4996E46E">
            <w:pPr>
              <w:spacing w:line="360" w:lineRule="auto"/>
              <w:jc w:val="center"/>
              <w:rPr>
                <w:rFonts w:hint="eastAsia" w:cs="宋体"/>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5E412E6">
            <w:pPr>
              <w:spacing w:line="360" w:lineRule="auto"/>
              <w:jc w:val="center"/>
              <w:rPr>
                <w:rFonts w:hint="eastAsia" w:cs="宋体"/>
                <w:sz w:val="24"/>
                <w:szCs w:val="24"/>
              </w:rPr>
            </w:pPr>
          </w:p>
        </w:tc>
        <w:tc>
          <w:tcPr>
            <w:tcW w:w="867" w:type="dxa"/>
            <w:tcBorders>
              <w:top w:val="single" w:color="auto" w:sz="4" w:space="0"/>
              <w:left w:val="single" w:color="auto" w:sz="4" w:space="0"/>
              <w:bottom w:val="single" w:color="auto" w:sz="4" w:space="0"/>
              <w:right w:val="single" w:color="auto" w:sz="4" w:space="0"/>
            </w:tcBorders>
            <w:noWrap w:val="0"/>
            <w:vAlign w:val="center"/>
          </w:tcPr>
          <w:p w14:paraId="14E0B248">
            <w:pPr>
              <w:spacing w:line="360" w:lineRule="auto"/>
              <w:jc w:val="center"/>
              <w:rPr>
                <w:rFonts w:hint="eastAsia" w:cs="宋体"/>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BF055C1">
            <w:pPr>
              <w:spacing w:line="360" w:lineRule="auto"/>
              <w:jc w:val="center"/>
              <w:rPr>
                <w:rFonts w:hint="eastAsia" w:cs="宋体"/>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14:paraId="03172AF0">
            <w:pPr>
              <w:spacing w:line="360" w:lineRule="auto"/>
              <w:jc w:val="center"/>
              <w:rPr>
                <w:rFonts w:hint="eastAsia" w:cs="宋体"/>
                <w:sz w:val="24"/>
                <w:szCs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615BCA9">
            <w:pPr>
              <w:spacing w:line="360" w:lineRule="auto"/>
              <w:jc w:val="center"/>
              <w:rPr>
                <w:rFonts w:hint="eastAsia" w:cs="宋体"/>
                <w:sz w:val="24"/>
                <w:szCs w:val="24"/>
              </w:rPr>
            </w:pPr>
          </w:p>
        </w:tc>
      </w:tr>
      <w:tr w14:paraId="26DD0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8555" w:type="dxa"/>
            <w:gridSpan w:val="7"/>
            <w:tcBorders>
              <w:top w:val="single" w:color="auto" w:sz="4" w:space="0"/>
              <w:left w:val="single" w:color="auto" w:sz="4" w:space="0"/>
              <w:bottom w:val="single" w:color="auto" w:sz="4" w:space="0"/>
            </w:tcBorders>
            <w:noWrap w:val="0"/>
            <w:vAlign w:val="center"/>
          </w:tcPr>
          <w:p w14:paraId="15927A38">
            <w:pPr>
              <w:widowControl/>
              <w:spacing w:line="360" w:lineRule="auto"/>
              <w:jc w:val="left"/>
              <w:rPr>
                <w:rFonts w:hint="eastAsia" w:cs="宋体"/>
                <w:kern w:val="0"/>
                <w:sz w:val="24"/>
                <w:szCs w:val="24"/>
              </w:rPr>
            </w:pPr>
            <w:r>
              <w:rPr>
                <w:rFonts w:hint="eastAsia" w:cs="宋体"/>
                <w:sz w:val="24"/>
                <w:szCs w:val="24"/>
              </w:rPr>
              <w:t>合计人民币含税总金额： 元      大写（人民币）：</w:t>
            </w:r>
            <w:r>
              <w:rPr>
                <w:rFonts w:hint="eastAsia" w:cs="宋体"/>
                <w:sz w:val="24"/>
                <w:szCs w:val="24"/>
                <w:u w:val="single"/>
              </w:rPr>
              <w:t xml:space="preserve">  </w:t>
            </w:r>
          </w:p>
        </w:tc>
      </w:tr>
      <w:tr w14:paraId="5C98E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8555" w:type="dxa"/>
            <w:gridSpan w:val="7"/>
            <w:tcBorders>
              <w:top w:val="single" w:color="auto" w:sz="4" w:space="0"/>
              <w:left w:val="single" w:color="auto" w:sz="4" w:space="0"/>
              <w:bottom w:val="single" w:color="auto" w:sz="4" w:space="0"/>
            </w:tcBorders>
            <w:noWrap w:val="0"/>
            <w:vAlign w:val="center"/>
          </w:tcPr>
          <w:p w14:paraId="5D6E2E6D">
            <w:pPr>
              <w:widowControl/>
              <w:spacing w:line="360" w:lineRule="auto"/>
              <w:jc w:val="left"/>
              <w:rPr>
                <w:rFonts w:hint="eastAsia" w:eastAsia="宋体" w:cs="宋体"/>
                <w:sz w:val="24"/>
                <w:szCs w:val="24"/>
                <w:lang w:eastAsia="zh-CN"/>
              </w:rPr>
            </w:pPr>
            <w:r>
              <w:rPr>
                <w:rFonts w:hint="eastAsia" w:cs="宋体"/>
                <w:sz w:val="24"/>
                <w:szCs w:val="24"/>
              </w:rPr>
              <w:t>总价包含备用物品、专用工具、安装调试、培训、产品运至目的所需的运费、保险费等各项费用</w:t>
            </w:r>
            <w:r>
              <w:rPr>
                <w:rFonts w:hint="eastAsia" w:cs="宋体"/>
                <w:sz w:val="24"/>
                <w:szCs w:val="24"/>
                <w:lang w:eastAsia="zh-CN"/>
              </w:rPr>
              <w:t>。</w:t>
            </w:r>
            <w:r>
              <w:rPr>
                <w:rFonts w:ascii="宋体" w:hAnsi="宋体" w:eastAsia="宋体" w:cs="宋体"/>
                <w:sz w:val="24"/>
                <w:szCs w:val="24"/>
              </w:rPr>
              <w:t>卖方保证所供设备为全新原厂合格产品，无翻新、维修、改装痕迹，符合国家相关质量标准及技术协议约定</w:t>
            </w:r>
            <w:r>
              <w:rPr>
                <w:rFonts w:hint="eastAsia" w:ascii="宋体" w:hAnsi="宋体" w:cs="宋体"/>
                <w:sz w:val="24"/>
                <w:szCs w:val="24"/>
                <w:lang w:eastAsia="zh-CN"/>
              </w:rPr>
              <w:t>。</w:t>
            </w:r>
          </w:p>
        </w:tc>
      </w:tr>
    </w:tbl>
    <w:p w14:paraId="67EBF111">
      <w:pPr>
        <w:spacing w:line="360" w:lineRule="auto"/>
        <w:outlineLvl w:val="1"/>
        <w:rPr>
          <w:rFonts w:hint="eastAsia" w:cs="宋体"/>
          <w:b/>
          <w:sz w:val="24"/>
          <w:szCs w:val="24"/>
        </w:rPr>
      </w:pPr>
      <w:bookmarkStart w:id="215" w:name="_Toc30824"/>
      <w:bookmarkStart w:id="216" w:name="_Toc21176"/>
      <w:bookmarkStart w:id="217" w:name="_Toc12859"/>
      <w:bookmarkStart w:id="218" w:name="_Toc113"/>
      <w:r>
        <w:rPr>
          <w:rFonts w:hint="eastAsia" w:cs="宋体"/>
          <w:b/>
          <w:sz w:val="24"/>
          <w:szCs w:val="24"/>
        </w:rPr>
        <w:t>二、设备的技术标准和质量要求：</w:t>
      </w:r>
      <w:bookmarkEnd w:id="215"/>
      <w:bookmarkEnd w:id="216"/>
      <w:bookmarkEnd w:id="217"/>
      <w:bookmarkEnd w:id="218"/>
    </w:p>
    <w:p w14:paraId="1A403861">
      <w:pPr>
        <w:spacing w:line="360" w:lineRule="auto"/>
        <w:ind w:firstLine="480"/>
        <w:rPr>
          <w:rFonts w:hint="eastAsia" w:cs="宋体"/>
          <w:sz w:val="24"/>
          <w:szCs w:val="24"/>
        </w:rPr>
      </w:pPr>
      <w:r>
        <w:rPr>
          <w:rFonts w:hint="eastAsia" w:cs="宋体"/>
          <w:sz w:val="24"/>
          <w:szCs w:val="24"/>
        </w:rPr>
        <w:t>□  1、按照国标GB</w:t>
      </w:r>
      <w:r>
        <w:rPr>
          <w:rFonts w:hint="eastAsia" w:cs="宋体"/>
          <w:sz w:val="24"/>
          <w:szCs w:val="24"/>
          <w:u w:val="single"/>
        </w:rPr>
        <w:t xml:space="preserve">                  </w:t>
      </w:r>
      <w:r>
        <w:rPr>
          <w:rFonts w:hint="eastAsia" w:cs="宋体"/>
          <w:sz w:val="24"/>
          <w:szCs w:val="24"/>
        </w:rPr>
        <w:t>执行。</w:t>
      </w:r>
    </w:p>
    <w:p w14:paraId="2E7710EF">
      <w:pPr>
        <w:spacing w:line="360" w:lineRule="auto"/>
        <w:ind w:firstLine="480"/>
        <w:rPr>
          <w:rFonts w:hint="eastAsia" w:cs="宋体"/>
          <w:sz w:val="24"/>
          <w:szCs w:val="24"/>
          <w:u w:val="single"/>
        </w:rPr>
      </w:pPr>
      <w:r>
        <w:rPr>
          <w:rFonts w:hint="eastAsia" w:cs="宋体"/>
          <w:sz w:val="24"/>
          <w:szCs w:val="24"/>
        </w:rPr>
        <w:t>□  2、按照合同附件</w:t>
      </w:r>
      <w:r>
        <w:rPr>
          <w:rFonts w:hint="eastAsia" w:cs="宋体"/>
          <w:sz w:val="24"/>
          <w:szCs w:val="24"/>
          <w:u w:val="single"/>
        </w:rPr>
        <w:t xml:space="preserve">                   </w:t>
      </w:r>
    </w:p>
    <w:p w14:paraId="223BC754">
      <w:pPr>
        <w:spacing w:line="360" w:lineRule="auto"/>
        <w:ind w:firstLine="480"/>
        <w:rPr>
          <w:rFonts w:hint="eastAsia" w:cs="宋体"/>
          <w:sz w:val="24"/>
          <w:szCs w:val="24"/>
        </w:rPr>
      </w:pPr>
      <w:r>
        <w:rPr>
          <w:rFonts w:hint="eastAsia" w:cs="宋体"/>
          <w:sz w:val="24"/>
          <w:szCs w:val="24"/>
        </w:rPr>
        <w:sym w:font="Wingdings 2" w:char="0052"/>
      </w:r>
      <w:r>
        <w:rPr>
          <w:rFonts w:hint="eastAsia" w:cs="宋体"/>
          <w:sz w:val="24"/>
          <w:szCs w:val="24"/>
        </w:rPr>
        <w:t xml:space="preserve">  3、按照双方签订的</w:t>
      </w:r>
      <w:r>
        <w:rPr>
          <w:rFonts w:hint="eastAsia" w:cs="宋体"/>
          <w:sz w:val="24"/>
          <w:szCs w:val="24"/>
          <w:u w:val="single"/>
        </w:rPr>
        <w:t xml:space="preserve">    技术协议      </w:t>
      </w:r>
      <w:r>
        <w:rPr>
          <w:rFonts w:hint="eastAsia" w:cs="宋体"/>
          <w:sz w:val="24"/>
          <w:szCs w:val="24"/>
        </w:rPr>
        <w:t>。</w:t>
      </w:r>
    </w:p>
    <w:p w14:paraId="5A3B8198">
      <w:pPr>
        <w:spacing w:line="360" w:lineRule="auto"/>
        <w:ind w:firstLine="480"/>
        <w:rPr>
          <w:rFonts w:hint="eastAsia" w:cs="宋体"/>
          <w:sz w:val="24"/>
          <w:szCs w:val="24"/>
        </w:rPr>
      </w:pPr>
      <w:r>
        <w:rPr>
          <w:rFonts w:hint="eastAsia" w:cs="宋体"/>
          <w:sz w:val="24"/>
          <w:szCs w:val="24"/>
        </w:rPr>
        <w:t>□  4、其他标准_______________________。</w:t>
      </w:r>
    </w:p>
    <w:p w14:paraId="4FC03E27">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本条款上述1-4项约定的技术标准及质量要求，均不得低于国家强制性标准、行业推荐性标准及同类设备通常适用标准；若上述约定不明确、未约定，或约定标准低于前述法定及行业通用标准的，一律按照国家强制性标准履行；无国家强制性标准的，按照推荐性国家标准履行；无推荐性国家标准的，按照行业标准履行；无国家标准、行业标准的，按照同类设备通常标准或者符合本合同目的（满足买方正常生产使用、安全运行、工艺适配等核心需求）的特定标准履行。同时，卖方保证设备不存在任何未明确列明但足以影响设备正常使用、安全性能、使用寿命或导致买方无法实现合同目的的潜在质量缺陷，若存在该类缺陷，仍视为设备质量不符合本合同约定，卖方需承担相应违约责任</w:t>
      </w:r>
    </w:p>
    <w:p w14:paraId="7E11E288">
      <w:pPr>
        <w:spacing w:line="360" w:lineRule="auto"/>
        <w:ind w:firstLine="480"/>
        <w:rPr>
          <w:rFonts w:hint="eastAsia" w:cs="宋体"/>
          <w:sz w:val="24"/>
          <w:szCs w:val="24"/>
        </w:rPr>
      </w:pPr>
    </w:p>
    <w:p w14:paraId="28F82CAC">
      <w:pPr>
        <w:pStyle w:val="13"/>
        <w:spacing w:line="360" w:lineRule="auto"/>
        <w:ind w:left="0" w:leftChars="0"/>
        <w:outlineLvl w:val="1"/>
        <w:rPr>
          <w:rFonts w:hint="eastAsia" w:cs="宋体"/>
          <w:b/>
          <w:sz w:val="24"/>
          <w:szCs w:val="24"/>
        </w:rPr>
      </w:pPr>
      <w:bookmarkStart w:id="219" w:name="_Toc14091"/>
      <w:bookmarkStart w:id="220" w:name="_Toc32481"/>
      <w:bookmarkStart w:id="221" w:name="_Toc25602"/>
      <w:bookmarkStart w:id="222" w:name="_Toc21324"/>
      <w:r>
        <w:rPr>
          <w:rFonts w:hint="eastAsia" w:cs="宋体"/>
          <w:b/>
          <w:sz w:val="24"/>
          <w:szCs w:val="24"/>
        </w:rPr>
        <w:t>三、设备的包装标准和包装物的供应与回收</w:t>
      </w:r>
      <w:bookmarkEnd w:id="219"/>
      <w:bookmarkEnd w:id="220"/>
      <w:bookmarkEnd w:id="221"/>
      <w:bookmarkEnd w:id="222"/>
    </w:p>
    <w:p w14:paraId="26CD863B">
      <w:pPr>
        <w:pStyle w:val="13"/>
        <w:spacing w:line="360" w:lineRule="auto"/>
        <w:ind w:left="0" w:leftChars="0" w:firstLine="480" w:firstLineChars="200"/>
        <w:rPr>
          <w:rFonts w:hint="eastAsia" w:cs="宋体"/>
          <w:sz w:val="24"/>
          <w:szCs w:val="24"/>
        </w:rPr>
      </w:pPr>
      <w:r>
        <w:rPr>
          <w:rFonts w:hint="eastAsia" w:cs="宋体"/>
          <w:sz w:val="24"/>
          <w:szCs w:val="24"/>
        </w:rPr>
        <w:t>1、卖方应提供设备运至交付地点所需要的包装。包装应符合国家标准规定，具有适合长途运输、多次搬运、装卸的坚固包装，并按设备的特点，分别加上防潮、防霉、防锈、防腐蚀、防冻、防碎等保护措施。卖方应承担由于其包装或其防护措施不妥而引起的任何损失和费用，因此导致逾期交货的，按逾期交货承担违约责任。</w:t>
      </w:r>
    </w:p>
    <w:p w14:paraId="32DABBB1">
      <w:pPr>
        <w:pStyle w:val="13"/>
        <w:spacing w:line="360" w:lineRule="auto"/>
        <w:ind w:left="0" w:leftChars="0" w:firstLine="480" w:firstLineChars="200"/>
        <w:rPr>
          <w:rFonts w:hint="eastAsia" w:cs="宋体"/>
          <w:sz w:val="24"/>
          <w:szCs w:val="24"/>
        </w:rPr>
      </w:pPr>
      <w:r>
        <w:rPr>
          <w:rFonts w:hint="eastAsia" w:cs="宋体"/>
          <w:sz w:val="24"/>
          <w:szCs w:val="24"/>
        </w:rPr>
        <w:t>2、本合同设备的包装物不回收，由买方处置。</w:t>
      </w:r>
    </w:p>
    <w:p w14:paraId="5E8E5237">
      <w:pPr>
        <w:pStyle w:val="13"/>
        <w:spacing w:line="360" w:lineRule="auto"/>
        <w:ind w:left="0" w:leftChars="0" w:firstLine="480" w:firstLineChars="200"/>
        <w:rPr>
          <w:rFonts w:hint="eastAsia" w:cs="宋体"/>
          <w:sz w:val="24"/>
          <w:szCs w:val="24"/>
        </w:rPr>
      </w:pPr>
      <w:r>
        <w:rPr>
          <w:rFonts w:hint="eastAsia" w:cs="宋体"/>
          <w:sz w:val="24"/>
          <w:szCs w:val="24"/>
        </w:rPr>
        <w:t>3、包装费由卖方负担。</w:t>
      </w:r>
    </w:p>
    <w:p w14:paraId="3D815DE3">
      <w:pPr>
        <w:pStyle w:val="13"/>
        <w:spacing w:line="360" w:lineRule="auto"/>
        <w:ind w:left="0" w:leftChars="0"/>
        <w:outlineLvl w:val="1"/>
        <w:rPr>
          <w:rFonts w:hint="eastAsia" w:cs="宋体"/>
          <w:b/>
          <w:sz w:val="24"/>
          <w:szCs w:val="24"/>
        </w:rPr>
      </w:pPr>
      <w:bookmarkStart w:id="223" w:name="_Toc25535"/>
      <w:bookmarkStart w:id="224" w:name="_Toc26762"/>
      <w:bookmarkStart w:id="225" w:name="_Toc20146"/>
      <w:bookmarkStart w:id="226" w:name="_Toc4843"/>
      <w:r>
        <w:rPr>
          <w:rFonts w:hint="eastAsia" w:cs="宋体"/>
          <w:b/>
          <w:sz w:val="24"/>
          <w:szCs w:val="24"/>
        </w:rPr>
        <w:t>四、交货方式和交货地点：</w:t>
      </w:r>
      <w:bookmarkEnd w:id="223"/>
      <w:bookmarkEnd w:id="224"/>
      <w:bookmarkEnd w:id="225"/>
      <w:bookmarkEnd w:id="226"/>
    </w:p>
    <w:p w14:paraId="75CFF410">
      <w:pPr>
        <w:pStyle w:val="13"/>
        <w:spacing w:line="360" w:lineRule="auto"/>
        <w:ind w:left="0" w:leftChars="0" w:firstLine="480" w:firstLineChars="200"/>
        <w:rPr>
          <w:rFonts w:hint="eastAsia" w:cs="宋体"/>
          <w:sz w:val="24"/>
          <w:szCs w:val="24"/>
        </w:rPr>
      </w:pPr>
      <w:r>
        <w:rPr>
          <w:rFonts w:hint="eastAsia" w:cs="宋体"/>
          <w:sz w:val="24"/>
          <w:szCs w:val="24"/>
        </w:rPr>
        <w:t>1、交货方式：卖方送货方式。由卖方将设备送到买方指定地点交货，交货地点为：</w:t>
      </w:r>
      <w:r>
        <w:rPr>
          <w:rFonts w:hint="eastAsia" w:cs="宋体"/>
          <w:sz w:val="24"/>
          <w:szCs w:val="24"/>
          <w:u w:val="single"/>
        </w:rPr>
        <w:t xml:space="preserve">厦工（三明）重型机器有限公司（详细地址： </w:t>
      </w:r>
      <w:r>
        <w:rPr>
          <w:rFonts w:cs="宋体"/>
          <w:sz w:val="24"/>
          <w:szCs w:val="24"/>
          <w:u w:val="single"/>
        </w:rPr>
        <w:t xml:space="preserve">                   </w:t>
      </w:r>
      <w:r>
        <w:rPr>
          <w:rFonts w:hint="eastAsia" w:cs="宋体"/>
          <w:sz w:val="24"/>
          <w:szCs w:val="24"/>
          <w:u w:val="single"/>
        </w:rPr>
        <w:t xml:space="preserve">） </w:t>
      </w:r>
      <w:r>
        <w:rPr>
          <w:rFonts w:hint="eastAsia" w:cs="宋体"/>
          <w:sz w:val="24"/>
          <w:szCs w:val="24"/>
        </w:rPr>
        <w:t>。</w:t>
      </w:r>
    </w:p>
    <w:p w14:paraId="5CBC6AC1">
      <w:pPr>
        <w:pStyle w:val="13"/>
        <w:spacing w:line="360" w:lineRule="auto"/>
        <w:ind w:left="0" w:leftChars="0" w:firstLine="480" w:firstLineChars="200"/>
        <w:rPr>
          <w:rFonts w:hint="eastAsia" w:cs="宋体"/>
          <w:sz w:val="24"/>
          <w:szCs w:val="24"/>
        </w:rPr>
      </w:pPr>
      <w:r>
        <w:rPr>
          <w:rFonts w:hint="eastAsia" w:cs="宋体"/>
          <w:sz w:val="24"/>
          <w:szCs w:val="24"/>
        </w:rPr>
        <w:t>2、运输方式</w:t>
      </w:r>
      <w:r>
        <w:rPr>
          <w:rFonts w:hint="eastAsia" w:cs="宋体"/>
          <w:sz w:val="24"/>
          <w:szCs w:val="24"/>
          <w:u w:val="single"/>
        </w:rPr>
        <w:t xml:space="preserve">  </w:t>
      </w:r>
      <w:r>
        <w:rPr>
          <w:rFonts w:hint="eastAsia" w:cs="宋体"/>
          <w:b/>
          <w:sz w:val="24"/>
          <w:szCs w:val="24"/>
          <w:u w:val="single"/>
        </w:rPr>
        <w:t xml:space="preserve">      </w:t>
      </w:r>
      <w:r>
        <w:rPr>
          <w:rFonts w:hint="eastAsia" w:cs="宋体"/>
          <w:sz w:val="24"/>
          <w:szCs w:val="24"/>
        </w:rPr>
        <w:t>，运输费及保险等相关费用由卖方承担</w:t>
      </w:r>
      <w:r>
        <w:rPr>
          <w:rFonts w:hint="eastAsia" w:cs="宋体"/>
          <w:sz w:val="24"/>
          <w:szCs w:val="24"/>
          <w:lang w:val="en-US" w:eastAsia="zh-CN"/>
        </w:rPr>
        <w:t>,</w:t>
      </w:r>
      <w:r>
        <w:rPr>
          <w:rFonts w:hint="eastAsia" w:cs="宋体"/>
          <w:sz w:val="24"/>
          <w:szCs w:val="24"/>
        </w:rPr>
        <w:t>卖方需在发货后【__________】日内将设备送达交货地点，逾期送达按逾期交货承担违约责任。</w:t>
      </w:r>
    </w:p>
    <w:p w14:paraId="1AF0C823">
      <w:pPr>
        <w:pStyle w:val="13"/>
        <w:spacing w:line="360" w:lineRule="auto"/>
        <w:ind w:left="0" w:leftChars="0" w:firstLine="480" w:firstLineChars="200"/>
        <w:rPr>
          <w:rFonts w:hint="eastAsia" w:cs="宋体"/>
          <w:sz w:val="24"/>
          <w:szCs w:val="24"/>
        </w:rPr>
      </w:pPr>
      <w:r>
        <w:rPr>
          <w:rFonts w:hint="eastAsia" w:cs="宋体"/>
          <w:sz w:val="24"/>
          <w:szCs w:val="24"/>
        </w:rPr>
        <w:t>3、在合同签订后，如买方的指定地点发生变化，买方应在发货前</w:t>
      </w:r>
      <w:r>
        <w:rPr>
          <w:rFonts w:hint="eastAsia" w:cs="宋体"/>
          <w:sz w:val="24"/>
          <w:szCs w:val="24"/>
          <w:u w:val="single"/>
        </w:rPr>
        <w:t xml:space="preserve"> 3</w:t>
      </w:r>
      <w:r>
        <w:rPr>
          <w:rFonts w:hint="eastAsia" w:cs="宋体"/>
          <w:sz w:val="24"/>
          <w:szCs w:val="24"/>
        </w:rPr>
        <w:t>日内通知卖方，卖方应按照买方通知的地点交货。</w:t>
      </w:r>
    </w:p>
    <w:p w14:paraId="10F11871">
      <w:pPr>
        <w:pStyle w:val="13"/>
        <w:spacing w:line="360" w:lineRule="auto"/>
        <w:ind w:left="0" w:leftChars="0" w:firstLine="480" w:firstLineChars="200"/>
        <w:rPr>
          <w:rFonts w:hint="eastAsia" w:cs="宋体"/>
          <w:sz w:val="24"/>
          <w:szCs w:val="24"/>
        </w:rPr>
      </w:pPr>
      <w:r>
        <w:rPr>
          <w:rFonts w:hint="eastAsia" w:cs="宋体"/>
          <w:sz w:val="24"/>
          <w:szCs w:val="24"/>
        </w:rPr>
        <w:t>4、标的物所有权及风险转移：自设备交付时起，买方获得合同标的物的所有权。卖方在交货地点将标的物交给买方前标的物毁损、灭失的风险由卖方承担，此后由买方承担。</w:t>
      </w:r>
    </w:p>
    <w:p w14:paraId="72DF5D18">
      <w:pPr>
        <w:pStyle w:val="13"/>
        <w:spacing w:line="360" w:lineRule="auto"/>
        <w:ind w:left="0" w:leftChars="0"/>
        <w:outlineLvl w:val="1"/>
        <w:rPr>
          <w:rFonts w:hint="eastAsia" w:cs="宋体"/>
          <w:b/>
          <w:sz w:val="24"/>
          <w:szCs w:val="24"/>
        </w:rPr>
      </w:pPr>
      <w:bookmarkStart w:id="227" w:name="_Toc14096"/>
      <w:bookmarkStart w:id="228" w:name="_Toc19559"/>
      <w:bookmarkStart w:id="229" w:name="_Toc1962"/>
      <w:bookmarkStart w:id="230" w:name="_Toc26462"/>
      <w:r>
        <w:rPr>
          <w:rFonts w:hint="eastAsia" w:cs="宋体"/>
          <w:b/>
          <w:sz w:val="24"/>
          <w:szCs w:val="24"/>
        </w:rPr>
        <w:t>五、交货时间：</w:t>
      </w:r>
      <w:bookmarkEnd w:id="227"/>
      <w:bookmarkEnd w:id="228"/>
      <w:bookmarkEnd w:id="229"/>
      <w:bookmarkEnd w:id="230"/>
    </w:p>
    <w:p w14:paraId="0DB1DBB7">
      <w:pPr>
        <w:pStyle w:val="13"/>
        <w:spacing w:line="360" w:lineRule="auto"/>
        <w:ind w:left="0" w:leftChars="0" w:firstLine="480" w:firstLineChars="200"/>
        <w:rPr>
          <w:rFonts w:hint="eastAsia" w:cs="宋体"/>
          <w:sz w:val="24"/>
          <w:szCs w:val="24"/>
        </w:rPr>
      </w:pPr>
      <w:r>
        <w:rPr>
          <w:rFonts w:hint="eastAsia" w:cs="宋体"/>
          <w:sz w:val="24"/>
          <w:szCs w:val="24"/>
        </w:rPr>
        <w:t>1、全部设备在合同签订并收到预付款后分批交货到买方的指定地点，并在具备安装条件后</w:t>
      </w:r>
      <w:r>
        <w:rPr>
          <w:rFonts w:hint="eastAsia" w:cs="宋体"/>
          <w:sz w:val="24"/>
          <w:szCs w:val="24"/>
          <w:u w:val="single"/>
        </w:rPr>
        <w:t xml:space="preserve">         </w:t>
      </w:r>
      <w:r>
        <w:rPr>
          <w:rFonts w:hint="eastAsia" w:cs="宋体"/>
          <w:sz w:val="24"/>
          <w:szCs w:val="24"/>
        </w:rPr>
        <w:t>天内完成设备的安装调试。</w:t>
      </w:r>
    </w:p>
    <w:p w14:paraId="1B8B4F09">
      <w:pPr>
        <w:pStyle w:val="13"/>
        <w:spacing w:line="360" w:lineRule="auto"/>
        <w:ind w:left="0" w:leftChars="0" w:firstLine="480" w:firstLineChars="200"/>
        <w:rPr>
          <w:rFonts w:hint="eastAsia" w:cs="宋体"/>
          <w:sz w:val="24"/>
          <w:szCs w:val="24"/>
        </w:rPr>
      </w:pPr>
      <w:r>
        <w:rPr>
          <w:rFonts w:hint="eastAsia" w:cs="宋体"/>
          <w:sz w:val="24"/>
          <w:szCs w:val="24"/>
        </w:rPr>
        <w:t>2、设备属于分批次交货的，按以下时间要求交货：</w:t>
      </w:r>
    </w:p>
    <w:p w14:paraId="436C7A39">
      <w:pPr>
        <w:pStyle w:val="13"/>
        <w:spacing w:line="360" w:lineRule="auto"/>
        <w:ind w:left="0" w:leftChars="0" w:firstLine="480" w:firstLineChars="200"/>
        <w:rPr>
          <w:rFonts w:hint="eastAsia" w:cs="宋体"/>
          <w:sz w:val="24"/>
          <w:szCs w:val="24"/>
        </w:rPr>
      </w:pPr>
      <w:r>
        <w:rPr>
          <w:rFonts w:hint="eastAsia" w:cs="宋体"/>
          <w:sz w:val="24"/>
          <w:szCs w:val="24"/>
        </w:rPr>
        <w:t>□ ①每批次交货的具体数量、时间要求为：</w:t>
      </w:r>
    </w:p>
    <w:p w14:paraId="4AD3ABD8">
      <w:pPr>
        <w:pStyle w:val="13"/>
        <w:spacing w:line="360" w:lineRule="auto"/>
        <w:ind w:left="0" w:leftChars="0" w:firstLine="480" w:firstLineChars="200"/>
        <w:rPr>
          <w:rFonts w:hint="eastAsia" w:cs="宋体"/>
          <w:sz w:val="24"/>
          <w:szCs w:val="24"/>
        </w:rPr>
      </w:pPr>
      <w:r>
        <w:rPr>
          <w:rFonts w:hint="eastAsia" w:cs="宋体"/>
          <w:sz w:val="24"/>
          <w:szCs w:val="24"/>
        </w:rPr>
        <w:sym w:font="Wingdings 2" w:char="00A3"/>
      </w:r>
      <w:r>
        <w:rPr>
          <w:rFonts w:hint="eastAsia" w:cs="宋体"/>
          <w:sz w:val="24"/>
          <w:szCs w:val="24"/>
        </w:rPr>
        <w:t>②在合同签订后，买方向卖方提出产品每批次交货的具体数量、时间、要求。</w:t>
      </w:r>
    </w:p>
    <w:p w14:paraId="7A396D45">
      <w:pPr>
        <w:pStyle w:val="13"/>
        <w:spacing w:line="360" w:lineRule="auto"/>
        <w:ind w:left="0" w:leftChars="0" w:firstLine="480" w:firstLineChars="200"/>
        <w:rPr>
          <w:rFonts w:hint="eastAsia" w:cs="宋体"/>
          <w:sz w:val="24"/>
          <w:szCs w:val="24"/>
        </w:rPr>
      </w:pPr>
      <w:r>
        <w:rPr>
          <w:rFonts w:hint="eastAsia" w:cs="宋体"/>
          <w:sz w:val="24"/>
          <w:szCs w:val="24"/>
        </w:rPr>
        <w:t>□③本合同设备的交货期及具体交货时间详见“附件</w:t>
      </w:r>
      <w:r>
        <w:rPr>
          <w:rFonts w:hint="eastAsia" w:cs="宋体"/>
          <w:sz w:val="24"/>
          <w:szCs w:val="24"/>
          <w:u w:val="single"/>
        </w:rPr>
        <w:t xml:space="preserve">          </w:t>
      </w:r>
      <w:r>
        <w:rPr>
          <w:rFonts w:hint="eastAsia" w:cs="宋体"/>
          <w:sz w:val="24"/>
          <w:szCs w:val="24"/>
        </w:rPr>
        <w:t xml:space="preserve"> ”。  </w:t>
      </w:r>
    </w:p>
    <w:p w14:paraId="0FFF80F1">
      <w:pPr>
        <w:pStyle w:val="13"/>
        <w:spacing w:line="360" w:lineRule="auto"/>
        <w:ind w:left="0" w:leftChars="0" w:firstLine="480" w:firstLineChars="200"/>
        <w:rPr>
          <w:rFonts w:hint="eastAsia" w:cs="宋体"/>
          <w:sz w:val="24"/>
          <w:szCs w:val="24"/>
        </w:rPr>
      </w:pPr>
      <w:r>
        <w:rPr>
          <w:rFonts w:hint="eastAsia" w:cs="宋体"/>
          <w:sz w:val="24"/>
          <w:szCs w:val="24"/>
        </w:rPr>
        <w:t>3、卖方在每批次产品交货前</w:t>
      </w:r>
      <w:r>
        <w:rPr>
          <w:rFonts w:hint="eastAsia" w:cs="宋体"/>
          <w:sz w:val="24"/>
          <w:szCs w:val="24"/>
          <w:u w:val="single"/>
        </w:rPr>
        <w:t xml:space="preserve"> 5</w:t>
      </w:r>
      <w:r>
        <w:rPr>
          <w:rFonts w:hint="eastAsia" w:cs="宋体"/>
          <w:sz w:val="24"/>
          <w:szCs w:val="24"/>
        </w:rPr>
        <w:t>日内应通知买方发货和到达交货地点的时间。</w:t>
      </w:r>
    </w:p>
    <w:p w14:paraId="73D17E16">
      <w:pPr>
        <w:pStyle w:val="13"/>
        <w:spacing w:line="360" w:lineRule="auto"/>
        <w:ind w:left="0" w:leftChars="0" w:firstLine="480" w:firstLineChars="200"/>
        <w:rPr>
          <w:rFonts w:hint="eastAsia" w:cs="宋体"/>
          <w:sz w:val="24"/>
          <w:szCs w:val="24"/>
        </w:rPr>
      </w:pPr>
      <w:r>
        <w:rPr>
          <w:rFonts w:hint="eastAsia" w:cs="宋体"/>
          <w:sz w:val="24"/>
          <w:szCs w:val="24"/>
        </w:rPr>
        <w:t>4、由于买方变更交货地点而增加运输周期的，交货时间顺延。</w:t>
      </w:r>
    </w:p>
    <w:p w14:paraId="61E27310">
      <w:pPr>
        <w:pStyle w:val="13"/>
        <w:spacing w:line="360" w:lineRule="auto"/>
        <w:ind w:left="0" w:leftChars="0"/>
        <w:outlineLvl w:val="1"/>
        <w:rPr>
          <w:rFonts w:hint="eastAsia" w:cs="宋体"/>
          <w:b/>
          <w:sz w:val="24"/>
          <w:szCs w:val="24"/>
        </w:rPr>
      </w:pPr>
      <w:bookmarkStart w:id="231" w:name="_Toc18030"/>
      <w:bookmarkStart w:id="232" w:name="_Toc26416"/>
      <w:bookmarkStart w:id="233" w:name="_Toc25920"/>
      <w:bookmarkStart w:id="234" w:name="_Toc25473"/>
      <w:r>
        <w:rPr>
          <w:rFonts w:hint="eastAsia" w:cs="宋体"/>
          <w:b/>
          <w:sz w:val="24"/>
          <w:szCs w:val="24"/>
        </w:rPr>
        <w:t>六、随机备品、配件及工具的供应办法：</w:t>
      </w:r>
      <w:bookmarkEnd w:id="231"/>
      <w:bookmarkEnd w:id="232"/>
      <w:bookmarkEnd w:id="233"/>
      <w:bookmarkEnd w:id="234"/>
    </w:p>
    <w:p w14:paraId="47DC54B8">
      <w:pPr>
        <w:pStyle w:val="13"/>
        <w:spacing w:line="360" w:lineRule="auto"/>
        <w:ind w:left="0" w:leftChars="0" w:firstLine="480" w:firstLineChars="200"/>
        <w:rPr>
          <w:rFonts w:hint="eastAsia" w:cs="宋体"/>
          <w:sz w:val="24"/>
          <w:szCs w:val="24"/>
        </w:rPr>
      </w:pPr>
      <w:r>
        <w:rPr>
          <w:rFonts w:hint="eastAsia" w:cs="宋体"/>
          <w:sz w:val="24"/>
          <w:szCs w:val="24"/>
        </w:rPr>
        <w:t>□ 1、卖方按设备特点，免费提供齐全的随机备品、配件及工具，对特殊的配件，卖方应有必要的储备，以满足买方的应急需要。</w:t>
      </w:r>
    </w:p>
    <w:p w14:paraId="7E80CB79">
      <w:pPr>
        <w:pStyle w:val="13"/>
        <w:spacing w:line="360" w:lineRule="auto"/>
        <w:ind w:left="0" w:leftChars="0" w:firstLine="480" w:firstLineChars="200"/>
        <w:rPr>
          <w:rFonts w:hint="eastAsia" w:cs="宋体"/>
          <w:sz w:val="24"/>
          <w:szCs w:val="24"/>
        </w:rPr>
      </w:pPr>
      <w:r>
        <w:rPr>
          <w:rFonts w:hint="eastAsia" w:cs="宋体"/>
          <w:sz w:val="24"/>
          <w:szCs w:val="24"/>
        </w:rPr>
        <w:t>□ 2、卖方免费提供部分备品备件，名称及数量详见附件。</w:t>
      </w:r>
    </w:p>
    <w:p w14:paraId="62128CAB">
      <w:pPr>
        <w:pStyle w:val="13"/>
        <w:spacing w:line="360" w:lineRule="auto"/>
        <w:ind w:left="0" w:leftChars="0" w:firstLine="480" w:firstLineChars="200"/>
        <w:rPr>
          <w:rFonts w:hint="eastAsia" w:cs="宋体"/>
          <w:sz w:val="24"/>
          <w:szCs w:val="24"/>
        </w:rPr>
      </w:pPr>
      <w:r>
        <w:rPr>
          <w:rFonts w:hint="eastAsia" w:cs="宋体"/>
          <w:sz w:val="24"/>
          <w:szCs w:val="24"/>
        </w:rPr>
        <w:sym w:font="Wingdings 2" w:char="00A3"/>
      </w:r>
      <w:r>
        <w:rPr>
          <w:rFonts w:hint="eastAsia" w:cs="宋体"/>
          <w:sz w:val="24"/>
          <w:szCs w:val="24"/>
        </w:rPr>
        <w:t xml:space="preserve"> 3、卖方免费提供部分备品备件，名称及数量详见本合同相关技术协议约定。</w:t>
      </w:r>
    </w:p>
    <w:p w14:paraId="1E31F951">
      <w:pPr>
        <w:pStyle w:val="13"/>
        <w:spacing w:line="360" w:lineRule="auto"/>
        <w:ind w:left="0" w:leftChars="0" w:firstLine="480" w:firstLineChars="200"/>
        <w:rPr>
          <w:rFonts w:hint="eastAsia" w:cs="宋体"/>
          <w:sz w:val="24"/>
          <w:szCs w:val="24"/>
        </w:rPr>
      </w:pPr>
      <w:r>
        <w:rPr>
          <w:rFonts w:hint="eastAsia" w:cs="宋体"/>
          <w:sz w:val="24"/>
          <w:szCs w:val="24"/>
        </w:rPr>
        <w:t>□ 4、无需提供备品备件。</w:t>
      </w:r>
    </w:p>
    <w:p w14:paraId="51DCA6C4">
      <w:pPr>
        <w:pStyle w:val="13"/>
        <w:spacing w:line="360" w:lineRule="auto"/>
        <w:ind w:left="0" w:leftChars="0" w:firstLine="480" w:firstLineChars="200"/>
        <w:rPr>
          <w:rFonts w:hint="eastAsia" w:cs="宋体"/>
          <w:sz w:val="24"/>
          <w:szCs w:val="24"/>
        </w:rPr>
      </w:pPr>
      <w:r>
        <w:rPr>
          <w:rFonts w:hint="eastAsia" w:cs="宋体"/>
          <w:sz w:val="24"/>
          <w:szCs w:val="24"/>
        </w:rPr>
        <w:sym w:font="Wingdings 2" w:char="00A3"/>
      </w:r>
      <w:r>
        <w:rPr>
          <w:rFonts w:hint="eastAsia" w:cs="宋体"/>
          <w:sz w:val="24"/>
          <w:szCs w:val="24"/>
        </w:rPr>
        <w:t xml:space="preserve"> 5、在质保期届满后，卖方应按买方的要求随时以最优惠的价格向买方提供设备所需的备品、配件及工具等备品备件。</w:t>
      </w:r>
    </w:p>
    <w:p w14:paraId="79EE78C3">
      <w:pPr>
        <w:pStyle w:val="13"/>
        <w:spacing w:line="360" w:lineRule="auto"/>
        <w:ind w:left="0" w:leftChars="0"/>
        <w:outlineLvl w:val="1"/>
        <w:rPr>
          <w:rFonts w:hint="eastAsia" w:cs="宋体"/>
          <w:b/>
          <w:sz w:val="24"/>
          <w:szCs w:val="24"/>
        </w:rPr>
      </w:pPr>
      <w:bookmarkStart w:id="235" w:name="_Toc16656"/>
      <w:bookmarkStart w:id="236" w:name="_Toc28775"/>
      <w:bookmarkStart w:id="237" w:name="_Toc20682"/>
      <w:bookmarkStart w:id="238" w:name="_Toc17140"/>
      <w:r>
        <w:rPr>
          <w:rFonts w:hint="eastAsia" w:cs="宋体"/>
          <w:b/>
          <w:sz w:val="24"/>
          <w:szCs w:val="24"/>
        </w:rPr>
        <w:t>七、合同价款及支付方式：</w:t>
      </w:r>
      <w:bookmarkEnd w:id="235"/>
      <w:bookmarkEnd w:id="236"/>
      <w:bookmarkEnd w:id="237"/>
      <w:bookmarkEnd w:id="238"/>
    </w:p>
    <w:p w14:paraId="51C072BE">
      <w:pPr>
        <w:pStyle w:val="13"/>
        <w:spacing w:after="0" w:line="360" w:lineRule="auto"/>
        <w:ind w:left="0" w:leftChars="0" w:firstLine="480" w:firstLineChars="200"/>
        <w:rPr>
          <w:rFonts w:hint="eastAsia" w:cs="宋体"/>
          <w:sz w:val="24"/>
          <w:szCs w:val="24"/>
        </w:rPr>
      </w:pPr>
      <w:r>
        <w:rPr>
          <w:rFonts w:hint="eastAsia" w:cs="宋体"/>
          <w:sz w:val="24"/>
          <w:szCs w:val="24"/>
        </w:rPr>
        <w:t>1、合同总价款（含税）为</w:t>
      </w:r>
      <w:r>
        <w:rPr>
          <w:rFonts w:hint="eastAsia" w:cs="宋体"/>
          <w:sz w:val="24"/>
          <w:szCs w:val="24"/>
          <w:u w:val="single"/>
        </w:rPr>
        <w:t xml:space="preserve">      </w:t>
      </w:r>
      <w:r>
        <w:rPr>
          <w:rFonts w:hint="eastAsia" w:cs="宋体"/>
          <w:sz w:val="24"/>
          <w:szCs w:val="24"/>
        </w:rPr>
        <w:t>元人民币,（大写RMB）：</w:t>
      </w:r>
      <w:r>
        <w:rPr>
          <w:rFonts w:hint="eastAsia" w:cs="宋体"/>
          <w:b/>
          <w:sz w:val="24"/>
          <w:szCs w:val="24"/>
          <w:u w:val="single"/>
        </w:rPr>
        <w:t xml:space="preserve">          </w:t>
      </w:r>
      <w:r>
        <w:rPr>
          <w:rFonts w:hint="eastAsia" w:cs="宋体"/>
          <w:b/>
          <w:bCs/>
          <w:sz w:val="24"/>
          <w:szCs w:val="24"/>
        </w:rPr>
        <w:t>。</w:t>
      </w:r>
    </w:p>
    <w:p w14:paraId="2478E7F4">
      <w:pPr>
        <w:pStyle w:val="13"/>
        <w:spacing w:after="0" w:line="360" w:lineRule="auto"/>
        <w:ind w:left="0" w:leftChars="0" w:firstLine="480" w:firstLineChars="200"/>
        <w:rPr>
          <w:rFonts w:hint="eastAsia" w:cs="宋体"/>
          <w:sz w:val="24"/>
          <w:szCs w:val="24"/>
        </w:rPr>
      </w:pPr>
      <w:r>
        <w:rPr>
          <w:rFonts w:hint="eastAsia" w:cs="宋体"/>
          <w:sz w:val="24"/>
          <w:szCs w:val="24"/>
        </w:rPr>
        <w:t>2、支付方式：</w:t>
      </w:r>
    </w:p>
    <w:p w14:paraId="1AB58E90">
      <w:pPr>
        <w:pStyle w:val="13"/>
        <w:spacing w:line="360" w:lineRule="auto"/>
        <w:ind w:left="0" w:leftChars="0" w:firstLine="480" w:firstLineChars="200"/>
        <w:rPr>
          <w:rFonts w:hint="eastAsia" w:cs="宋体"/>
          <w:sz w:val="24"/>
          <w:szCs w:val="24"/>
        </w:rPr>
      </w:pPr>
      <w:r>
        <w:rPr>
          <w:rFonts w:hint="eastAsia" w:cs="宋体"/>
          <w:sz w:val="24"/>
          <w:szCs w:val="24"/>
        </w:rPr>
        <w:t>□ ① 卖方将全部设备送到指定地点，经买方初步验收合格后</w:t>
      </w:r>
      <w:r>
        <w:rPr>
          <w:rFonts w:hint="eastAsia" w:cs="宋体"/>
          <w:sz w:val="24"/>
          <w:szCs w:val="24"/>
          <w:u w:val="single"/>
        </w:rPr>
        <w:t xml:space="preserve">  </w:t>
      </w:r>
      <w:r>
        <w:rPr>
          <w:rFonts w:hint="eastAsia" w:cs="宋体"/>
          <w:sz w:val="24"/>
          <w:szCs w:val="24"/>
        </w:rPr>
        <w:t>日内，且买方收到卖方提交的金额为合同总价款</w:t>
      </w:r>
      <w:r>
        <w:rPr>
          <w:rFonts w:hint="eastAsia" w:cs="宋体"/>
          <w:sz w:val="24"/>
          <w:szCs w:val="24"/>
          <w:u w:val="single"/>
        </w:rPr>
        <w:t xml:space="preserve">   </w:t>
      </w:r>
      <w:r>
        <w:rPr>
          <w:rFonts w:hint="eastAsia" w:cs="宋体"/>
          <w:sz w:val="24"/>
          <w:szCs w:val="24"/>
        </w:rPr>
        <w:t>%的增值税专用发票，买方向卖方支付合同总价款的</w:t>
      </w:r>
      <w:r>
        <w:rPr>
          <w:rFonts w:hint="eastAsia" w:cs="宋体"/>
          <w:sz w:val="24"/>
          <w:szCs w:val="24"/>
          <w:u w:val="single"/>
        </w:rPr>
        <w:t xml:space="preserve">         </w:t>
      </w:r>
      <w:r>
        <w:rPr>
          <w:rFonts w:hint="eastAsia" w:cs="宋体"/>
          <w:sz w:val="24"/>
          <w:szCs w:val="24"/>
        </w:rPr>
        <w:t>%，计</w:t>
      </w:r>
      <w:r>
        <w:rPr>
          <w:rFonts w:hint="eastAsia" w:cs="宋体"/>
          <w:sz w:val="24"/>
          <w:szCs w:val="24"/>
          <w:u w:val="single"/>
        </w:rPr>
        <w:t xml:space="preserve">         </w:t>
      </w:r>
      <w:r>
        <w:rPr>
          <w:rFonts w:hint="eastAsia" w:cs="宋体"/>
          <w:sz w:val="24"/>
          <w:szCs w:val="24"/>
        </w:rPr>
        <w:t xml:space="preserve">元人民币。 </w:t>
      </w:r>
    </w:p>
    <w:p w14:paraId="2504E3DD">
      <w:pPr>
        <w:pStyle w:val="13"/>
        <w:numPr>
          <w:ilvl w:val="255"/>
          <w:numId w:val="0"/>
        </w:numPr>
        <w:snapToGrid w:val="0"/>
        <w:spacing w:line="500" w:lineRule="exact"/>
        <w:ind w:left="420"/>
        <w:rPr>
          <w:rFonts w:cs="宋体"/>
          <w:bCs/>
          <w:color w:val="auto"/>
          <w:sz w:val="24"/>
          <w:szCs w:val="24"/>
        </w:rPr>
      </w:pPr>
      <w:r>
        <w:rPr>
          <w:rFonts w:hint="eastAsia" w:cs="宋体"/>
          <w:sz w:val="24"/>
          <w:szCs w:val="24"/>
        </w:rPr>
        <w:sym w:font="Wingdings 2" w:char="0052"/>
      </w:r>
      <w:r>
        <w:rPr>
          <w:rFonts w:hint="eastAsia" w:cs="宋体"/>
          <w:sz w:val="24"/>
          <w:szCs w:val="24"/>
        </w:rPr>
        <w:t xml:space="preserve"> ②</w:t>
      </w:r>
      <w:r>
        <w:rPr>
          <w:rFonts w:hint="eastAsia" w:cs="宋体"/>
          <w:bCs/>
          <w:color w:val="auto"/>
          <w:sz w:val="24"/>
          <w:szCs w:val="24"/>
        </w:rPr>
        <w:t>1、</w:t>
      </w:r>
      <w:r>
        <w:rPr>
          <w:rFonts w:hint="eastAsia" w:cs="宋体"/>
          <w:bCs/>
          <w:color w:val="auto"/>
          <w:sz w:val="24"/>
          <w:szCs w:val="24"/>
          <w:lang w:val="en-US"/>
        </w:rPr>
        <w:t>合同签订后，</w:t>
      </w:r>
      <w:r>
        <w:rPr>
          <w:rFonts w:hint="eastAsia" w:cs="宋体"/>
          <w:bCs/>
          <w:color w:val="auto"/>
          <w:sz w:val="24"/>
          <w:szCs w:val="24"/>
          <w:lang w:val="en-US" w:eastAsia="zh-CN"/>
        </w:rPr>
        <w:t>卖方</w:t>
      </w:r>
      <w:r>
        <w:rPr>
          <w:rFonts w:hint="eastAsia" w:cs="宋体"/>
          <w:bCs/>
          <w:color w:val="auto"/>
          <w:sz w:val="24"/>
          <w:szCs w:val="24"/>
        </w:rPr>
        <w:t>的项目蓝图审核通过后</w:t>
      </w:r>
      <w:r>
        <w:rPr>
          <w:rFonts w:hint="eastAsia" w:cs="宋体"/>
          <w:bCs/>
          <w:color w:val="auto"/>
          <w:sz w:val="24"/>
          <w:szCs w:val="24"/>
          <w:lang w:val="en-US"/>
        </w:rPr>
        <w:t>支付硬件设备</w:t>
      </w:r>
      <w:r>
        <w:rPr>
          <w:rFonts w:hint="eastAsia" w:cs="宋体"/>
          <w:bCs/>
          <w:color w:val="auto"/>
          <w:sz w:val="24"/>
          <w:szCs w:val="24"/>
        </w:rPr>
        <w:t>合同总额</w:t>
      </w:r>
      <w:r>
        <w:rPr>
          <w:rFonts w:hint="eastAsia" w:cs="宋体"/>
          <w:bCs/>
          <w:color w:val="auto"/>
          <w:sz w:val="24"/>
          <w:szCs w:val="24"/>
          <w:lang w:val="en-US"/>
        </w:rPr>
        <w:t>30</w:t>
      </w:r>
      <w:r>
        <w:rPr>
          <w:rFonts w:hint="eastAsia" w:cs="宋体"/>
          <w:bCs/>
          <w:color w:val="auto"/>
          <w:sz w:val="24"/>
          <w:szCs w:val="24"/>
        </w:rPr>
        <w:t>％的预付货款。</w:t>
      </w:r>
    </w:p>
    <w:p w14:paraId="587DAE5F">
      <w:pPr>
        <w:pStyle w:val="13"/>
        <w:numPr>
          <w:ilvl w:val="255"/>
          <w:numId w:val="0"/>
        </w:numPr>
        <w:snapToGrid w:val="0"/>
        <w:spacing w:line="500" w:lineRule="exact"/>
        <w:ind w:left="420"/>
        <w:rPr>
          <w:rFonts w:cs="宋体"/>
          <w:bCs/>
          <w:color w:val="auto"/>
          <w:sz w:val="24"/>
          <w:szCs w:val="24"/>
          <w:lang w:val="en-US"/>
        </w:rPr>
      </w:pPr>
      <w:r>
        <w:rPr>
          <w:rFonts w:hint="eastAsia" w:cs="宋体"/>
          <w:bCs/>
          <w:color w:val="auto"/>
          <w:sz w:val="24"/>
          <w:szCs w:val="24"/>
          <w:lang w:val="en-US"/>
        </w:rPr>
        <w:t>2</w:t>
      </w:r>
      <w:r>
        <w:rPr>
          <w:rFonts w:hint="eastAsia" w:cs="宋体"/>
          <w:bCs/>
          <w:color w:val="auto"/>
          <w:sz w:val="24"/>
          <w:szCs w:val="24"/>
        </w:rPr>
        <w:t>、</w:t>
      </w:r>
      <w:r>
        <w:rPr>
          <w:rFonts w:hint="eastAsia" w:cs="宋体"/>
          <w:bCs/>
          <w:color w:val="auto"/>
          <w:sz w:val="24"/>
          <w:szCs w:val="24"/>
          <w:lang w:val="en-US" w:eastAsia="zh-CN"/>
        </w:rPr>
        <w:t>卖方</w:t>
      </w:r>
      <w:r>
        <w:rPr>
          <w:rFonts w:hint="eastAsia" w:cs="宋体"/>
          <w:bCs/>
          <w:color w:val="auto"/>
          <w:sz w:val="24"/>
          <w:szCs w:val="24"/>
        </w:rPr>
        <w:t>设备到货</w:t>
      </w:r>
      <w:r>
        <w:rPr>
          <w:rFonts w:hint="eastAsia" w:cs="宋体"/>
          <w:bCs/>
          <w:color w:val="auto"/>
          <w:sz w:val="24"/>
          <w:szCs w:val="24"/>
          <w:lang w:val="en-US"/>
        </w:rPr>
        <w:t>经清点无误，出具设备预验收清单后支付</w:t>
      </w:r>
      <w:r>
        <w:rPr>
          <w:rFonts w:hint="eastAsia" w:cs="宋体"/>
          <w:bCs/>
          <w:color w:val="auto"/>
          <w:sz w:val="24"/>
          <w:szCs w:val="24"/>
        </w:rPr>
        <w:t>合同总额30%</w:t>
      </w:r>
      <w:r>
        <w:rPr>
          <w:rFonts w:hint="eastAsia" w:cs="宋体"/>
          <w:bCs/>
          <w:color w:val="auto"/>
          <w:sz w:val="24"/>
          <w:szCs w:val="24"/>
          <w:lang w:val="en-US"/>
        </w:rPr>
        <w:t>的预验收款。</w:t>
      </w:r>
    </w:p>
    <w:p w14:paraId="1D9CD999">
      <w:pPr>
        <w:pStyle w:val="13"/>
        <w:numPr>
          <w:ilvl w:val="255"/>
          <w:numId w:val="0"/>
        </w:numPr>
        <w:snapToGrid w:val="0"/>
        <w:spacing w:line="500" w:lineRule="exact"/>
        <w:ind w:left="420"/>
        <w:rPr>
          <w:rFonts w:cs="宋体"/>
          <w:bCs/>
          <w:color w:val="auto"/>
          <w:sz w:val="24"/>
          <w:szCs w:val="24"/>
          <w:lang w:val="en-US"/>
        </w:rPr>
      </w:pPr>
      <w:r>
        <w:rPr>
          <w:rFonts w:hint="eastAsia" w:cs="宋体"/>
          <w:bCs/>
          <w:color w:val="auto"/>
          <w:sz w:val="24"/>
          <w:szCs w:val="24"/>
          <w:lang w:val="en-US"/>
        </w:rPr>
        <w:t>3</w:t>
      </w:r>
      <w:r>
        <w:rPr>
          <w:rFonts w:hint="eastAsia" w:cs="宋体"/>
          <w:bCs/>
          <w:color w:val="auto"/>
          <w:sz w:val="24"/>
          <w:szCs w:val="24"/>
        </w:rPr>
        <w:t>、设备</w:t>
      </w:r>
      <w:r>
        <w:rPr>
          <w:rFonts w:hint="eastAsia" w:cs="宋体"/>
          <w:bCs/>
          <w:color w:val="auto"/>
          <w:sz w:val="24"/>
          <w:szCs w:val="24"/>
          <w:lang w:val="en-US"/>
        </w:rPr>
        <w:t>到</w:t>
      </w:r>
      <w:r>
        <w:rPr>
          <w:rFonts w:hint="eastAsia" w:cs="宋体"/>
          <w:bCs/>
          <w:color w:val="auto"/>
          <w:sz w:val="24"/>
          <w:szCs w:val="24"/>
          <w:lang w:val="en-US" w:eastAsia="zh-CN"/>
        </w:rPr>
        <w:t>买方</w:t>
      </w:r>
      <w:r>
        <w:rPr>
          <w:rFonts w:hint="eastAsia" w:cs="宋体"/>
          <w:bCs/>
          <w:color w:val="auto"/>
          <w:sz w:val="24"/>
          <w:szCs w:val="24"/>
        </w:rPr>
        <w:t>现场安装调试完毕并经最终综合验收合格（三包期起算日）后10日内向</w:t>
      </w:r>
      <w:r>
        <w:rPr>
          <w:rFonts w:hint="eastAsia" w:cs="宋体"/>
          <w:bCs/>
          <w:color w:val="auto"/>
          <w:sz w:val="24"/>
          <w:szCs w:val="24"/>
          <w:lang w:val="en-US" w:eastAsia="zh-CN"/>
        </w:rPr>
        <w:t>卖方</w:t>
      </w:r>
      <w:r>
        <w:rPr>
          <w:rFonts w:hint="eastAsia" w:cs="宋体"/>
          <w:bCs/>
          <w:color w:val="auto"/>
          <w:sz w:val="24"/>
          <w:szCs w:val="24"/>
        </w:rPr>
        <w:t>支付合同金额</w:t>
      </w:r>
      <w:r>
        <w:rPr>
          <w:rFonts w:hint="eastAsia" w:cs="宋体"/>
          <w:bCs/>
          <w:color w:val="auto"/>
          <w:sz w:val="24"/>
          <w:szCs w:val="24"/>
          <w:lang w:val="en-US"/>
        </w:rPr>
        <w:t>3</w:t>
      </w:r>
      <w:r>
        <w:rPr>
          <w:rFonts w:hint="eastAsia" w:cs="宋体"/>
          <w:bCs/>
          <w:color w:val="auto"/>
          <w:sz w:val="24"/>
          <w:szCs w:val="24"/>
        </w:rPr>
        <w:t>0%</w:t>
      </w:r>
      <w:r>
        <w:rPr>
          <w:rFonts w:hint="eastAsia" w:cs="宋体"/>
          <w:bCs/>
          <w:color w:val="auto"/>
          <w:sz w:val="24"/>
          <w:szCs w:val="24"/>
          <w:lang w:val="en-US"/>
        </w:rPr>
        <w:t>的竣工验收款</w:t>
      </w:r>
      <w:r>
        <w:rPr>
          <w:rFonts w:hint="eastAsia" w:cs="宋体"/>
          <w:bCs/>
          <w:color w:val="auto"/>
          <w:sz w:val="24"/>
          <w:szCs w:val="24"/>
        </w:rPr>
        <w:t>。</w:t>
      </w:r>
    </w:p>
    <w:p w14:paraId="2D75573B">
      <w:pPr>
        <w:pStyle w:val="13"/>
        <w:numPr>
          <w:ilvl w:val="255"/>
          <w:numId w:val="0"/>
        </w:numPr>
        <w:snapToGrid w:val="0"/>
        <w:spacing w:line="500" w:lineRule="exact"/>
        <w:ind w:left="420"/>
        <w:rPr>
          <w:rFonts w:hint="eastAsia"/>
          <w:color w:val="auto"/>
          <w:sz w:val="24"/>
          <w:szCs w:val="24"/>
          <w:lang w:eastAsia="zh-CN"/>
        </w:rPr>
      </w:pPr>
      <w:r>
        <w:rPr>
          <w:rFonts w:hint="eastAsia" w:cs="宋体"/>
          <w:bCs/>
          <w:color w:val="auto"/>
          <w:sz w:val="24"/>
          <w:szCs w:val="24"/>
          <w:lang w:val="en-US"/>
        </w:rPr>
        <w:t>4</w:t>
      </w:r>
      <w:r>
        <w:rPr>
          <w:rFonts w:hint="eastAsia" w:cs="宋体"/>
          <w:bCs/>
          <w:color w:val="auto"/>
          <w:sz w:val="24"/>
          <w:szCs w:val="24"/>
        </w:rPr>
        <w:t>、</w:t>
      </w:r>
      <w:r>
        <w:rPr>
          <w:rFonts w:hint="eastAsia"/>
          <w:color w:val="auto"/>
          <w:sz w:val="24"/>
          <w:szCs w:val="24"/>
        </w:rPr>
        <w:t>合同价款的10%作为质保金，买方于整机质保期满无质量问题后</w:t>
      </w:r>
      <w:r>
        <w:rPr>
          <w:rFonts w:hint="eastAsia"/>
          <w:color w:val="auto"/>
          <w:sz w:val="24"/>
          <w:szCs w:val="24"/>
          <w:u w:val="single"/>
        </w:rPr>
        <w:t>14</w:t>
      </w:r>
      <w:r>
        <w:rPr>
          <w:rFonts w:hint="eastAsia"/>
          <w:color w:val="auto"/>
          <w:sz w:val="24"/>
          <w:szCs w:val="24"/>
        </w:rPr>
        <w:t>日内向卖方支付</w:t>
      </w:r>
      <w:r>
        <w:rPr>
          <w:rFonts w:hint="eastAsia"/>
          <w:color w:val="auto"/>
          <w:sz w:val="24"/>
          <w:szCs w:val="24"/>
          <w:lang w:eastAsia="zh-CN"/>
        </w:rPr>
        <w:t>。</w:t>
      </w:r>
    </w:p>
    <w:p w14:paraId="184C9069">
      <w:pPr>
        <w:pStyle w:val="13"/>
        <w:snapToGrid w:val="0"/>
        <w:spacing w:line="500" w:lineRule="exact"/>
        <w:ind w:left="424" w:leftChars="202"/>
        <w:rPr>
          <w:rFonts w:hint="eastAsia" w:cs="宋体"/>
          <w:bCs/>
          <w:color w:val="000000" w:themeColor="text1"/>
          <w:sz w:val="24"/>
          <w:szCs w:val="24"/>
          <w:lang w:val="en-US" w:eastAsia="zh-CN"/>
          <w14:textFill>
            <w14:solidFill>
              <w14:schemeClr w14:val="tx1"/>
            </w14:solidFill>
          </w14:textFill>
        </w:rPr>
      </w:pPr>
      <w:r>
        <w:rPr>
          <w:rFonts w:hint="eastAsia" w:cs="宋体"/>
          <w:bCs/>
          <w:color w:val="auto"/>
          <w:sz w:val="24"/>
          <w:szCs w:val="24"/>
        </w:rPr>
        <w:t>5、在上述历次付款节点前，</w:t>
      </w:r>
      <w:r>
        <w:rPr>
          <w:rFonts w:hint="eastAsia" w:cs="宋体"/>
          <w:bCs/>
          <w:color w:val="auto"/>
          <w:sz w:val="24"/>
          <w:szCs w:val="24"/>
          <w:lang w:val="en-US" w:eastAsia="zh-CN"/>
        </w:rPr>
        <w:t>卖方</w:t>
      </w:r>
      <w:r>
        <w:rPr>
          <w:rFonts w:hint="eastAsia"/>
          <w:color w:val="auto"/>
          <w:sz w:val="24"/>
          <w:szCs w:val="24"/>
        </w:rPr>
        <w:t>均应按相应付款金额提供等额的合格增值税专用发票，如</w:t>
      </w:r>
      <w:r>
        <w:rPr>
          <w:rFonts w:hint="eastAsia" w:cs="宋体"/>
          <w:bCs/>
          <w:color w:val="auto"/>
          <w:sz w:val="24"/>
          <w:szCs w:val="24"/>
          <w:lang w:val="en-US" w:eastAsia="zh-CN"/>
        </w:rPr>
        <w:t>卖方</w:t>
      </w:r>
      <w:r>
        <w:rPr>
          <w:rFonts w:hint="eastAsia"/>
          <w:color w:val="auto"/>
          <w:sz w:val="24"/>
          <w:szCs w:val="24"/>
        </w:rPr>
        <w:t>不能提供或提供的发票不符合要求，</w:t>
      </w:r>
      <w:r>
        <w:rPr>
          <w:rFonts w:hint="eastAsia"/>
          <w:color w:val="auto"/>
          <w:sz w:val="24"/>
          <w:szCs w:val="24"/>
          <w:lang w:val="en-US" w:eastAsia="zh-CN"/>
        </w:rPr>
        <w:t>买方</w:t>
      </w:r>
      <w:r>
        <w:rPr>
          <w:rFonts w:hint="eastAsia"/>
          <w:color w:val="auto"/>
          <w:sz w:val="24"/>
          <w:szCs w:val="24"/>
        </w:rPr>
        <w:t>有权拒绝付款，且不承担逾期付款违约责任</w:t>
      </w:r>
      <w:r>
        <w:rPr>
          <w:rFonts w:hint="eastAsia" w:cs="宋体"/>
          <w:bCs/>
          <w:color w:val="auto"/>
          <w:sz w:val="24"/>
          <w:szCs w:val="24"/>
        </w:rPr>
        <w:t>。</w:t>
      </w:r>
    </w:p>
    <w:p w14:paraId="0704301C">
      <w:pPr>
        <w:pStyle w:val="13"/>
        <w:spacing w:line="360" w:lineRule="auto"/>
        <w:ind w:left="0" w:leftChars="0" w:right="26" w:firstLine="480" w:firstLineChars="200"/>
        <w:rPr>
          <w:rFonts w:hint="eastAsia" w:cs="宋体"/>
          <w:sz w:val="24"/>
          <w:szCs w:val="24"/>
        </w:rPr>
      </w:pPr>
      <w:r>
        <w:rPr>
          <w:rFonts w:hint="eastAsia" w:cs="宋体"/>
          <w:sz w:val="24"/>
          <w:szCs w:val="24"/>
        </w:rPr>
        <w:t>□ ③合同生效后</w:t>
      </w:r>
      <w:r>
        <w:rPr>
          <w:rFonts w:hint="eastAsia" w:cs="宋体"/>
          <w:sz w:val="24"/>
          <w:szCs w:val="24"/>
          <w:u w:val="single"/>
        </w:rPr>
        <w:t xml:space="preserve">   日</w:t>
      </w:r>
      <w:r>
        <w:rPr>
          <w:rFonts w:hint="eastAsia" w:cs="宋体"/>
          <w:sz w:val="24"/>
          <w:szCs w:val="24"/>
        </w:rPr>
        <w:t xml:space="preserve">内预付合同总金额的 </w:t>
      </w:r>
      <w:r>
        <w:rPr>
          <w:rFonts w:hint="eastAsia" w:cs="宋体"/>
          <w:sz w:val="24"/>
          <w:szCs w:val="24"/>
          <w:u w:val="single"/>
        </w:rPr>
        <w:t xml:space="preserve">    </w:t>
      </w:r>
      <w:r>
        <w:rPr>
          <w:rFonts w:hint="eastAsia" w:cs="宋体"/>
          <w:sz w:val="24"/>
          <w:szCs w:val="24"/>
        </w:rPr>
        <w:t>%，货到验收合格且收到卖方提交的金额为合同总价款</w:t>
      </w:r>
      <w:r>
        <w:rPr>
          <w:rFonts w:hint="eastAsia" w:cs="宋体"/>
          <w:sz w:val="24"/>
          <w:szCs w:val="24"/>
          <w:u w:val="single"/>
        </w:rPr>
        <w:t xml:space="preserve">   </w:t>
      </w:r>
      <w:r>
        <w:rPr>
          <w:rFonts w:hint="eastAsia" w:cs="宋体"/>
          <w:sz w:val="24"/>
          <w:szCs w:val="24"/>
        </w:rPr>
        <w:t>%的增值税发票后，</w:t>
      </w:r>
      <w:r>
        <w:rPr>
          <w:rFonts w:hint="eastAsia" w:cs="宋体"/>
          <w:sz w:val="24"/>
          <w:szCs w:val="24"/>
          <w:u w:val="single"/>
        </w:rPr>
        <w:t xml:space="preserve">    </w:t>
      </w:r>
      <w:r>
        <w:rPr>
          <w:rFonts w:hint="eastAsia" w:cs="宋体"/>
          <w:sz w:val="24"/>
          <w:szCs w:val="24"/>
        </w:rPr>
        <w:t>日内支付剩余货款。</w:t>
      </w:r>
    </w:p>
    <w:p w14:paraId="5A91D4D8">
      <w:pPr>
        <w:pStyle w:val="13"/>
        <w:spacing w:line="360" w:lineRule="auto"/>
        <w:ind w:left="0" w:leftChars="0" w:firstLine="480" w:firstLineChars="200"/>
        <w:rPr>
          <w:rFonts w:hint="eastAsia" w:cs="宋体"/>
          <w:sz w:val="24"/>
          <w:szCs w:val="24"/>
        </w:rPr>
      </w:pPr>
      <w:r>
        <w:rPr>
          <w:rFonts w:hint="eastAsia" w:cs="宋体"/>
          <w:sz w:val="24"/>
          <w:szCs w:val="24"/>
        </w:rPr>
        <w:t>3、付款方式：</w:t>
      </w:r>
    </w:p>
    <w:p w14:paraId="675E3615">
      <w:pPr>
        <w:pStyle w:val="13"/>
        <w:spacing w:line="360" w:lineRule="auto"/>
        <w:ind w:left="0" w:leftChars="0" w:firstLine="480" w:firstLineChars="200"/>
        <w:rPr>
          <w:rFonts w:hint="eastAsia" w:cs="宋体"/>
          <w:sz w:val="24"/>
          <w:szCs w:val="24"/>
        </w:rPr>
      </w:pPr>
      <w:r>
        <w:rPr>
          <w:rFonts w:hint="eastAsia" w:cs="宋体"/>
          <w:sz w:val="24"/>
          <w:szCs w:val="24"/>
          <w:lang w:eastAsia="zh-CN"/>
        </w:rPr>
        <w:t>□</w:t>
      </w:r>
      <w:r>
        <w:rPr>
          <w:rFonts w:hint="eastAsia" w:cs="宋体"/>
          <w:sz w:val="24"/>
          <w:szCs w:val="24"/>
        </w:rPr>
        <w:t>银行转账</w:t>
      </w:r>
    </w:p>
    <w:p w14:paraId="2EBDD9B6">
      <w:pPr>
        <w:pStyle w:val="13"/>
        <w:tabs>
          <w:tab w:val="left" w:pos="1440"/>
        </w:tabs>
        <w:spacing w:line="360" w:lineRule="auto"/>
        <w:ind w:left="0" w:leftChars="0" w:right="26" w:firstLine="480" w:firstLineChars="200"/>
        <w:rPr>
          <w:rFonts w:hint="eastAsia" w:cs="宋体"/>
          <w:sz w:val="24"/>
          <w:szCs w:val="24"/>
        </w:rPr>
      </w:pPr>
      <w:r>
        <w:rPr>
          <w:rFonts w:hint="eastAsia" w:cs="宋体"/>
          <w:sz w:val="24"/>
          <w:szCs w:val="24"/>
          <w:lang w:eastAsia="zh-CN"/>
        </w:rPr>
        <w:t>□</w:t>
      </w:r>
      <w:r>
        <w:rPr>
          <w:rFonts w:hint="eastAsia" w:cs="宋体"/>
          <w:sz w:val="24"/>
          <w:szCs w:val="24"/>
        </w:rPr>
        <w:t>银行承兑汇票</w:t>
      </w:r>
    </w:p>
    <w:p w14:paraId="7490C236">
      <w:pPr>
        <w:pStyle w:val="13"/>
        <w:tabs>
          <w:tab w:val="left" w:pos="1440"/>
        </w:tabs>
        <w:spacing w:line="360" w:lineRule="auto"/>
        <w:ind w:left="0" w:leftChars="0" w:firstLine="480" w:firstLineChars="200"/>
        <w:rPr>
          <w:rFonts w:hint="eastAsia" w:cs="宋体"/>
          <w:sz w:val="24"/>
          <w:szCs w:val="24"/>
        </w:rPr>
      </w:pPr>
      <w:r>
        <w:rPr>
          <w:rFonts w:hint="eastAsia" w:cs="宋体"/>
          <w:sz w:val="24"/>
          <w:szCs w:val="24"/>
        </w:rPr>
        <w:t>□商业承兑汇票</w:t>
      </w:r>
    </w:p>
    <w:p w14:paraId="079FCB81">
      <w:pPr>
        <w:pStyle w:val="13"/>
        <w:spacing w:line="360" w:lineRule="auto"/>
        <w:ind w:left="0" w:leftChars="0"/>
        <w:outlineLvl w:val="1"/>
        <w:rPr>
          <w:rFonts w:hint="eastAsia" w:cs="宋体"/>
          <w:b/>
          <w:sz w:val="24"/>
          <w:szCs w:val="24"/>
        </w:rPr>
      </w:pPr>
      <w:bookmarkStart w:id="239" w:name="_Toc19280"/>
      <w:bookmarkStart w:id="240" w:name="_Toc497"/>
      <w:bookmarkStart w:id="241" w:name="_Toc14119"/>
      <w:bookmarkStart w:id="242" w:name="_Toc3854"/>
      <w:r>
        <w:rPr>
          <w:rFonts w:hint="eastAsia" w:cs="宋体"/>
          <w:b/>
          <w:sz w:val="24"/>
          <w:szCs w:val="24"/>
        </w:rPr>
        <w:t>八、初步验收</w:t>
      </w:r>
      <w:bookmarkEnd w:id="239"/>
      <w:bookmarkEnd w:id="240"/>
      <w:bookmarkEnd w:id="241"/>
      <w:bookmarkEnd w:id="242"/>
    </w:p>
    <w:p w14:paraId="0B73D3C4">
      <w:pPr>
        <w:pStyle w:val="13"/>
        <w:spacing w:line="360" w:lineRule="auto"/>
        <w:ind w:left="0" w:leftChars="0" w:firstLine="480" w:firstLineChars="200"/>
        <w:rPr>
          <w:rFonts w:hint="eastAsia" w:cs="宋体"/>
          <w:sz w:val="24"/>
          <w:szCs w:val="24"/>
        </w:rPr>
      </w:pPr>
      <w:r>
        <w:rPr>
          <w:rFonts w:hint="eastAsia" w:cs="宋体"/>
          <w:sz w:val="24"/>
          <w:szCs w:val="24"/>
        </w:rPr>
        <w:t>1、每批设备由卖方送到买方指定地点后</w:t>
      </w:r>
      <w:r>
        <w:rPr>
          <w:rFonts w:hint="eastAsia" w:cs="宋体"/>
          <w:sz w:val="24"/>
          <w:szCs w:val="24"/>
          <w:u w:val="single"/>
        </w:rPr>
        <w:t xml:space="preserve">   </w:t>
      </w:r>
      <w:r>
        <w:rPr>
          <w:rFonts w:hint="eastAsia" w:cs="宋体"/>
          <w:sz w:val="24"/>
          <w:szCs w:val="24"/>
        </w:rPr>
        <w:t>日内，在买卖双方均在场并确认包装的完好性后，由买卖双方对产品的包装、外观、数量、商标、型号、规格等进行初步验收，签署检验报告。如卖方未按约定到指定地点参加检验的，应视为卖方对买方单方检验的结果予以确认。</w:t>
      </w:r>
    </w:p>
    <w:p w14:paraId="66B42390">
      <w:pPr>
        <w:pStyle w:val="13"/>
        <w:spacing w:line="360" w:lineRule="auto"/>
        <w:ind w:left="0" w:leftChars="0" w:firstLine="480" w:firstLineChars="200"/>
        <w:rPr>
          <w:rFonts w:hint="eastAsia" w:cs="宋体"/>
          <w:sz w:val="24"/>
          <w:szCs w:val="24"/>
        </w:rPr>
      </w:pPr>
      <w:r>
        <w:rPr>
          <w:rFonts w:hint="eastAsia" w:cs="宋体"/>
          <w:sz w:val="24"/>
          <w:szCs w:val="24"/>
        </w:rPr>
        <w:t>如发现卖方所交的产品有任何不符合合同规定之处，应做好记录，并由双方代表签字，作为买方向卖方提出修理或更换的依据。</w:t>
      </w:r>
    </w:p>
    <w:p w14:paraId="447999F6">
      <w:pPr>
        <w:pStyle w:val="13"/>
        <w:spacing w:line="360" w:lineRule="auto"/>
        <w:ind w:left="0" w:leftChars="0" w:firstLine="480" w:firstLineChars="200"/>
        <w:rPr>
          <w:rFonts w:hint="eastAsia" w:cs="宋体"/>
          <w:sz w:val="24"/>
          <w:szCs w:val="24"/>
        </w:rPr>
      </w:pPr>
      <w:r>
        <w:rPr>
          <w:rFonts w:hint="eastAsia" w:cs="宋体"/>
          <w:sz w:val="24"/>
          <w:szCs w:val="24"/>
        </w:rPr>
        <w:t>如双方代表在验收中对检验结果不能取得一致意见时，应由买方选定的第三方进行检验，第三方出具的检验证书对双方均有约束力，检验费用由责任方承担。一旦检验的设备有产品质量问题或不符合买方需求的，即视为卖方交付的同类设备全部不合格，卖方除应负责包退包换与承担相关费用外，还并按合同约定承担相应的违约责任。</w:t>
      </w:r>
    </w:p>
    <w:p w14:paraId="2E435387">
      <w:pPr>
        <w:pStyle w:val="13"/>
        <w:spacing w:line="360" w:lineRule="auto"/>
        <w:ind w:left="0" w:leftChars="0" w:firstLine="480" w:firstLineChars="200"/>
        <w:rPr>
          <w:rFonts w:hint="eastAsia" w:cs="宋体"/>
          <w:sz w:val="24"/>
          <w:szCs w:val="24"/>
        </w:rPr>
      </w:pPr>
      <w:r>
        <w:rPr>
          <w:rFonts w:hint="eastAsia" w:cs="宋体"/>
          <w:sz w:val="24"/>
          <w:szCs w:val="24"/>
        </w:rPr>
        <w:t>2、卖方随设备向买方交付的图纸和技术资料包括</w:t>
      </w:r>
      <w:r>
        <w:rPr>
          <w:rFonts w:hint="eastAsia" w:cs="宋体"/>
          <w:sz w:val="24"/>
          <w:szCs w:val="24"/>
          <w:u w:val="single"/>
        </w:rPr>
        <w:t xml:space="preserve">            等</w:t>
      </w:r>
      <w:r>
        <w:rPr>
          <w:rFonts w:hint="eastAsia" w:cs="宋体"/>
          <w:sz w:val="24"/>
          <w:szCs w:val="24"/>
          <w:u w:val="single"/>
          <w:lang w:val="en-US" w:eastAsia="zh-CN"/>
        </w:rPr>
        <w:t>.卖方未按约定提供全套合格资料的，买方有权拒绝验收，且不承担逾期付款违约责任</w:t>
      </w:r>
      <w:r>
        <w:rPr>
          <w:rFonts w:hint="eastAsia" w:cs="宋体"/>
          <w:sz w:val="24"/>
          <w:szCs w:val="24"/>
        </w:rPr>
        <w:t>。</w:t>
      </w:r>
    </w:p>
    <w:p w14:paraId="444BD03C">
      <w:pPr>
        <w:pStyle w:val="13"/>
        <w:spacing w:line="360" w:lineRule="auto"/>
        <w:ind w:left="0" w:leftChars="0" w:firstLine="480" w:firstLineChars="200"/>
        <w:rPr>
          <w:rFonts w:hint="eastAsia" w:cs="宋体"/>
          <w:sz w:val="24"/>
          <w:szCs w:val="24"/>
        </w:rPr>
      </w:pPr>
      <w:r>
        <w:rPr>
          <w:rFonts w:hint="eastAsia" w:cs="宋体"/>
          <w:sz w:val="24"/>
          <w:szCs w:val="24"/>
        </w:rPr>
        <w:t>3、本条规定的验收仅为设备到货的初步检验，无论是否发现问题，以及卖方是否按买方要求进行了更换或修理，均不能被视为卖方按本合同的规定承担的质量保证责任的解除，不能减免卖方对设备质量应负的责任，此验收不作为对产品内在质量检验的依据。</w:t>
      </w:r>
    </w:p>
    <w:p w14:paraId="1AEDBA94">
      <w:pPr>
        <w:pStyle w:val="13"/>
        <w:spacing w:line="360" w:lineRule="auto"/>
        <w:ind w:left="0" w:leftChars="0"/>
        <w:outlineLvl w:val="1"/>
        <w:rPr>
          <w:rFonts w:hint="eastAsia" w:cs="宋体"/>
          <w:b/>
          <w:sz w:val="24"/>
          <w:szCs w:val="24"/>
        </w:rPr>
      </w:pPr>
      <w:bookmarkStart w:id="243" w:name="_Toc23176"/>
      <w:bookmarkStart w:id="244" w:name="_Toc8532"/>
      <w:bookmarkStart w:id="245" w:name="_Toc6135"/>
      <w:bookmarkStart w:id="246" w:name="_Toc754"/>
      <w:r>
        <w:rPr>
          <w:rFonts w:hint="eastAsia" w:cs="宋体"/>
          <w:b/>
          <w:sz w:val="24"/>
          <w:szCs w:val="24"/>
        </w:rPr>
        <w:t>九、安装、调试和验收</w:t>
      </w:r>
      <w:bookmarkEnd w:id="243"/>
      <w:bookmarkEnd w:id="244"/>
      <w:bookmarkEnd w:id="245"/>
      <w:bookmarkEnd w:id="246"/>
    </w:p>
    <w:p w14:paraId="2A02F10D">
      <w:pPr>
        <w:pStyle w:val="13"/>
        <w:spacing w:line="360" w:lineRule="auto"/>
        <w:ind w:left="0" w:leftChars="0" w:firstLine="480" w:firstLineChars="200"/>
        <w:rPr>
          <w:rFonts w:hint="eastAsia" w:cs="宋体"/>
          <w:sz w:val="24"/>
          <w:szCs w:val="24"/>
        </w:rPr>
      </w:pPr>
      <w:r>
        <w:rPr>
          <w:rFonts w:hint="eastAsia" w:cs="宋体"/>
          <w:sz w:val="24"/>
          <w:szCs w:val="24"/>
        </w:rPr>
        <w:t>1、本合同设备如需安装，由</w:t>
      </w:r>
      <w:r>
        <w:rPr>
          <w:rFonts w:hint="eastAsia" w:cs="宋体"/>
          <w:sz w:val="24"/>
          <w:szCs w:val="24"/>
          <w:u w:val="single"/>
        </w:rPr>
        <w:t>卖</w:t>
      </w:r>
      <w:r>
        <w:rPr>
          <w:rFonts w:hint="eastAsia" w:cs="宋体"/>
          <w:sz w:val="24"/>
          <w:szCs w:val="24"/>
        </w:rPr>
        <w:t>方负责安装。</w:t>
      </w:r>
    </w:p>
    <w:p w14:paraId="2696400E">
      <w:pPr>
        <w:pStyle w:val="13"/>
        <w:spacing w:line="360" w:lineRule="auto"/>
        <w:ind w:left="0" w:leftChars="0" w:firstLine="480" w:firstLineChars="200"/>
        <w:rPr>
          <w:rFonts w:hint="eastAsia" w:cs="宋体"/>
          <w:sz w:val="24"/>
          <w:szCs w:val="24"/>
        </w:rPr>
      </w:pPr>
      <w:r>
        <w:rPr>
          <w:rFonts w:hint="eastAsia" w:cs="宋体"/>
          <w:sz w:val="24"/>
          <w:szCs w:val="24"/>
        </w:rPr>
        <w:t>2、卖方负责安装，买方应提供适于安装的现场环境，并配合卖方进行安装，卖方应自带用以安装、调试过程中所需的各种工具、仪器仪表及易损件。</w:t>
      </w:r>
    </w:p>
    <w:p w14:paraId="6BE114E3">
      <w:pPr>
        <w:pStyle w:val="13"/>
        <w:spacing w:line="360" w:lineRule="auto"/>
        <w:ind w:left="0" w:leftChars="0" w:firstLine="480" w:firstLineChars="200"/>
        <w:rPr>
          <w:rFonts w:hint="eastAsia" w:cs="宋体"/>
          <w:sz w:val="24"/>
          <w:szCs w:val="24"/>
        </w:rPr>
      </w:pPr>
      <w:r>
        <w:rPr>
          <w:rFonts w:hint="eastAsia" w:cs="宋体"/>
          <w:sz w:val="24"/>
          <w:szCs w:val="24"/>
        </w:rPr>
        <w:t>3、安装完毕后，买卖双方应对设备进行调试，卖方应尽快解决出现的问题，其所需时间不应超过</w:t>
      </w:r>
      <w:r>
        <w:rPr>
          <w:rFonts w:hint="eastAsia" w:cs="宋体"/>
          <w:sz w:val="24"/>
          <w:szCs w:val="24"/>
          <w:u w:val="single"/>
        </w:rPr>
        <w:t xml:space="preserve"> 7  </w:t>
      </w:r>
      <w:r>
        <w:rPr>
          <w:rFonts w:hint="eastAsia" w:cs="宋体"/>
          <w:sz w:val="24"/>
          <w:szCs w:val="24"/>
        </w:rPr>
        <w:t>日，在此期间，如设备能够安全稳定运行，买卖双方确定进行性能验收试验的时间，设备进入试运行期间，试运行期为</w:t>
      </w:r>
      <w:r>
        <w:rPr>
          <w:rFonts w:hint="eastAsia" w:cs="宋体"/>
          <w:sz w:val="24"/>
          <w:szCs w:val="24"/>
          <w:u w:val="single"/>
        </w:rPr>
        <w:t xml:space="preserve">  20个工作日试运行期自双方确认设备安装调试完毕、可正常启动之日起算</w:t>
      </w:r>
      <w:r>
        <w:rPr>
          <w:rFonts w:hint="eastAsia" w:cs="宋体"/>
          <w:sz w:val="24"/>
          <w:szCs w:val="24"/>
          <w:u w:val="single"/>
          <w:lang w:val="en-US" w:eastAsia="zh-CN"/>
        </w:rPr>
        <w:t>,</w:t>
      </w:r>
      <w:r>
        <w:rPr>
          <w:rFonts w:hint="eastAsia" w:cs="宋体"/>
          <w:sz w:val="24"/>
          <w:szCs w:val="24"/>
        </w:rPr>
        <w:t>。</w:t>
      </w:r>
    </w:p>
    <w:p w14:paraId="189E07C6">
      <w:pPr>
        <w:pStyle w:val="13"/>
        <w:spacing w:line="360" w:lineRule="auto"/>
        <w:ind w:left="0" w:leftChars="0" w:firstLine="480" w:firstLineChars="200"/>
        <w:rPr>
          <w:rFonts w:hint="eastAsia" w:cs="宋体"/>
          <w:sz w:val="24"/>
          <w:szCs w:val="24"/>
        </w:rPr>
      </w:pPr>
      <w:r>
        <w:rPr>
          <w:rFonts w:hint="eastAsia" w:cs="宋体"/>
          <w:sz w:val="24"/>
          <w:szCs w:val="24"/>
        </w:rPr>
        <w:t>4、合同设备在试运行期间运行稳定，达到本合同规定的技术标准，各项性能指标合格，则视为调试验收合格，双方签署安装调试验收证书。</w:t>
      </w:r>
    </w:p>
    <w:p w14:paraId="61021011">
      <w:pPr>
        <w:pStyle w:val="13"/>
        <w:spacing w:line="360" w:lineRule="auto"/>
        <w:ind w:left="0" w:leftChars="0" w:firstLine="480" w:firstLineChars="200"/>
        <w:rPr>
          <w:rFonts w:hint="eastAsia" w:cs="宋体"/>
          <w:sz w:val="24"/>
          <w:szCs w:val="24"/>
        </w:rPr>
      </w:pPr>
      <w:r>
        <w:rPr>
          <w:rFonts w:hint="eastAsia" w:cs="宋体"/>
          <w:sz w:val="24"/>
          <w:szCs w:val="24"/>
        </w:rPr>
        <w:t>5、如合同设备在试运行期间及设备性能试验验收时，在不影响本合同设备安全、可靠运行的条件下，如有个别微小缺陷，在双方商定的时间内，卖方免费修理上述微小缺陷后，买方同意签署安装调试验收证书。</w:t>
      </w:r>
    </w:p>
    <w:p w14:paraId="645EE74A">
      <w:pPr>
        <w:pStyle w:val="13"/>
        <w:spacing w:line="360" w:lineRule="auto"/>
        <w:ind w:left="0" w:leftChars="0" w:firstLine="480" w:firstLineChars="200"/>
        <w:rPr>
          <w:rFonts w:hint="eastAsia" w:cs="宋体"/>
          <w:sz w:val="24"/>
          <w:szCs w:val="24"/>
        </w:rPr>
      </w:pPr>
      <w:r>
        <w:rPr>
          <w:rFonts w:hint="eastAsia" w:cs="宋体"/>
          <w:sz w:val="24"/>
          <w:szCs w:val="24"/>
        </w:rPr>
        <w:t>6、设备试运行期间及设备性能试验验收时，如果设备的一项或多项指标不能达到本合同规定的标准时，卖方应分析原因，采取措施使设备达到合同规定标准，并确定在</w:t>
      </w:r>
      <w:r>
        <w:rPr>
          <w:rFonts w:hint="eastAsia" w:cs="宋体"/>
          <w:sz w:val="24"/>
          <w:szCs w:val="24"/>
          <w:u w:val="single"/>
        </w:rPr>
        <w:t xml:space="preserve">7     日 </w:t>
      </w:r>
      <w:r>
        <w:rPr>
          <w:rFonts w:hint="eastAsia" w:cs="宋体"/>
          <w:sz w:val="24"/>
          <w:szCs w:val="24"/>
        </w:rPr>
        <w:t>内，进行第二次性能试验验收</w:t>
      </w:r>
      <w:r>
        <w:rPr>
          <w:rFonts w:hint="eastAsia" w:cs="宋体"/>
          <w:sz w:val="24"/>
          <w:szCs w:val="24"/>
          <w:lang w:val="en-US" w:eastAsia="zh-CN"/>
        </w:rPr>
        <w:t>,第二次性能试验验收不合格的，卖方需在7日内完成整改，逾期未整改的，视为设备验收不合格，买方有权退货,并要求卖方退还全部已付款项</w:t>
      </w:r>
      <w:r>
        <w:rPr>
          <w:rFonts w:hint="eastAsia" w:cs="宋体"/>
          <w:sz w:val="24"/>
          <w:szCs w:val="24"/>
        </w:rPr>
        <w:t>。</w:t>
      </w:r>
    </w:p>
    <w:p w14:paraId="6A05A9B4">
      <w:pPr>
        <w:pStyle w:val="13"/>
        <w:spacing w:line="360" w:lineRule="auto"/>
        <w:ind w:left="0" w:leftChars="0" w:firstLine="480" w:firstLineChars="200"/>
        <w:rPr>
          <w:rFonts w:hint="eastAsia" w:cs="宋体"/>
          <w:sz w:val="24"/>
          <w:szCs w:val="24"/>
        </w:rPr>
      </w:pPr>
      <w:r>
        <w:rPr>
          <w:rFonts w:hint="eastAsia" w:cs="宋体"/>
          <w:sz w:val="24"/>
          <w:szCs w:val="24"/>
        </w:rPr>
        <w:t>7、在第二次性能试验验收时，如发现设备仍有一项或多项指标未能达到合同设备规定的标准时，视为合同设备不能通过安装调试验收，由此引起的拆卸、搬运、退货运费等由卖方承担外，卖方还需按照合同总价款的</w:t>
      </w:r>
      <w:r>
        <w:rPr>
          <w:rFonts w:hint="eastAsia" w:cs="宋体"/>
          <w:sz w:val="24"/>
          <w:szCs w:val="24"/>
          <w:u w:val="single"/>
        </w:rPr>
        <w:t xml:space="preserve"> 3‰ /日</w:t>
      </w:r>
      <w:r>
        <w:rPr>
          <w:rFonts w:hint="eastAsia" w:cs="宋体"/>
          <w:sz w:val="24"/>
          <w:szCs w:val="24"/>
        </w:rPr>
        <w:t xml:space="preserve"> 的标准赔偿买方的误工费，造成买方其他损失的，应在接到买方通知之日起3日内一并赔偿到账，如有逾期，则按照逾期金额的日万分之四承担违约金。</w:t>
      </w:r>
    </w:p>
    <w:p w14:paraId="3EC945E5">
      <w:pPr>
        <w:pStyle w:val="13"/>
        <w:spacing w:line="360" w:lineRule="auto"/>
        <w:ind w:left="0" w:leftChars="0"/>
        <w:outlineLvl w:val="1"/>
        <w:rPr>
          <w:rFonts w:hint="eastAsia" w:cs="宋体"/>
          <w:b/>
          <w:sz w:val="24"/>
          <w:szCs w:val="24"/>
        </w:rPr>
      </w:pPr>
      <w:bookmarkStart w:id="247" w:name="_Toc16233"/>
      <w:bookmarkStart w:id="248" w:name="_Toc2471"/>
      <w:bookmarkStart w:id="249" w:name="_Toc25117"/>
      <w:bookmarkStart w:id="250" w:name="_Toc21555"/>
      <w:r>
        <w:rPr>
          <w:rFonts w:hint="eastAsia" w:cs="宋体"/>
          <w:b/>
          <w:sz w:val="24"/>
          <w:szCs w:val="24"/>
        </w:rPr>
        <w:t>十、保证</w:t>
      </w:r>
      <w:bookmarkEnd w:id="247"/>
      <w:bookmarkEnd w:id="248"/>
      <w:bookmarkEnd w:id="249"/>
      <w:bookmarkEnd w:id="250"/>
    </w:p>
    <w:p w14:paraId="44C4C1D7">
      <w:pPr>
        <w:pStyle w:val="13"/>
        <w:spacing w:line="360" w:lineRule="auto"/>
        <w:ind w:left="0" w:leftChars="0" w:firstLine="480" w:firstLineChars="200"/>
        <w:rPr>
          <w:rFonts w:hint="eastAsia" w:cs="宋体"/>
          <w:sz w:val="24"/>
          <w:szCs w:val="24"/>
        </w:rPr>
      </w:pPr>
      <w:r>
        <w:rPr>
          <w:rFonts w:hint="eastAsia" w:cs="宋体"/>
          <w:sz w:val="24"/>
          <w:szCs w:val="24"/>
        </w:rPr>
        <w:t>1、凡卖方供应的设备应是全新的、技术先进的、成熟可靠的、质量优良的，设备的选型符合安全可靠、经济运行和易于维护的要求。</w:t>
      </w:r>
    </w:p>
    <w:p w14:paraId="6067CC5A">
      <w:pPr>
        <w:pStyle w:val="13"/>
        <w:spacing w:line="360" w:lineRule="auto"/>
        <w:ind w:left="0" w:leftChars="0" w:firstLine="480" w:firstLineChars="200"/>
        <w:rPr>
          <w:rFonts w:hint="eastAsia" w:cs="宋体"/>
          <w:sz w:val="24"/>
          <w:szCs w:val="24"/>
        </w:rPr>
      </w:pPr>
      <w:r>
        <w:rPr>
          <w:rFonts w:hint="eastAsia" w:cs="宋体"/>
          <w:sz w:val="24"/>
          <w:szCs w:val="24"/>
        </w:rPr>
        <w:t>2、卖方应保证设备符合合同规定的技术、质量要求，无任何质量和权利瑕疵。</w:t>
      </w:r>
    </w:p>
    <w:p w14:paraId="197C8F7F">
      <w:pPr>
        <w:pStyle w:val="13"/>
        <w:spacing w:line="360" w:lineRule="auto"/>
        <w:ind w:left="0" w:leftChars="0" w:firstLine="480" w:firstLineChars="200"/>
        <w:rPr>
          <w:rFonts w:hint="eastAsia" w:cs="宋体"/>
          <w:sz w:val="24"/>
          <w:szCs w:val="24"/>
        </w:rPr>
      </w:pPr>
      <w:r>
        <w:rPr>
          <w:rFonts w:hint="eastAsia" w:cs="宋体"/>
          <w:sz w:val="24"/>
          <w:szCs w:val="24"/>
        </w:rPr>
        <w:t>3、卖方保证向买方交付的图纸、技术资料是清晰、完整统一和内容正确、准确的，并能满足合同设备的设计、安装、调试和维修的要求。</w:t>
      </w:r>
    </w:p>
    <w:p w14:paraId="06E1AADD">
      <w:pPr>
        <w:pStyle w:val="13"/>
        <w:spacing w:line="360" w:lineRule="auto"/>
        <w:ind w:left="0" w:leftChars="0" w:firstLine="480" w:firstLineChars="200"/>
        <w:rPr>
          <w:rFonts w:hint="eastAsia" w:cs="宋体"/>
          <w:sz w:val="24"/>
          <w:szCs w:val="24"/>
        </w:rPr>
      </w:pPr>
      <w:r>
        <w:rPr>
          <w:rFonts w:hint="eastAsia" w:cs="宋体"/>
          <w:sz w:val="24"/>
          <w:szCs w:val="24"/>
        </w:rPr>
        <w:t>4、本合同设备的质保期指合同设备签发安装调试验收证书之日起</w:t>
      </w:r>
      <w:r>
        <w:rPr>
          <w:rFonts w:hint="eastAsia" w:cs="宋体"/>
          <w:sz w:val="24"/>
          <w:szCs w:val="24"/>
          <w:u w:val="single"/>
        </w:rPr>
        <w:t xml:space="preserve">  1年  </w:t>
      </w:r>
      <w:r>
        <w:rPr>
          <w:rFonts w:hint="eastAsia" w:cs="宋体"/>
          <w:sz w:val="24"/>
          <w:szCs w:val="24"/>
        </w:rPr>
        <w:t>。在此期间，如发现设备有缺陷，不符合本合同规定时，或者发现有零部件损坏时，卖方在接到买方通知后</w:t>
      </w:r>
      <w:r>
        <w:rPr>
          <w:rFonts w:hint="eastAsia" w:cs="宋体"/>
          <w:sz w:val="24"/>
          <w:szCs w:val="24"/>
          <w:u w:val="single"/>
        </w:rPr>
        <w:t xml:space="preserve">  2小时内 </w:t>
      </w:r>
      <w:r>
        <w:rPr>
          <w:rFonts w:hint="eastAsia" w:cs="宋体"/>
          <w:sz w:val="24"/>
          <w:szCs w:val="24"/>
        </w:rPr>
        <w:t>作出回应，</w:t>
      </w:r>
      <w:r>
        <w:rPr>
          <w:rFonts w:hint="eastAsia" w:cs="宋体"/>
          <w:sz w:val="24"/>
          <w:szCs w:val="24"/>
          <w:u w:val="single"/>
        </w:rPr>
        <w:t xml:space="preserve">24小时内 </w:t>
      </w:r>
      <w:r>
        <w:rPr>
          <w:rFonts w:hint="eastAsia" w:cs="宋体"/>
          <w:sz w:val="24"/>
          <w:szCs w:val="24"/>
        </w:rPr>
        <w:t>免费派人维修、更换符合质量要求的设备，如设备缺陷造成买方无法正常使用的，买方有权退货</w:t>
      </w:r>
      <w:r>
        <w:rPr>
          <w:rFonts w:hint="eastAsia" w:cs="宋体"/>
          <w:sz w:val="24"/>
          <w:szCs w:val="24"/>
          <w:lang w:val="en-US" w:eastAsia="zh-CN"/>
        </w:rPr>
        <w:t>并解除合同</w:t>
      </w:r>
      <w:r>
        <w:rPr>
          <w:rFonts w:hint="eastAsia" w:cs="宋体"/>
          <w:sz w:val="24"/>
          <w:szCs w:val="24"/>
          <w:lang w:eastAsia="zh-CN"/>
        </w:rPr>
        <w:t>，</w:t>
      </w:r>
      <w:r>
        <w:rPr>
          <w:rFonts w:hint="eastAsia" w:cs="宋体"/>
          <w:sz w:val="24"/>
          <w:szCs w:val="24"/>
          <w:lang w:val="en-US" w:eastAsia="zh-CN"/>
        </w:rPr>
        <w:t>卖方需退还买方已付的所有款项</w:t>
      </w:r>
      <w:r>
        <w:rPr>
          <w:rFonts w:hint="eastAsia" w:cs="宋体"/>
          <w:sz w:val="24"/>
          <w:szCs w:val="24"/>
        </w:rPr>
        <w:t>，且卖方需赔偿买方因此产生的停产损失（实际损失无法核算的，按合同金额的30%计算）</w:t>
      </w:r>
      <w:r>
        <w:rPr>
          <w:rFonts w:hint="eastAsia" w:cs="宋体"/>
          <w:sz w:val="24"/>
          <w:szCs w:val="24"/>
          <w:lang w:eastAsia="zh-CN"/>
        </w:rPr>
        <w:t>，</w:t>
      </w:r>
      <w:r>
        <w:rPr>
          <w:rFonts w:hint="eastAsia" w:cs="宋体"/>
          <w:sz w:val="24"/>
          <w:szCs w:val="24"/>
        </w:rPr>
        <w:t>因退货产生的全部费用由卖方自行承担；设备过了质保期限，出现了质量问题或有零部件损坏，卖方亦应承担维修、更换责任，买方应向卖方支付维修、更换所需的成本费用。</w:t>
      </w:r>
    </w:p>
    <w:p w14:paraId="4F0313E2">
      <w:pPr>
        <w:pStyle w:val="13"/>
        <w:spacing w:line="360" w:lineRule="auto"/>
        <w:ind w:left="0" w:leftChars="0" w:firstLine="480" w:firstLineChars="200"/>
        <w:rPr>
          <w:rFonts w:cs="宋体"/>
          <w:sz w:val="24"/>
          <w:szCs w:val="24"/>
        </w:rPr>
      </w:pPr>
      <w:r>
        <w:rPr>
          <w:rFonts w:hint="eastAsia" w:cs="宋体"/>
          <w:sz w:val="24"/>
          <w:szCs w:val="24"/>
        </w:rPr>
        <w:t>5、在质保期内，如发现了双方共同确认的较严重的质量缺陷，则质保期中断</w:t>
      </w:r>
      <w:r>
        <w:rPr>
          <w:rFonts w:hint="eastAsia" w:cs="宋体"/>
          <w:sz w:val="24"/>
          <w:szCs w:val="24"/>
          <w:lang w:eastAsia="zh-CN"/>
        </w:rPr>
        <w:t>，</w:t>
      </w:r>
      <w:r>
        <w:rPr>
          <w:rFonts w:hint="eastAsia" w:ascii="Times New Roman" w:hAnsi="Times New Roman" w:eastAsia="宋体" w:cs="宋体"/>
          <w:sz w:val="24"/>
          <w:szCs w:val="24"/>
        </w:rPr>
        <w:t>买方有权退货</w:t>
      </w:r>
      <w:r>
        <w:rPr>
          <w:rFonts w:hint="eastAsia" w:cs="宋体"/>
          <w:sz w:val="24"/>
          <w:szCs w:val="24"/>
          <w:lang w:val="en-US" w:eastAsia="zh-CN"/>
        </w:rPr>
        <w:t>并要求卖方退还买方已付款项</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或要求卖方在一定时间内消除缺陷</w:t>
      </w:r>
      <w:r>
        <w:rPr>
          <w:rFonts w:hint="eastAsia" w:cs="宋体"/>
          <w:sz w:val="24"/>
          <w:szCs w:val="24"/>
          <w:lang w:val="en-US" w:eastAsia="zh-CN"/>
        </w:rPr>
        <w:t>，</w:t>
      </w:r>
      <w:r>
        <w:rPr>
          <w:rFonts w:hint="eastAsia" w:cs="宋体"/>
          <w:sz w:val="24"/>
          <w:szCs w:val="24"/>
        </w:rPr>
        <w:t>该缺陷消除后，质保期重新开始计算。质量缺陷包括但不限于以下情形：（1）在设计、生产、原材料、制造、指示、包装、运输上存在明显的或潜在的危害人身及财产安全的问题；</w:t>
      </w:r>
    </w:p>
    <w:p w14:paraId="15F017FC">
      <w:pPr>
        <w:pStyle w:val="13"/>
        <w:spacing w:line="360" w:lineRule="auto"/>
        <w:ind w:left="0" w:leftChars="0"/>
        <w:rPr>
          <w:rFonts w:cs="宋体"/>
          <w:sz w:val="24"/>
          <w:szCs w:val="24"/>
        </w:rPr>
      </w:pPr>
      <w:r>
        <w:rPr>
          <w:rFonts w:hint="eastAsia" w:cs="宋体"/>
          <w:sz w:val="24"/>
          <w:szCs w:val="24"/>
        </w:rPr>
        <w:t>（2）在设备中掺杂、掺假、以次充真、以次充好；</w:t>
      </w:r>
    </w:p>
    <w:p w14:paraId="660BE098">
      <w:pPr>
        <w:pStyle w:val="13"/>
        <w:spacing w:line="360" w:lineRule="auto"/>
        <w:ind w:left="0" w:leftChars="0"/>
        <w:rPr>
          <w:rFonts w:cs="宋体"/>
          <w:sz w:val="24"/>
          <w:szCs w:val="24"/>
        </w:rPr>
      </w:pPr>
      <w:r>
        <w:rPr>
          <w:rFonts w:hint="eastAsia" w:cs="宋体"/>
          <w:sz w:val="24"/>
          <w:szCs w:val="24"/>
        </w:rPr>
        <w:t>（3）为国家明令淘汰的产品或失效的产品；</w:t>
      </w:r>
    </w:p>
    <w:p w14:paraId="21784D3E">
      <w:pPr>
        <w:pStyle w:val="13"/>
        <w:spacing w:line="360" w:lineRule="auto"/>
        <w:ind w:left="0" w:leftChars="0"/>
        <w:rPr>
          <w:rFonts w:cs="宋体"/>
          <w:sz w:val="24"/>
          <w:szCs w:val="24"/>
        </w:rPr>
      </w:pPr>
      <w:r>
        <w:rPr>
          <w:rFonts w:hint="eastAsia" w:cs="宋体"/>
          <w:sz w:val="24"/>
          <w:szCs w:val="24"/>
        </w:rPr>
        <w:t xml:space="preserve">（4）伪造产地、伪造或冒用他人厂名、厂址； </w:t>
      </w:r>
    </w:p>
    <w:p w14:paraId="540A8AF8">
      <w:pPr>
        <w:pStyle w:val="13"/>
        <w:spacing w:line="360" w:lineRule="auto"/>
        <w:ind w:left="0" w:leftChars="0"/>
        <w:rPr>
          <w:rFonts w:cs="宋体"/>
          <w:sz w:val="24"/>
          <w:szCs w:val="24"/>
        </w:rPr>
      </w:pPr>
      <w:r>
        <w:rPr>
          <w:rFonts w:hint="eastAsia" w:cs="宋体"/>
          <w:sz w:val="24"/>
          <w:szCs w:val="24"/>
        </w:rPr>
        <w:t>（5）伪造或冒用认证标志、名优标志等质量标志；</w:t>
      </w:r>
    </w:p>
    <w:p w14:paraId="0950437C">
      <w:pPr>
        <w:pStyle w:val="13"/>
        <w:spacing w:line="360" w:lineRule="auto"/>
        <w:ind w:left="0" w:leftChars="0"/>
        <w:rPr>
          <w:rFonts w:cs="宋体"/>
          <w:sz w:val="24"/>
          <w:szCs w:val="24"/>
        </w:rPr>
      </w:pPr>
      <w:r>
        <w:rPr>
          <w:rFonts w:hint="eastAsia" w:cs="宋体"/>
          <w:sz w:val="24"/>
          <w:szCs w:val="24"/>
        </w:rPr>
        <w:t>（6）标识不实、不清；</w:t>
      </w:r>
    </w:p>
    <w:p w14:paraId="00DF844B">
      <w:pPr>
        <w:pStyle w:val="13"/>
        <w:spacing w:line="360" w:lineRule="auto"/>
        <w:ind w:left="0" w:leftChars="0"/>
        <w:rPr>
          <w:rFonts w:cs="宋体"/>
          <w:sz w:val="24"/>
          <w:szCs w:val="24"/>
        </w:rPr>
      </w:pPr>
      <w:r>
        <w:rPr>
          <w:rFonts w:hint="eastAsia" w:cs="宋体"/>
          <w:sz w:val="24"/>
          <w:szCs w:val="24"/>
        </w:rPr>
        <w:t>（7）在国家或地方产品质量监督部门定期发布质量抽查报告中被列为不合格产品；</w:t>
      </w:r>
    </w:p>
    <w:p w14:paraId="3B838D50">
      <w:pPr>
        <w:pStyle w:val="13"/>
        <w:spacing w:line="360" w:lineRule="auto"/>
        <w:ind w:left="0" w:leftChars="0"/>
        <w:rPr>
          <w:rFonts w:hint="eastAsia" w:cs="宋体"/>
          <w:sz w:val="24"/>
          <w:szCs w:val="24"/>
        </w:rPr>
      </w:pPr>
      <w:r>
        <w:rPr>
          <w:rFonts w:hint="eastAsia" w:cs="宋体"/>
          <w:sz w:val="24"/>
          <w:szCs w:val="24"/>
        </w:rPr>
        <w:t>（8）其他质量缺陷问题。</w:t>
      </w:r>
    </w:p>
    <w:p w14:paraId="49E8DF35">
      <w:pPr>
        <w:pStyle w:val="13"/>
        <w:spacing w:line="360" w:lineRule="auto"/>
        <w:ind w:left="0" w:leftChars="0" w:firstLine="480" w:firstLineChars="200"/>
        <w:rPr>
          <w:rFonts w:hint="eastAsia" w:cs="宋体"/>
          <w:sz w:val="24"/>
          <w:szCs w:val="24"/>
        </w:rPr>
      </w:pPr>
      <w:r>
        <w:rPr>
          <w:rFonts w:hint="eastAsia" w:cs="宋体"/>
          <w:sz w:val="24"/>
          <w:szCs w:val="24"/>
        </w:rPr>
        <w:t>6、合同规定的质保期满后</w:t>
      </w:r>
      <w:r>
        <w:rPr>
          <w:rFonts w:hint="eastAsia" w:cs="宋体"/>
          <w:sz w:val="24"/>
          <w:szCs w:val="24"/>
          <w:u w:val="single"/>
        </w:rPr>
        <w:t xml:space="preserve"> 14</w:t>
      </w:r>
      <w:r>
        <w:rPr>
          <w:rFonts w:hint="eastAsia" w:cs="宋体"/>
          <w:sz w:val="24"/>
          <w:szCs w:val="24"/>
        </w:rPr>
        <w:t>日内，买方出具合同设备最终验收证书。条件是，在此期间，卖方应完成买方在保证期满前提出的索赔和赔偿，但卖方对买方非正常维修和误操作以及由于正常磨损造成的损失不承担赔偿责任。</w:t>
      </w:r>
    </w:p>
    <w:p w14:paraId="17760D48">
      <w:pPr>
        <w:pStyle w:val="13"/>
        <w:spacing w:line="360" w:lineRule="auto"/>
        <w:ind w:left="0" w:leftChars="0" w:firstLine="480" w:firstLineChars="200"/>
        <w:rPr>
          <w:rFonts w:hint="eastAsia" w:cs="宋体"/>
          <w:sz w:val="24"/>
          <w:szCs w:val="24"/>
        </w:rPr>
      </w:pPr>
      <w:r>
        <w:rPr>
          <w:rFonts w:hint="eastAsia" w:cs="宋体"/>
          <w:sz w:val="24"/>
          <w:szCs w:val="24"/>
        </w:rPr>
        <w:t>7、设备最终验收证书仅证明卖方所提供的设备性能和参数在质保期内可以按合同要求予以接受，但不能视为卖方对设备存在的潜在缺陷所应付的责任的解除。此检验不作为对产品内在质量认定的依据。</w:t>
      </w:r>
    </w:p>
    <w:p w14:paraId="7BAAA332">
      <w:pPr>
        <w:pStyle w:val="13"/>
        <w:spacing w:line="360" w:lineRule="auto"/>
        <w:ind w:left="0" w:leftChars="0" w:firstLine="480" w:firstLineChars="200"/>
        <w:rPr>
          <w:rFonts w:hint="eastAsia" w:cs="宋体"/>
          <w:sz w:val="24"/>
          <w:szCs w:val="24"/>
        </w:rPr>
      </w:pPr>
      <w:r>
        <w:rPr>
          <w:rFonts w:hint="eastAsia" w:cs="宋体"/>
          <w:sz w:val="24"/>
          <w:szCs w:val="24"/>
        </w:rPr>
        <w:t>8、如买方需要卖方提供设备使用培训的，卖方应为买方提供免费培训服务。</w:t>
      </w:r>
    </w:p>
    <w:p w14:paraId="79514545">
      <w:pPr>
        <w:pStyle w:val="13"/>
        <w:spacing w:line="360" w:lineRule="auto"/>
        <w:ind w:left="0" w:leftChars="0" w:firstLine="480" w:firstLineChars="200"/>
        <w:rPr>
          <w:rFonts w:hint="eastAsia" w:cs="宋体"/>
          <w:sz w:val="24"/>
          <w:szCs w:val="24"/>
        </w:rPr>
      </w:pPr>
      <w:r>
        <w:rPr>
          <w:rFonts w:hint="eastAsia" w:cs="宋体"/>
          <w:sz w:val="24"/>
          <w:szCs w:val="24"/>
        </w:rPr>
        <w:t>9、卖方保证基于本合同提供的设备，买方使用、制造、销售、出口等经营活动不会侵犯任何第三方知识产权；若发生上述情况，卖方保证承担由此产生的违约责任及其他法律问题。</w:t>
      </w:r>
    </w:p>
    <w:p w14:paraId="05D12165">
      <w:pPr>
        <w:pStyle w:val="13"/>
        <w:spacing w:line="360" w:lineRule="auto"/>
        <w:ind w:left="0" w:leftChars="0" w:firstLine="480" w:firstLineChars="200"/>
        <w:rPr>
          <w:rFonts w:hint="eastAsia" w:cs="宋体"/>
          <w:sz w:val="24"/>
          <w:szCs w:val="24"/>
        </w:rPr>
      </w:pPr>
      <w:r>
        <w:rPr>
          <w:rFonts w:hint="eastAsia" w:cs="宋体"/>
          <w:sz w:val="24"/>
          <w:szCs w:val="24"/>
        </w:rPr>
        <w:t>10、卖方不得在任何情况下以口头、书面、宣传或其他类似的行为公开、透露因本合同涉及买方的一切相关资料、信息。</w:t>
      </w:r>
    </w:p>
    <w:p w14:paraId="22957856">
      <w:pPr>
        <w:pStyle w:val="13"/>
        <w:spacing w:line="360" w:lineRule="auto"/>
        <w:ind w:left="0" w:leftChars="0"/>
        <w:outlineLvl w:val="1"/>
        <w:rPr>
          <w:rFonts w:hint="eastAsia" w:cs="宋体"/>
          <w:b/>
          <w:sz w:val="24"/>
          <w:szCs w:val="24"/>
        </w:rPr>
      </w:pPr>
      <w:bookmarkStart w:id="251" w:name="_Toc29173"/>
      <w:bookmarkStart w:id="252" w:name="_Toc22065"/>
      <w:bookmarkStart w:id="253" w:name="_Toc28723"/>
      <w:bookmarkStart w:id="254" w:name="_Toc29278"/>
      <w:r>
        <w:rPr>
          <w:rFonts w:hint="eastAsia" w:cs="宋体"/>
          <w:b/>
          <w:sz w:val="24"/>
          <w:szCs w:val="24"/>
        </w:rPr>
        <w:t>十一、违约责任：</w:t>
      </w:r>
      <w:bookmarkEnd w:id="251"/>
      <w:bookmarkEnd w:id="252"/>
      <w:bookmarkEnd w:id="253"/>
      <w:bookmarkEnd w:id="254"/>
    </w:p>
    <w:p w14:paraId="440F9D8E">
      <w:pPr>
        <w:pStyle w:val="13"/>
        <w:spacing w:line="360" w:lineRule="auto"/>
        <w:ind w:left="0" w:leftChars="0" w:firstLine="480" w:firstLineChars="200"/>
        <w:rPr>
          <w:rFonts w:hint="eastAsia" w:cs="宋体"/>
          <w:sz w:val="24"/>
          <w:szCs w:val="24"/>
        </w:rPr>
      </w:pPr>
      <w:r>
        <w:rPr>
          <w:rFonts w:hint="eastAsia" w:cs="宋体"/>
          <w:sz w:val="24"/>
          <w:szCs w:val="24"/>
        </w:rPr>
        <w:t>1、卖方不能交货的，</w:t>
      </w:r>
      <w:r>
        <w:rPr>
          <w:rFonts w:hint="eastAsia" w:cs="宋体"/>
          <w:sz w:val="24"/>
          <w:szCs w:val="24"/>
          <w:lang w:val="en-US" w:eastAsia="zh-CN"/>
        </w:rPr>
        <w:t>卖方需退还买方已付款项并</w:t>
      </w:r>
      <w:r>
        <w:rPr>
          <w:rFonts w:hint="eastAsia" w:cs="宋体"/>
          <w:sz w:val="24"/>
          <w:szCs w:val="24"/>
        </w:rPr>
        <w:t>向买方偿付合同总价</w:t>
      </w:r>
      <w:r>
        <w:rPr>
          <w:rFonts w:hint="eastAsia" w:cs="宋体"/>
          <w:sz w:val="24"/>
          <w:szCs w:val="24"/>
          <w:u w:val="single"/>
        </w:rPr>
        <w:t xml:space="preserve"> </w:t>
      </w:r>
      <w:r>
        <w:rPr>
          <w:rFonts w:hint="eastAsia" w:cs="宋体"/>
          <w:sz w:val="24"/>
          <w:szCs w:val="24"/>
          <w:u w:val="single"/>
          <w:lang w:val="en-US" w:eastAsia="zh-CN"/>
        </w:rPr>
        <w:t>3</w:t>
      </w:r>
      <w:r>
        <w:rPr>
          <w:rFonts w:hint="eastAsia" w:cs="宋体"/>
          <w:sz w:val="24"/>
          <w:szCs w:val="24"/>
          <w:u w:val="single"/>
        </w:rPr>
        <w:t xml:space="preserve">0 % </w:t>
      </w:r>
      <w:r>
        <w:rPr>
          <w:rFonts w:hint="eastAsia" w:cs="宋体"/>
          <w:sz w:val="24"/>
          <w:szCs w:val="24"/>
        </w:rPr>
        <w:t>违约金，并承担买方因此所受的全部损失。</w:t>
      </w:r>
    </w:p>
    <w:p w14:paraId="0808C007">
      <w:pPr>
        <w:pStyle w:val="13"/>
        <w:spacing w:line="360" w:lineRule="auto"/>
        <w:ind w:left="0" w:leftChars="0" w:firstLine="480" w:firstLineChars="200"/>
        <w:rPr>
          <w:rFonts w:hint="eastAsia" w:cs="宋体"/>
          <w:sz w:val="24"/>
          <w:szCs w:val="24"/>
        </w:rPr>
      </w:pPr>
      <w:r>
        <w:rPr>
          <w:rFonts w:hint="eastAsia" w:cs="宋体"/>
          <w:sz w:val="24"/>
          <w:szCs w:val="24"/>
        </w:rPr>
        <w:t>2、卖方逾期交货的，应承担</w:t>
      </w:r>
      <w:r>
        <w:rPr>
          <w:rFonts w:hint="eastAsia" w:cs="宋体"/>
          <w:sz w:val="24"/>
          <w:szCs w:val="24"/>
          <w:lang w:val="en-US" w:eastAsia="zh-CN"/>
        </w:rPr>
        <w:t>全部合同</w:t>
      </w:r>
      <w:r>
        <w:rPr>
          <w:rFonts w:hint="eastAsia" w:cs="宋体"/>
          <w:sz w:val="24"/>
          <w:szCs w:val="24"/>
        </w:rPr>
        <w:t>价款的</w:t>
      </w:r>
      <w:r>
        <w:rPr>
          <w:rFonts w:hint="eastAsia" w:cs="宋体"/>
          <w:sz w:val="24"/>
          <w:szCs w:val="24"/>
          <w:u w:val="single"/>
        </w:rPr>
        <w:t xml:space="preserve"> 3‰ /日</w:t>
      </w:r>
      <w:r>
        <w:rPr>
          <w:rFonts w:hint="eastAsia" w:cs="宋体"/>
          <w:sz w:val="24"/>
          <w:szCs w:val="24"/>
        </w:rPr>
        <w:t xml:space="preserve"> 的违约金。卖方逾期交货超过</w:t>
      </w:r>
      <w:r>
        <w:rPr>
          <w:rFonts w:hint="eastAsia" w:cs="宋体"/>
          <w:sz w:val="24"/>
          <w:szCs w:val="24"/>
          <w:u w:val="single"/>
        </w:rPr>
        <w:t>30</w:t>
      </w:r>
      <w:r>
        <w:rPr>
          <w:rFonts w:hint="eastAsia" w:cs="宋体"/>
          <w:sz w:val="24"/>
          <w:szCs w:val="24"/>
        </w:rPr>
        <w:t>日，买方有权解除合同，卖方应返还买方所付货款，并按不能交货承担违约责任，若违约金不足以弥补由此给买方造成的损失，卖方应补足。</w:t>
      </w:r>
    </w:p>
    <w:p w14:paraId="754D6665">
      <w:pPr>
        <w:pStyle w:val="13"/>
        <w:spacing w:line="360" w:lineRule="auto"/>
        <w:ind w:left="0" w:leftChars="0" w:firstLine="480" w:firstLineChars="200"/>
        <w:rPr>
          <w:rFonts w:hint="eastAsia" w:cs="宋体"/>
          <w:sz w:val="24"/>
          <w:szCs w:val="24"/>
        </w:rPr>
      </w:pPr>
      <w:r>
        <w:rPr>
          <w:rFonts w:hint="eastAsia" w:cs="宋体"/>
          <w:sz w:val="24"/>
          <w:szCs w:val="24"/>
        </w:rPr>
        <w:t>3、产品不符合合同规定，不能通过初步验收，</w:t>
      </w:r>
      <w:r>
        <w:rPr>
          <w:rFonts w:hint="eastAsia" w:cs="宋体"/>
          <w:sz w:val="24"/>
          <w:szCs w:val="24"/>
          <w:lang w:val="en-US" w:eastAsia="zh-CN"/>
        </w:rPr>
        <w:t>买方有权退货,并要求卖方退还全部已付款项，或要求</w:t>
      </w:r>
      <w:r>
        <w:rPr>
          <w:rFonts w:hint="eastAsia" w:cs="宋体"/>
          <w:sz w:val="24"/>
          <w:szCs w:val="24"/>
        </w:rPr>
        <w:t>卖方在一周内更换符合合同规定的设备，并承担相关费用，直至达到合同要求，由此延误的时间按逾期交货承担违约责任。卖方不能更换的，按不能交货承担违约责任。</w:t>
      </w:r>
    </w:p>
    <w:p w14:paraId="77D3056C">
      <w:pPr>
        <w:pStyle w:val="13"/>
        <w:spacing w:line="360" w:lineRule="auto"/>
        <w:ind w:left="0" w:leftChars="0" w:firstLine="480" w:firstLineChars="200"/>
        <w:rPr>
          <w:rFonts w:hint="eastAsia" w:cs="宋体"/>
          <w:sz w:val="24"/>
          <w:szCs w:val="24"/>
        </w:rPr>
      </w:pPr>
      <w:r>
        <w:rPr>
          <w:rFonts w:hint="eastAsia" w:cs="宋体"/>
          <w:sz w:val="24"/>
          <w:szCs w:val="24"/>
        </w:rPr>
        <w:t>4、卖方所交付的设备没有通过安装调试验收，</w:t>
      </w:r>
      <w:r>
        <w:rPr>
          <w:rFonts w:hint="eastAsia" w:cs="宋体"/>
          <w:sz w:val="24"/>
          <w:szCs w:val="24"/>
          <w:lang w:val="en-US" w:eastAsia="zh-CN"/>
        </w:rPr>
        <w:t>买方有权选择</w:t>
      </w:r>
      <w:r>
        <w:rPr>
          <w:rFonts w:hint="eastAsia" w:cs="宋体"/>
          <w:sz w:val="24"/>
          <w:szCs w:val="24"/>
        </w:rPr>
        <w:t>以下方式处理：</w:t>
      </w:r>
    </w:p>
    <w:p w14:paraId="0BE6895E">
      <w:pPr>
        <w:pStyle w:val="13"/>
        <w:tabs>
          <w:tab w:val="left" w:pos="1080"/>
        </w:tabs>
        <w:spacing w:line="360" w:lineRule="auto"/>
        <w:ind w:left="0" w:leftChars="0" w:firstLine="480" w:firstLineChars="200"/>
        <w:rPr>
          <w:rFonts w:hint="eastAsia" w:cs="宋体"/>
          <w:sz w:val="24"/>
          <w:szCs w:val="24"/>
        </w:rPr>
      </w:pPr>
      <w:r>
        <w:rPr>
          <w:rFonts w:hint="eastAsia" w:cs="宋体"/>
          <w:sz w:val="24"/>
          <w:szCs w:val="24"/>
        </w:rPr>
        <w:sym w:font="Wingdings 2" w:char="0052"/>
      </w:r>
      <w:r>
        <w:rPr>
          <w:rFonts w:hint="eastAsia" w:cs="宋体"/>
          <w:sz w:val="24"/>
          <w:szCs w:val="24"/>
        </w:rPr>
        <w:t xml:space="preserve">  ①卖方应在一周内更换符合技术质量要求的设备，双方重新确定性能试验验收的时间，由此延误的时间卖方按逾期交货承担违约责任，并承担给买方造成的损失。如卖方更换后的设备仍不能通过性能试验验收，买方有权退货，卖方返还买方所付款项，并按不能交货承担违约责任，若违约金不足以弥补由此给买方造成的损失，卖方应补足。</w:t>
      </w:r>
    </w:p>
    <w:p w14:paraId="1FB54B16">
      <w:pPr>
        <w:pStyle w:val="13"/>
        <w:spacing w:line="360" w:lineRule="auto"/>
        <w:ind w:left="0" w:leftChars="0" w:firstLine="480" w:firstLineChars="200"/>
        <w:rPr>
          <w:rFonts w:hint="eastAsia" w:cs="宋体"/>
          <w:sz w:val="24"/>
          <w:szCs w:val="24"/>
        </w:rPr>
      </w:pPr>
      <w:r>
        <w:rPr>
          <w:rFonts w:hint="eastAsia" w:cs="宋体"/>
          <w:sz w:val="24"/>
          <w:szCs w:val="24"/>
        </w:rPr>
        <w:sym w:font="Wingdings 2" w:char="0052"/>
      </w:r>
      <w:r>
        <w:rPr>
          <w:rFonts w:hint="eastAsia" w:cs="宋体"/>
          <w:sz w:val="24"/>
          <w:szCs w:val="24"/>
        </w:rPr>
        <w:t xml:space="preserve"> ②买方有权退货，卖方返还买方所付款项，并按不能交货承担违约责任，若违约金不足以弥补由此给买方造成的损失，卖方应补足。</w:t>
      </w:r>
    </w:p>
    <w:p w14:paraId="312CC6A2">
      <w:pPr>
        <w:pStyle w:val="13"/>
        <w:spacing w:line="360" w:lineRule="auto"/>
        <w:ind w:left="0" w:leftChars="0" w:firstLine="480" w:firstLineChars="200"/>
        <w:rPr>
          <w:rFonts w:hint="eastAsia" w:cs="宋体"/>
          <w:sz w:val="24"/>
          <w:szCs w:val="24"/>
        </w:rPr>
      </w:pPr>
      <w:r>
        <w:rPr>
          <w:rFonts w:hint="eastAsia" w:cs="宋体"/>
          <w:sz w:val="24"/>
          <w:szCs w:val="24"/>
        </w:rPr>
        <w:t>5、 在设备质保期内，如发现设备有缺陷，不符合合同规定时，则买方有权根据损失大小扣除设备质保金，卖方认可买方扣除的金额，如质保金不足以赔偿买方损失的，由卖方负责赔偿。质保金扣除后，卖方应当在收到买方通知后3日内补足质保金，否则应当按照支付未补足质保金</w:t>
      </w:r>
      <w:r>
        <w:rPr>
          <w:rFonts w:hint="eastAsia" w:cs="宋体"/>
          <w:sz w:val="24"/>
          <w:szCs w:val="24"/>
          <w:u w:val="single"/>
        </w:rPr>
        <w:t>3‰ /日</w:t>
      </w:r>
      <w:r>
        <w:rPr>
          <w:rFonts w:hint="eastAsia" w:cs="宋体"/>
          <w:sz w:val="24"/>
          <w:szCs w:val="24"/>
        </w:rPr>
        <w:t>的违约金。</w:t>
      </w:r>
    </w:p>
    <w:p w14:paraId="39F12E22">
      <w:pPr>
        <w:pStyle w:val="13"/>
        <w:spacing w:line="360" w:lineRule="auto"/>
        <w:ind w:left="0" w:leftChars="0" w:firstLine="480" w:firstLineChars="200"/>
        <w:rPr>
          <w:rFonts w:hint="eastAsia" w:cs="宋体"/>
          <w:sz w:val="24"/>
          <w:szCs w:val="24"/>
        </w:rPr>
      </w:pPr>
      <w:r>
        <w:rPr>
          <w:rFonts w:hint="eastAsia" w:cs="宋体"/>
          <w:sz w:val="24"/>
          <w:szCs w:val="24"/>
        </w:rPr>
        <w:t>6、如卖方提供设备不符合质量要求或提供假冒、伪劣产品、以次充好等，一经买方抽检发现的，双方约定同意视为所提供的同类设备全部不合格，买方有权拒付全部剩余货款且已交付的设备不予退还，同时要求卖方承担违约责任，违约赔偿金以本合同总价款数额的</w:t>
      </w:r>
      <w:r>
        <w:rPr>
          <w:rFonts w:hint="eastAsia" w:cs="宋体"/>
          <w:sz w:val="24"/>
          <w:szCs w:val="24"/>
          <w:lang w:val="en-US" w:eastAsia="zh-CN"/>
        </w:rPr>
        <w:t>3</w:t>
      </w:r>
      <w:r>
        <w:rPr>
          <w:rFonts w:hint="eastAsia" w:cs="宋体"/>
          <w:sz w:val="24"/>
          <w:szCs w:val="24"/>
        </w:rPr>
        <w:t>0%计算，并承担由此发生的一切损失和费用。</w:t>
      </w:r>
    </w:p>
    <w:p w14:paraId="47574192">
      <w:pPr>
        <w:pStyle w:val="13"/>
        <w:spacing w:line="360" w:lineRule="auto"/>
        <w:ind w:left="0" w:leftChars="0" w:firstLine="480" w:firstLineChars="200"/>
        <w:rPr>
          <w:rFonts w:hint="eastAsia" w:cs="宋体"/>
          <w:sz w:val="24"/>
          <w:szCs w:val="24"/>
        </w:rPr>
      </w:pPr>
      <w:r>
        <w:rPr>
          <w:rFonts w:hint="eastAsia" w:cs="宋体"/>
          <w:sz w:val="24"/>
          <w:szCs w:val="24"/>
        </w:rPr>
        <w:t>7、 如果因本合同设备潜在缺陷造成的货物损坏或给买方造成损失，无论是在设备质保期内或者质保期外，卖方对消除潜在缺陷应承担责任，</w:t>
      </w:r>
      <w:r>
        <w:rPr>
          <w:rFonts w:hint="eastAsia" w:cs="宋体"/>
          <w:sz w:val="24"/>
          <w:szCs w:val="24"/>
          <w:lang w:val="en-US" w:eastAsia="zh-CN"/>
        </w:rPr>
        <w:t>如无法消除的</w:t>
      </w:r>
      <w:r>
        <w:rPr>
          <w:rFonts w:hint="eastAsia" w:ascii="Times New Roman" w:hAnsi="Times New Roman" w:eastAsia="宋体" w:cs="宋体"/>
          <w:sz w:val="24"/>
          <w:szCs w:val="24"/>
        </w:rPr>
        <w:t>买方有权退货</w:t>
      </w:r>
      <w:r>
        <w:rPr>
          <w:rFonts w:hint="eastAsia" w:cs="宋体"/>
          <w:sz w:val="24"/>
          <w:szCs w:val="24"/>
          <w:lang w:val="en-US" w:eastAsia="zh-CN"/>
        </w:rPr>
        <w:t>并要求卖方退还买方已付款项，同时</w:t>
      </w:r>
      <w:r>
        <w:rPr>
          <w:rFonts w:hint="eastAsia" w:cs="宋体"/>
          <w:sz w:val="24"/>
          <w:szCs w:val="24"/>
        </w:rPr>
        <w:t>买方有权要求卖方按照合同总价款的</w:t>
      </w:r>
      <w:r>
        <w:rPr>
          <w:rFonts w:hint="eastAsia" w:cs="宋体"/>
          <w:sz w:val="24"/>
          <w:szCs w:val="24"/>
          <w:lang w:val="en-US" w:eastAsia="zh-CN"/>
        </w:rPr>
        <w:t>3</w:t>
      </w:r>
      <w:r>
        <w:rPr>
          <w:rFonts w:hint="eastAsia" w:cs="宋体"/>
          <w:sz w:val="24"/>
          <w:szCs w:val="24"/>
        </w:rPr>
        <w:t>0%支付违约金并赔偿买方因此受到的损失。</w:t>
      </w:r>
    </w:p>
    <w:p w14:paraId="79D44D1D">
      <w:pPr>
        <w:pStyle w:val="13"/>
        <w:spacing w:line="360" w:lineRule="auto"/>
        <w:ind w:left="0" w:leftChars="0" w:firstLine="480" w:firstLineChars="200"/>
        <w:rPr>
          <w:rFonts w:hint="eastAsia" w:cs="宋体"/>
          <w:sz w:val="24"/>
          <w:szCs w:val="24"/>
        </w:rPr>
      </w:pPr>
      <w:r>
        <w:rPr>
          <w:rFonts w:hint="eastAsia" w:cs="宋体"/>
          <w:sz w:val="24"/>
          <w:szCs w:val="24"/>
        </w:rPr>
        <w:t xml:space="preserve">8、 </w:t>
      </w:r>
      <w:r>
        <w:rPr>
          <w:rFonts w:hint="eastAsia" w:cs="宋体"/>
          <w:sz w:val="24"/>
          <w:szCs w:val="24"/>
          <w:lang w:val="en-US" w:eastAsia="zh-CN"/>
        </w:rPr>
        <w:t>卖方需</w:t>
      </w:r>
      <w:r>
        <w:rPr>
          <w:rFonts w:hint="eastAsia" w:cs="宋体"/>
          <w:sz w:val="24"/>
          <w:szCs w:val="24"/>
        </w:rPr>
        <w:t>确保设备无任何知识产权瑕疵，若引发侵权纠纷，由卖方负责处理解决，若因此导致买方损失的，卖方应当按照本合同总金额的</w:t>
      </w:r>
      <w:r>
        <w:rPr>
          <w:rFonts w:hint="eastAsia" w:cs="宋体"/>
          <w:sz w:val="24"/>
          <w:szCs w:val="24"/>
          <w:lang w:val="en-US" w:eastAsia="zh-CN"/>
        </w:rPr>
        <w:t>3</w:t>
      </w:r>
      <w:r>
        <w:rPr>
          <w:rFonts w:hint="eastAsia" w:cs="宋体"/>
          <w:sz w:val="24"/>
          <w:szCs w:val="24"/>
        </w:rPr>
        <w:t>0%支付违约金，并赔偿由此给买方造成的实际损失，且不能免除卖方履行本合同的义务。</w:t>
      </w:r>
    </w:p>
    <w:p w14:paraId="032FEFBD">
      <w:pPr>
        <w:pStyle w:val="13"/>
        <w:spacing w:line="360" w:lineRule="auto"/>
        <w:ind w:left="0" w:leftChars="0" w:firstLine="480" w:firstLineChars="200"/>
        <w:rPr>
          <w:rFonts w:hint="eastAsia" w:cs="宋体"/>
          <w:sz w:val="24"/>
          <w:szCs w:val="24"/>
        </w:rPr>
      </w:pPr>
      <w:r>
        <w:rPr>
          <w:rFonts w:hint="eastAsia" w:cs="宋体"/>
          <w:sz w:val="24"/>
          <w:szCs w:val="24"/>
          <w:lang w:val="en-US" w:eastAsia="zh-CN"/>
        </w:rPr>
        <w:t>9、卖方若有提供虚假资质、授权、业绩、检测报告等材料，或存在弄虚作假的，</w:t>
      </w:r>
      <w:r>
        <w:rPr>
          <w:rFonts w:hint="eastAsia" w:cs="宋体"/>
          <w:sz w:val="24"/>
          <w:szCs w:val="24"/>
        </w:rPr>
        <w:t>卖方应当按照本合同总金额的</w:t>
      </w:r>
      <w:r>
        <w:rPr>
          <w:rFonts w:hint="eastAsia" w:cs="宋体"/>
          <w:sz w:val="24"/>
          <w:szCs w:val="24"/>
          <w:lang w:val="en-US" w:eastAsia="zh-CN"/>
        </w:rPr>
        <w:t>3</w:t>
      </w:r>
      <w:r>
        <w:rPr>
          <w:rFonts w:hint="eastAsia" w:cs="宋体"/>
          <w:sz w:val="24"/>
          <w:szCs w:val="24"/>
        </w:rPr>
        <w:t>0%支付违约金，并赔偿由此给买方造成的实际损失，且不能免除卖方履行本合同的义务。</w:t>
      </w:r>
    </w:p>
    <w:p w14:paraId="6CE9FBC7">
      <w:pPr>
        <w:pStyle w:val="13"/>
        <w:spacing w:line="360" w:lineRule="auto"/>
        <w:ind w:left="0" w:leftChars="0" w:firstLine="480" w:firstLineChars="200"/>
        <w:rPr>
          <w:rFonts w:hint="eastAsia" w:cs="宋体"/>
          <w:sz w:val="24"/>
          <w:szCs w:val="24"/>
          <w:lang w:val="en-US" w:eastAsia="zh-CN"/>
        </w:rPr>
      </w:pPr>
      <w:r>
        <w:rPr>
          <w:rFonts w:hint="eastAsia" w:cs="宋体"/>
          <w:sz w:val="24"/>
          <w:szCs w:val="24"/>
          <w:lang w:val="en-US" w:eastAsia="zh-CN"/>
        </w:rPr>
        <w:t>10、卖方进场调试、安装设备期间，需严格按照买方相关安全规定执行，并签订相关安全责任文件，若发生安全事故，除按国家有关安全管理规定及买方有关安全管理办法执行外，买方有权通报相关部门;发生三大安全事故或特大安全事故，除按国家有关安全管理规定及有关安全管理办法执行外，买方有权终止合同，给买方造成的损失，卖方还应承担赔偿责任。</w:t>
      </w:r>
    </w:p>
    <w:p w14:paraId="095AAB14">
      <w:pPr>
        <w:pStyle w:val="13"/>
        <w:spacing w:line="360" w:lineRule="auto"/>
        <w:ind w:left="0" w:leftChars="0" w:firstLine="480" w:firstLineChars="200"/>
        <w:rPr>
          <w:rFonts w:hint="eastAsia" w:cs="宋体"/>
          <w:sz w:val="24"/>
          <w:szCs w:val="24"/>
        </w:rPr>
      </w:pPr>
      <w:r>
        <w:rPr>
          <w:rFonts w:hint="eastAsia" w:cs="宋体"/>
          <w:sz w:val="24"/>
          <w:szCs w:val="24"/>
          <w:lang w:val="en-US" w:eastAsia="zh-CN"/>
        </w:rPr>
        <w:t>11、</w:t>
      </w:r>
      <w:r>
        <w:rPr>
          <w:rFonts w:hint="eastAsia" w:cs="宋体"/>
          <w:sz w:val="24"/>
          <w:szCs w:val="24"/>
        </w:rPr>
        <w:t>在明确</w:t>
      </w:r>
      <w:r>
        <w:rPr>
          <w:rFonts w:hint="eastAsia" w:cs="宋体"/>
          <w:sz w:val="24"/>
          <w:szCs w:val="24"/>
          <w:lang w:val="en-US" w:eastAsia="zh-CN"/>
        </w:rPr>
        <w:t>上述</w:t>
      </w:r>
      <w:r>
        <w:rPr>
          <w:rFonts w:hint="eastAsia" w:cs="宋体"/>
          <w:sz w:val="24"/>
          <w:szCs w:val="24"/>
        </w:rPr>
        <w:t>违约责任后，</w:t>
      </w:r>
      <w:r>
        <w:rPr>
          <w:rFonts w:hint="eastAsia" w:ascii="宋体" w:hAnsi="宋体" w:cs="宋体"/>
          <w:sz w:val="24"/>
          <w:szCs w:val="24"/>
          <w:lang w:val="en-US" w:eastAsia="zh-CN"/>
        </w:rPr>
        <w:t>同时卖方</w:t>
      </w:r>
      <w:r>
        <w:rPr>
          <w:rFonts w:hint="eastAsia" w:cs="宋体"/>
          <w:sz w:val="24"/>
          <w:szCs w:val="24"/>
        </w:rPr>
        <w:t>应在接到书面通知书起七日内支付</w:t>
      </w:r>
      <w:r>
        <w:rPr>
          <w:rFonts w:hint="eastAsia" w:cs="宋体"/>
          <w:sz w:val="24"/>
          <w:szCs w:val="24"/>
          <w:lang w:val="en-US" w:eastAsia="zh-CN"/>
        </w:rPr>
        <w:t>违约金、损失</w:t>
      </w:r>
      <w:r>
        <w:rPr>
          <w:rFonts w:hint="eastAsia" w:cs="宋体"/>
          <w:sz w:val="24"/>
          <w:szCs w:val="24"/>
        </w:rPr>
        <w:t>赔偿金</w:t>
      </w:r>
      <w:r>
        <w:rPr>
          <w:rFonts w:hint="eastAsia" w:cs="宋体"/>
          <w:sz w:val="24"/>
          <w:szCs w:val="24"/>
          <w:lang w:eastAsia="zh-CN"/>
        </w:rPr>
        <w:t>（</w:t>
      </w:r>
      <w:r>
        <w:rPr>
          <w:rFonts w:hint="eastAsia" w:cs="宋体"/>
          <w:sz w:val="24"/>
          <w:szCs w:val="24"/>
        </w:rPr>
        <w:t>赔偿范围包括但不限于</w:t>
      </w:r>
      <w:r>
        <w:rPr>
          <w:rFonts w:hint="eastAsia" w:cs="宋体"/>
          <w:sz w:val="24"/>
          <w:szCs w:val="24"/>
          <w:lang w:val="en-US" w:eastAsia="zh-CN"/>
        </w:rPr>
        <w:t>买方</w:t>
      </w:r>
      <w:r>
        <w:rPr>
          <w:rFonts w:hint="eastAsia" w:cs="宋体"/>
          <w:sz w:val="24"/>
          <w:szCs w:val="24"/>
        </w:rPr>
        <w:t>重新采购的差价、工期延误损失等，实际损失无法核算的，按合同预估金额的30%计算</w:t>
      </w:r>
      <w:r>
        <w:rPr>
          <w:rFonts w:hint="eastAsia" w:cs="宋体"/>
          <w:sz w:val="24"/>
          <w:szCs w:val="24"/>
          <w:lang w:eastAsia="zh-CN"/>
        </w:rPr>
        <w:t>）、</w:t>
      </w:r>
      <w:r>
        <w:rPr>
          <w:rFonts w:hint="eastAsia" w:cs="宋体"/>
          <w:sz w:val="24"/>
          <w:szCs w:val="24"/>
          <w:lang w:val="en-US" w:eastAsia="zh-CN"/>
        </w:rPr>
        <w:t>退还已付款项</w:t>
      </w:r>
      <w:r>
        <w:rPr>
          <w:rFonts w:hint="eastAsia" w:cs="宋体"/>
          <w:sz w:val="24"/>
          <w:szCs w:val="24"/>
          <w:lang w:eastAsia="zh-CN"/>
        </w:rPr>
        <w:t>，</w:t>
      </w:r>
      <w:r>
        <w:rPr>
          <w:rFonts w:hint="eastAsia" w:cs="宋体"/>
          <w:sz w:val="24"/>
          <w:szCs w:val="24"/>
        </w:rPr>
        <w:t>逾期支付的，每逾期一日，按应付未付金额的</w:t>
      </w:r>
      <w:r>
        <w:rPr>
          <w:rFonts w:hint="eastAsia" w:cs="宋体"/>
          <w:sz w:val="24"/>
          <w:szCs w:val="24"/>
          <w:lang w:val="en-US" w:eastAsia="zh-CN"/>
        </w:rPr>
        <w:t>4</w:t>
      </w:r>
      <w:r>
        <w:rPr>
          <w:rFonts w:hint="eastAsia" w:cs="宋体"/>
          <w:sz w:val="24"/>
          <w:szCs w:val="24"/>
        </w:rPr>
        <w:t>‰向</w:t>
      </w:r>
      <w:r>
        <w:rPr>
          <w:rFonts w:hint="eastAsia" w:cs="宋体"/>
          <w:sz w:val="24"/>
          <w:szCs w:val="24"/>
          <w:lang w:val="en-US" w:eastAsia="zh-CN"/>
        </w:rPr>
        <w:t>买</w:t>
      </w:r>
      <w:r>
        <w:rPr>
          <w:rFonts w:hint="eastAsia" w:cs="宋体"/>
          <w:sz w:val="24"/>
          <w:szCs w:val="24"/>
        </w:rPr>
        <w:t>支付逾期违约金</w:t>
      </w:r>
      <w:r>
        <w:rPr>
          <w:rFonts w:hint="eastAsia" w:cs="宋体"/>
          <w:sz w:val="24"/>
          <w:szCs w:val="24"/>
          <w:lang w:eastAsia="zh-CN"/>
        </w:rPr>
        <w:t>，</w:t>
      </w:r>
      <w:r>
        <w:rPr>
          <w:rFonts w:hint="eastAsia" w:cs="宋体"/>
          <w:sz w:val="24"/>
          <w:szCs w:val="24"/>
          <w:lang w:val="en-US" w:eastAsia="zh-CN"/>
        </w:rPr>
        <w:t>卖方还需承担买方因卖方违约行为产生</w:t>
      </w:r>
      <w:r>
        <w:rPr>
          <w:rFonts w:ascii="宋体" w:hAnsi="宋体" w:eastAsia="宋体" w:cs="宋体"/>
          <w:sz w:val="24"/>
          <w:szCs w:val="24"/>
        </w:rPr>
        <w:t>律师费、诉讼费、保全费、鉴定费等全部维权费用</w:t>
      </w:r>
      <w:r>
        <w:rPr>
          <w:rFonts w:hint="eastAsia" w:cs="宋体"/>
          <w:sz w:val="24"/>
          <w:szCs w:val="24"/>
        </w:rPr>
        <w:t>。</w:t>
      </w:r>
    </w:p>
    <w:p w14:paraId="2FB5AD70">
      <w:pPr>
        <w:pStyle w:val="13"/>
        <w:spacing w:line="360" w:lineRule="auto"/>
        <w:ind w:left="0" w:leftChars="0"/>
        <w:outlineLvl w:val="1"/>
        <w:rPr>
          <w:rFonts w:hint="eastAsia" w:cs="宋体"/>
          <w:b/>
          <w:sz w:val="24"/>
          <w:szCs w:val="24"/>
        </w:rPr>
      </w:pPr>
      <w:bookmarkStart w:id="255" w:name="_Toc32098"/>
      <w:bookmarkStart w:id="256" w:name="_Toc14468"/>
      <w:bookmarkStart w:id="257" w:name="_Toc21435"/>
      <w:bookmarkStart w:id="258" w:name="_Toc14682"/>
      <w:r>
        <w:rPr>
          <w:rFonts w:hint="eastAsia" w:cs="宋体"/>
          <w:b/>
          <w:sz w:val="24"/>
          <w:szCs w:val="24"/>
        </w:rPr>
        <w:t>十二、不可抗力</w:t>
      </w:r>
      <w:bookmarkEnd w:id="255"/>
      <w:bookmarkEnd w:id="256"/>
      <w:bookmarkEnd w:id="257"/>
      <w:bookmarkEnd w:id="258"/>
    </w:p>
    <w:p w14:paraId="0D6B12ED">
      <w:pPr>
        <w:spacing w:line="360" w:lineRule="auto"/>
        <w:ind w:firstLine="480" w:firstLineChars="200"/>
        <w:rPr>
          <w:rFonts w:hint="eastAsia" w:cs="宋体"/>
          <w:kern w:val="0"/>
          <w:sz w:val="24"/>
          <w:szCs w:val="24"/>
        </w:rPr>
      </w:pPr>
      <w:r>
        <w:rPr>
          <w:rFonts w:hint="eastAsia" w:cs="宋体"/>
          <w:kern w:val="0"/>
          <w:sz w:val="24"/>
          <w:szCs w:val="24"/>
        </w:rPr>
        <w:t>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14:paraId="7A3A7003">
      <w:pPr>
        <w:spacing w:line="360" w:lineRule="auto"/>
        <w:ind w:firstLine="480" w:firstLineChars="200"/>
        <w:rPr>
          <w:rFonts w:hint="eastAsia" w:cs="宋体"/>
          <w:kern w:val="0"/>
          <w:sz w:val="24"/>
          <w:szCs w:val="24"/>
        </w:rPr>
      </w:pPr>
      <w:r>
        <w:rPr>
          <w:rFonts w:hint="eastAsia" w:cs="宋体"/>
          <w:kern w:val="0"/>
          <w:sz w:val="24"/>
          <w:szCs w:val="24"/>
        </w:rPr>
        <w:t>受事故影响方应尽快将所发生的不可抗力事故情况以书面形式（传真或电报等）通知对方，并</w:t>
      </w:r>
      <w:r>
        <w:rPr>
          <w:rFonts w:hint="eastAsia" w:cs="宋体"/>
          <w:sz w:val="24"/>
          <w:szCs w:val="24"/>
        </w:rPr>
        <w:t>将有关部门出具的证明文件用挂号信邮寄给或送给另一方</w:t>
      </w:r>
      <w:r>
        <w:rPr>
          <w:rFonts w:hint="eastAsia" w:cs="宋体"/>
          <w:kern w:val="0"/>
          <w:sz w:val="24"/>
          <w:szCs w:val="24"/>
        </w:rPr>
        <w:t>。</w:t>
      </w:r>
    </w:p>
    <w:p w14:paraId="14F88D2D">
      <w:pPr>
        <w:spacing w:line="360" w:lineRule="auto"/>
        <w:ind w:firstLine="480" w:firstLineChars="200"/>
        <w:rPr>
          <w:rFonts w:hint="eastAsia" w:cs="宋体"/>
          <w:kern w:val="0"/>
          <w:sz w:val="24"/>
          <w:szCs w:val="24"/>
        </w:rPr>
      </w:pPr>
      <w:r>
        <w:rPr>
          <w:rFonts w:hint="eastAsia" w:cs="宋体"/>
          <w:kern w:val="0"/>
          <w:sz w:val="24"/>
          <w:szCs w:val="24"/>
        </w:rPr>
        <w:t>当不可抗力事故停止或消除后，受事故影响的一方应尽快以书面形式（传真或电报等）通知另一方，如不可抗力事故影响连续</w:t>
      </w:r>
      <w:r>
        <w:rPr>
          <w:rFonts w:hint="eastAsia" w:cs="宋体"/>
          <w:kern w:val="0"/>
          <w:sz w:val="24"/>
          <w:szCs w:val="24"/>
          <w:u w:val="single"/>
        </w:rPr>
        <w:t xml:space="preserve"> 90 </w:t>
      </w:r>
      <w:r>
        <w:rPr>
          <w:rFonts w:hint="eastAsia" w:cs="宋体"/>
          <w:kern w:val="0"/>
          <w:sz w:val="24"/>
          <w:szCs w:val="24"/>
        </w:rPr>
        <w:t xml:space="preserve">天以上，双方可通过友好协商解决本合同的履行问题，并尽快达成变更协议。 </w:t>
      </w:r>
    </w:p>
    <w:p w14:paraId="4B97D4FF">
      <w:pPr>
        <w:pStyle w:val="13"/>
        <w:spacing w:line="360" w:lineRule="auto"/>
        <w:ind w:left="0" w:leftChars="0"/>
        <w:outlineLvl w:val="1"/>
        <w:rPr>
          <w:rFonts w:hint="eastAsia" w:cs="宋体"/>
          <w:b/>
          <w:sz w:val="24"/>
          <w:szCs w:val="24"/>
        </w:rPr>
      </w:pPr>
      <w:bookmarkStart w:id="259" w:name="_Toc27043"/>
      <w:bookmarkStart w:id="260" w:name="_Toc11085"/>
      <w:bookmarkStart w:id="261" w:name="_Toc16582"/>
      <w:bookmarkStart w:id="262" w:name="_Toc30810"/>
      <w:r>
        <w:rPr>
          <w:rFonts w:hint="eastAsia" w:cs="宋体"/>
          <w:b/>
          <w:sz w:val="24"/>
          <w:szCs w:val="24"/>
        </w:rPr>
        <w:t>十三、争议的解决</w:t>
      </w:r>
      <w:bookmarkEnd w:id="259"/>
      <w:bookmarkEnd w:id="260"/>
      <w:bookmarkEnd w:id="261"/>
      <w:bookmarkEnd w:id="262"/>
    </w:p>
    <w:p w14:paraId="4EF7DF3D">
      <w:pPr>
        <w:pStyle w:val="13"/>
        <w:spacing w:line="360" w:lineRule="auto"/>
        <w:ind w:left="0" w:leftChars="0" w:firstLine="480" w:firstLineChars="200"/>
        <w:rPr>
          <w:rFonts w:hint="eastAsia" w:cs="宋体"/>
          <w:sz w:val="24"/>
          <w:szCs w:val="24"/>
        </w:rPr>
      </w:pPr>
      <w:r>
        <w:rPr>
          <w:rFonts w:hint="eastAsia" w:cs="宋体"/>
          <w:sz w:val="24"/>
          <w:szCs w:val="24"/>
        </w:rPr>
        <w:t>对于本合同项下的纠纷，买卖双方应当本着平等协商的原则友好协商解决，协商不成时，应向买方所在地人民法院起诉。</w:t>
      </w:r>
    </w:p>
    <w:p w14:paraId="7CC70CAB">
      <w:pPr>
        <w:pStyle w:val="13"/>
        <w:spacing w:line="360" w:lineRule="auto"/>
        <w:ind w:left="0" w:leftChars="0"/>
        <w:outlineLvl w:val="1"/>
        <w:rPr>
          <w:rFonts w:hint="eastAsia" w:cs="宋体"/>
          <w:b/>
          <w:sz w:val="24"/>
          <w:szCs w:val="24"/>
        </w:rPr>
      </w:pPr>
      <w:bookmarkStart w:id="263" w:name="_Toc1816"/>
      <w:bookmarkStart w:id="264" w:name="_Toc23637"/>
      <w:bookmarkStart w:id="265" w:name="_Toc6544"/>
      <w:bookmarkStart w:id="266" w:name="_Toc19433"/>
      <w:r>
        <w:rPr>
          <w:rFonts w:hint="eastAsia" w:cs="宋体"/>
          <w:b/>
          <w:sz w:val="24"/>
          <w:szCs w:val="24"/>
        </w:rPr>
        <w:t>十四、合同的变更、解除</w:t>
      </w:r>
      <w:bookmarkEnd w:id="263"/>
      <w:bookmarkEnd w:id="264"/>
      <w:bookmarkEnd w:id="265"/>
      <w:bookmarkEnd w:id="266"/>
    </w:p>
    <w:p w14:paraId="683F594C">
      <w:pPr>
        <w:pStyle w:val="13"/>
        <w:spacing w:line="360" w:lineRule="auto"/>
        <w:ind w:left="0" w:leftChars="0" w:firstLine="480" w:firstLineChars="200"/>
        <w:rPr>
          <w:rFonts w:hint="eastAsia" w:cs="宋体"/>
          <w:sz w:val="24"/>
          <w:szCs w:val="24"/>
        </w:rPr>
      </w:pPr>
      <w:r>
        <w:rPr>
          <w:rFonts w:hint="eastAsia" w:cs="宋体"/>
          <w:sz w:val="24"/>
          <w:szCs w:val="24"/>
        </w:rPr>
        <w:t>1、本合同生效后合同双方均不能擅自对本合同的内容及附件进行单方面的修改变更，但任何一方均可以对合同的内容以书面形式提出变更和修改的建议，该项建议经对方书面同意后视为对合同内容的变更。</w:t>
      </w:r>
    </w:p>
    <w:p w14:paraId="675C2CCE">
      <w:pPr>
        <w:pStyle w:val="13"/>
        <w:spacing w:line="360" w:lineRule="auto"/>
        <w:ind w:left="0" w:leftChars="0" w:firstLine="480" w:firstLineChars="200"/>
        <w:rPr>
          <w:rFonts w:hint="eastAsia" w:cs="宋体"/>
          <w:sz w:val="24"/>
          <w:szCs w:val="24"/>
        </w:rPr>
      </w:pPr>
      <w:r>
        <w:rPr>
          <w:rFonts w:hint="eastAsia" w:cs="宋体"/>
          <w:sz w:val="24"/>
          <w:szCs w:val="24"/>
        </w:rPr>
        <w:t>2、合同生效后卖方有下列情形之一的，买方有权解除合同：（1）因不可抗力致使不能实现合同目的；（2）在交货期限届满前，卖方明确表示或者以自己的行为表明不履行交货义务；（3）卖方迟延交货超过30天；（4）卖方迟延交货或者有其他违约行为致使买方不能实现合同目的。上述除不可抗力原因外，卖方应承担相应的违约责任。</w:t>
      </w:r>
    </w:p>
    <w:p w14:paraId="0BB305F3">
      <w:pPr>
        <w:pStyle w:val="13"/>
        <w:spacing w:line="360" w:lineRule="auto"/>
        <w:ind w:left="0" w:leftChars="0" w:firstLine="480" w:firstLineChars="200"/>
        <w:rPr>
          <w:rFonts w:hint="eastAsia" w:cs="宋体"/>
          <w:sz w:val="24"/>
          <w:szCs w:val="24"/>
        </w:rPr>
      </w:pPr>
      <w:r>
        <w:rPr>
          <w:rFonts w:hint="eastAsia" w:cs="宋体"/>
          <w:sz w:val="24"/>
          <w:szCs w:val="24"/>
        </w:rPr>
        <w:t>3、除本合同规定的解除合同的情形外，买卖双方协商一致并共同书面同意，可以解除本合同。</w:t>
      </w:r>
    </w:p>
    <w:p w14:paraId="6D3112E5">
      <w:pPr>
        <w:pStyle w:val="13"/>
        <w:spacing w:line="360" w:lineRule="auto"/>
        <w:ind w:left="0" w:leftChars="0"/>
        <w:outlineLvl w:val="1"/>
        <w:rPr>
          <w:rFonts w:hint="eastAsia" w:cs="宋体"/>
          <w:b/>
          <w:sz w:val="24"/>
          <w:szCs w:val="24"/>
        </w:rPr>
      </w:pPr>
      <w:bookmarkStart w:id="267" w:name="_Toc30062"/>
      <w:bookmarkStart w:id="268" w:name="_Toc161"/>
      <w:bookmarkStart w:id="269" w:name="_Toc15469"/>
      <w:r>
        <w:rPr>
          <w:rFonts w:hint="eastAsia" w:cs="宋体"/>
          <w:b/>
          <w:sz w:val="24"/>
          <w:szCs w:val="24"/>
        </w:rPr>
        <w:t>十五、其他</w:t>
      </w:r>
      <w:bookmarkEnd w:id="267"/>
      <w:bookmarkEnd w:id="268"/>
      <w:bookmarkEnd w:id="269"/>
    </w:p>
    <w:p w14:paraId="36E08120">
      <w:pPr>
        <w:pStyle w:val="13"/>
        <w:spacing w:after="0" w:line="360" w:lineRule="auto"/>
        <w:ind w:left="0" w:leftChars="0" w:firstLine="480" w:firstLineChars="200"/>
        <w:rPr>
          <w:rFonts w:hint="eastAsia" w:cs="宋体"/>
          <w:sz w:val="24"/>
          <w:szCs w:val="24"/>
        </w:rPr>
      </w:pPr>
      <w:r>
        <w:rPr>
          <w:rFonts w:hint="eastAsia" w:cs="宋体"/>
          <w:sz w:val="24"/>
          <w:szCs w:val="24"/>
        </w:rPr>
        <w:t>1、本合同自买卖双方法定代表人或其授权代理人签字并加盖买卖双方公章之日起生效。</w:t>
      </w:r>
    </w:p>
    <w:p w14:paraId="5C53A2EB">
      <w:pPr>
        <w:pStyle w:val="13"/>
        <w:spacing w:after="0" w:line="360" w:lineRule="auto"/>
        <w:ind w:left="0" w:leftChars="0" w:firstLine="480" w:firstLineChars="200"/>
        <w:rPr>
          <w:rFonts w:hint="eastAsia" w:cs="宋体"/>
          <w:sz w:val="24"/>
          <w:szCs w:val="24"/>
        </w:rPr>
      </w:pPr>
      <w:r>
        <w:rPr>
          <w:rFonts w:hint="eastAsia" w:cs="宋体"/>
          <w:sz w:val="24"/>
          <w:szCs w:val="24"/>
        </w:rPr>
        <w:t>2、买卖双方记载于本合同的地址不仅为履行、解除本合同的联系及送达地址，亦是买卖双方确认为接收司法文书的送达地址，邮寄被拒收的，视为已送达，邮寄送达不到的，退件之日视为送达之日。</w:t>
      </w:r>
    </w:p>
    <w:p w14:paraId="12512A01">
      <w:pPr>
        <w:pStyle w:val="13"/>
        <w:spacing w:after="0" w:line="360" w:lineRule="auto"/>
        <w:ind w:left="0" w:leftChars="0" w:firstLine="480" w:firstLineChars="200"/>
        <w:rPr>
          <w:rFonts w:hint="eastAsia" w:cs="宋体"/>
          <w:sz w:val="24"/>
          <w:szCs w:val="24"/>
        </w:rPr>
      </w:pPr>
      <w:r>
        <w:rPr>
          <w:rFonts w:hint="eastAsia" w:cs="宋体"/>
          <w:sz w:val="24"/>
          <w:szCs w:val="24"/>
        </w:rPr>
        <w:t>3、本合同中“□”列示的选项，以在“□”中作标记的为双方约定的选项。</w:t>
      </w:r>
    </w:p>
    <w:p w14:paraId="46E1ED9E">
      <w:pPr>
        <w:pStyle w:val="13"/>
        <w:spacing w:line="360" w:lineRule="auto"/>
        <w:ind w:left="0" w:leftChars="0" w:firstLine="480" w:firstLineChars="200"/>
        <w:rPr>
          <w:rFonts w:hint="eastAsia" w:cs="宋体"/>
          <w:kern w:val="0"/>
          <w:sz w:val="24"/>
          <w:szCs w:val="24"/>
        </w:rPr>
      </w:pPr>
      <w:r>
        <w:rPr>
          <w:rFonts w:hint="eastAsia" w:cs="宋体"/>
          <w:kern w:val="0"/>
          <w:sz w:val="24"/>
          <w:szCs w:val="24"/>
        </w:rPr>
        <w:t>4、对本合同条款的任何变更、修改或增减，须经双方授权代表签署书面文件，成为本合同的组成部分，并具有同等法律效力。</w:t>
      </w:r>
    </w:p>
    <w:p w14:paraId="7CE38F69">
      <w:pPr>
        <w:pStyle w:val="13"/>
        <w:spacing w:line="360" w:lineRule="auto"/>
        <w:ind w:left="0" w:leftChars="0" w:firstLine="480" w:firstLineChars="200"/>
        <w:rPr>
          <w:rFonts w:hint="eastAsia" w:cs="宋体"/>
          <w:sz w:val="24"/>
          <w:szCs w:val="24"/>
        </w:rPr>
      </w:pPr>
      <w:r>
        <w:rPr>
          <w:rFonts w:hint="eastAsia" w:cs="宋体"/>
          <w:sz w:val="24"/>
          <w:szCs w:val="24"/>
        </w:rPr>
        <w:t>5、本合同附件与本合同具有同等效力。</w:t>
      </w:r>
    </w:p>
    <w:p w14:paraId="7C04CB32">
      <w:pPr>
        <w:pStyle w:val="13"/>
        <w:spacing w:line="360" w:lineRule="auto"/>
        <w:ind w:left="0" w:leftChars="0" w:firstLine="480" w:firstLineChars="200"/>
        <w:rPr>
          <w:rFonts w:hint="eastAsia" w:cs="宋体"/>
          <w:sz w:val="24"/>
          <w:szCs w:val="24"/>
        </w:rPr>
      </w:pPr>
      <w:r>
        <w:rPr>
          <w:rFonts w:hint="eastAsia" w:cs="宋体"/>
          <w:sz w:val="24"/>
          <w:szCs w:val="24"/>
        </w:rPr>
        <w:t>6、本合同一式</w:t>
      </w:r>
      <w:r>
        <w:rPr>
          <w:rFonts w:hint="eastAsia" w:cs="宋体"/>
          <w:sz w:val="24"/>
          <w:szCs w:val="24"/>
          <w:u w:val="single"/>
        </w:rPr>
        <w:t xml:space="preserve"> </w:t>
      </w:r>
      <w:r>
        <w:rPr>
          <w:rFonts w:hint="eastAsia" w:cs="宋体"/>
          <w:sz w:val="24"/>
          <w:szCs w:val="24"/>
          <w:u w:val="single"/>
          <w:lang w:val="en-US" w:eastAsia="zh-CN"/>
        </w:rPr>
        <w:t>肆</w:t>
      </w:r>
      <w:r>
        <w:rPr>
          <w:rFonts w:hint="eastAsia" w:cs="宋体"/>
          <w:sz w:val="24"/>
          <w:szCs w:val="24"/>
          <w:u w:val="single"/>
        </w:rPr>
        <w:t xml:space="preserve"> </w:t>
      </w:r>
      <w:r>
        <w:rPr>
          <w:rFonts w:hint="eastAsia" w:cs="宋体"/>
          <w:sz w:val="24"/>
          <w:szCs w:val="24"/>
        </w:rPr>
        <w:t>份，买方持</w:t>
      </w:r>
      <w:r>
        <w:rPr>
          <w:rFonts w:hint="eastAsia" w:cs="宋体"/>
          <w:sz w:val="24"/>
          <w:szCs w:val="24"/>
          <w:u w:val="single"/>
        </w:rPr>
        <w:t xml:space="preserve"> </w:t>
      </w:r>
      <w:r>
        <w:rPr>
          <w:rFonts w:hint="eastAsia" w:cs="宋体"/>
          <w:sz w:val="24"/>
          <w:szCs w:val="24"/>
          <w:u w:val="single"/>
          <w:lang w:val="en-US" w:eastAsia="zh-CN"/>
        </w:rPr>
        <w:t>贰</w:t>
      </w:r>
      <w:r>
        <w:rPr>
          <w:rFonts w:hint="eastAsia" w:cs="宋体"/>
          <w:sz w:val="24"/>
          <w:szCs w:val="24"/>
          <w:u w:val="single"/>
        </w:rPr>
        <w:t xml:space="preserve"> </w:t>
      </w:r>
      <w:r>
        <w:rPr>
          <w:rFonts w:hint="eastAsia" w:cs="宋体"/>
          <w:sz w:val="24"/>
          <w:szCs w:val="24"/>
        </w:rPr>
        <w:t>份，卖方持</w:t>
      </w:r>
      <w:r>
        <w:rPr>
          <w:rFonts w:hint="eastAsia" w:cs="宋体"/>
          <w:sz w:val="24"/>
          <w:szCs w:val="24"/>
          <w:u w:val="single"/>
        </w:rPr>
        <w:t xml:space="preserve">  </w:t>
      </w:r>
      <w:r>
        <w:rPr>
          <w:rFonts w:hint="eastAsia" w:cs="宋体"/>
          <w:sz w:val="24"/>
          <w:szCs w:val="24"/>
          <w:u w:val="single"/>
          <w:lang w:val="en-US" w:eastAsia="zh-CN"/>
        </w:rPr>
        <w:t>贰</w:t>
      </w:r>
      <w:r>
        <w:rPr>
          <w:rFonts w:hint="eastAsia" w:cs="宋体"/>
          <w:sz w:val="24"/>
          <w:szCs w:val="24"/>
          <w:u w:val="single"/>
        </w:rPr>
        <w:t xml:space="preserve"> </w:t>
      </w:r>
      <w:r>
        <w:rPr>
          <w:rFonts w:hint="eastAsia" w:cs="宋体"/>
          <w:sz w:val="24"/>
          <w:szCs w:val="24"/>
        </w:rPr>
        <w:t>份。</w:t>
      </w:r>
    </w:p>
    <w:tbl>
      <w:tblPr>
        <w:tblStyle w:val="28"/>
        <w:tblW w:w="8316" w:type="dxa"/>
        <w:tblInd w:w="97" w:type="dxa"/>
        <w:tblLayout w:type="fixed"/>
        <w:tblCellMar>
          <w:top w:w="0" w:type="dxa"/>
          <w:left w:w="108" w:type="dxa"/>
          <w:bottom w:w="0" w:type="dxa"/>
          <w:right w:w="108" w:type="dxa"/>
        </w:tblCellMar>
      </w:tblPr>
      <w:tblGrid>
        <w:gridCol w:w="4230"/>
        <w:gridCol w:w="4086"/>
      </w:tblGrid>
      <w:tr w14:paraId="7C954AD2">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292E2AA3">
            <w:pPr>
              <w:widowControl/>
              <w:spacing w:line="360" w:lineRule="auto"/>
              <w:rPr>
                <w:rFonts w:hint="eastAsia" w:cs="宋体"/>
                <w:kern w:val="0"/>
                <w:sz w:val="24"/>
                <w:szCs w:val="24"/>
              </w:rPr>
            </w:pPr>
            <w:bookmarkStart w:id="270" w:name="_Hlk519071586"/>
            <w:r>
              <w:rPr>
                <w:rFonts w:hint="eastAsia" w:cs="宋体"/>
                <w:kern w:val="0"/>
                <w:sz w:val="24"/>
                <w:szCs w:val="24"/>
              </w:rPr>
              <w:t>买方（章）：</w:t>
            </w:r>
            <w:r>
              <w:rPr>
                <w:rFonts w:hint="eastAsia" w:cs="宋体"/>
                <w:sz w:val="24"/>
                <w:szCs w:val="24"/>
              </w:rPr>
              <w:t>厦工（三明）重型机器有限公司</w:t>
            </w:r>
          </w:p>
        </w:tc>
        <w:tc>
          <w:tcPr>
            <w:tcW w:w="4086" w:type="dxa"/>
            <w:tcBorders>
              <w:top w:val="nil"/>
              <w:left w:val="nil"/>
              <w:bottom w:val="nil"/>
              <w:right w:val="nil"/>
            </w:tcBorders>
            <w:noWrap/>
            <w:vAlign w:val="center"/>
          </w:tcPr>
          <w:p w14:paraId="247E9530">
            <w:pPr>
              <w:widowControl/>
              <w:spacing w:line="360" w:lineRule="auto"/>
              <w:ind w:right="420"/>
              <w:jc w:val="left"/>
              <w:rPr>
                <w:rFonts w:hint="eastAsia" w:cs="宋体"/>
                <w:kern w:val="0"/>
                <w:sz w:val="24"/>
                <w:szCs w:val="24"/>
              </w:rPr>
            </w:pPr>
            <w:r>
              <w:rPr>
                <w:rFonts w:hint="eastAsia" w:cs="宋体"/>
                <w:kern w:val="0"/>
                <w:sz w:val="24"/>
                <w:szCs w:val="24"/>
              </w:rPr>
              <w:t xml:space="preserve">卖方（章）： </w:t>
            </w:r>
          </w:p>
        </w:tc>
      </w:tr>
      <w:tr w14:paraId="7AB7BB16">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4B5C6C46">
            <w:pPr>
              <w:widowControl/>
              <w:spacing w:line="360" w:lineRule="auto"/>
              <w:rPr>
                <w:rFonts w:hint="eastAsia" w:cs="宋体"/>
                <w:kern w:val="0"/>
                <w:sz w:val="24"/>
                <w:szCs w:val="24"/>
              </w:rPr>
            </w:pPr>
            <w:r>
              <w:rPr>
                <w:rFonts w:hint="eastAsia" w:cs="宋体"/>
                <w:kern w:val="0"/>
                <w:sz w:val="24"/>
                <w:szCs w:val="24"/>
              </w:rPr>
              <w:t xml:space="preserve">地址： </w:t>
            </w:r>
          </w:p>
        </w:tc>
        <w:tc>
          <w:tcPr>
            <w:tcW w:w="4086" w:type="dxa"/>
            <w:tcBorders>
              <w:top w:val="nil"/>
              <w:left w:val="nil"/>
              <w:bottom w:val="nil"/>
              <w:right w:val="nil"/>
            </w:tcBorders>
            <w:noWrap/>
            <w:vAlign w:val="center"/>
          </w:tcPr>
          <w:p w14:paraId="5723E176">
            <w:pPr>
              <w:widowControl/>
              <w:spacing w:line="360" w:lineRule="auto"/>
              <w:ind w:right="420"/>
              <w:jc w:val="left"/>
              <w:rPr>
                <w:rFonts w:hint="eastAsia" w:cs="宋体"/>
                <w:kern w:val="0"/>
                <w:sz w:val="24"/>
                <w:szCs w:val="24"/>
              </w:rPr>
            </w:pPr>
            <w:r>
              <w:rPr>
                <w:rFonts w:hint="eastAsia" w:cs="宋体"/>
                <w:kern w:val="0"/>
                <w:sz w:val="24"/>
                <w:szCs w:val="24"/>
              </w:rPr>
              <w:t xml:space="preserve">地址：  </w:t>
            </w:r>
          </w:p>
        </w:tc>
      </w:tr>
      <w:tr w14:paraId="3EFB795D">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2C596BEA">
            <w:pPr>
              <w:widowControl/>
              <w:spacing w:line="360" w:lineRule="auto"/>
              <w:rPr>
                <w:rFonts w:hint="eastAsia" w:cs="宋体"/>
                <w:kern w:val="0"/>
                <w:sz w:val="24"/>
                <w:szCs w:val="24"/>
              </w:rPr>
            </w:pPr>
            <w:r>
              <w:rPr>
                <w:rFonts w:hint="eastAsia" w:cs="宋体"/>
                <w:kern w:val="0"/>
                <w:sz w:val="24"/>
                <w:szCs w:val="24"/>
              </w:rPr>
              <w:t xml:space="preserve">邮编：  </w:t>
            </w:r>
            <w:r>
              <w:rPr>
                <w:rFonts w:cs="宋体"/>
                <w:kern w:val="0"/>
                <w:sz w:val="24"/>
                <w:szCs w:val="24"/>
              </w:rPr>
              <w:t>365500</w:t>
            </w:r>
          </w:p>
        </w:tc>
        <w:tc>
          <w:tcPr>
            <w:tcW w:w="4086" w:type="dxa"/>
            <w:tcBorders>
              <w:top w:val="nil"/>
              <w:left w:val="nil"/>
              <w:bottom w:val="nil"/>
              <w:right w:val="nil"/>
            </w:tcBorders>
            <w:noWrap/>
            <w:vAlign w:val="center"/>
          </w:tcPr>
          <w:p w14:paraId="014E25AE">
            <w:pPr>
              <w:widowControl/>
              <w:spacing w:line="360" w:lineRule="auto"/>
              <w:rPr>
                <w:rFonts w:hint="eastAsia" w:cs="宋体"/>
                <w:kern w:val="0"/>
                <w:sz w:val="24"/>
                <w:szCs w:val="24"/>
              </w:rPr>
            </w:pPr>
            <w:r>
              <w:rPr>
                <w:rFonts w:hint="eastAsia" w:cs="宋体"/>
                <w:kern w:val="0"/>
                <w:sz w:val="24"/>
                <w:szCs w:val="24"/>
              </w:rPr>
              <w:t>邮编：</w:t>
            </w:r>
          </w:p>
        </w:tc>
      </w:tr>
      <w:tr w14:paraId="203D6041">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0E457125">
            <w:pPr>
              <w:widowControl/>
              <w:spacing w:line="360" w:lineRule="auto"/>
              <w:rPr>
                <w:rFonts w:hint="eastAsia" w:cs="宋体"/>
                <w:kern w:val="0"/>
                <w:sz w:val="24"/>
                <w:szCs w:val="24"/>
              </w:rPr>
            </w:pPr>
            <w:r>
              <w:rPr>
                <w:rFonts w:hint="eastAsia" w:cs="宋体"/>
                <w:kern w:val="0"/>
                <w:sz w:val="24"/>
                <w:szCs w:val="24"/>
              </w:rPr>
              <w:t xml:space="preserve">法定代表人或授权代理人：            </w:t>
            </w:r>
          </w:p>
        </w:tc>
        <w:tc>
          <w:tcPr>
            <w:tcW w:w="4086" w:type="dxa"/>
            <w:tcBorders>
              <w:top w:val="nil"/>
              <w:left w:val="nil"/>
              <w:bottom w:val="nil"/>
              <w:right w:val="nil"/>
            </w:tcBorders>
            <w:noWrap/>
            <w:vAlign w:val="center"/>
          </w:tcPr>
          <w:p w14:paraId="4E6E6392">
            <w:pPr>
              <w:widowControl/>
              <w:spacing w:line="360" w:lineRule="auto"/>
              <w:jc w:val="left"/>
              <w:rPr>
                <w:rFonts w:hint="eastAsia" w:cs="宋体"/>
                <w:kern w:val="0"/>
                <w:sz w:val="24"/>
                <w:szCs w:val="24"/>
              </w:rPr>
            </w:pPr>
            <w:r>
              <w:rPr>
                <w:rFonts w:hint="eastAsia" w:cs="宋体"/>
                <w:kern w:val="0"/>
                <w:sz w:val="24"/>
                <w:szCs w:val="24"/>
              </w:rPr>
              <w:t>法定代表人或授权代理人：</w:t>
            </w:r>
          </w:p>
        </w:tc>
      </w:tr>
      <w:tr w14:paraId="38BB95F3">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6D64A70F">
            <w:pPr>
              <w:widowControl/>
              <w:spacing w:line="360" w:lineRule="auto"/>
              <w:rPr>
                <w:rFonts w:hint="eastAsia" w:cs="宋体"/>
                <w:kern w:val="0"/>
                <w:sz w:val="24"/>
                <w:szCs w:val="24"/>
              </w:rPr>
            </w:pPr>
            <w:r>
              <w:rPr>
                <w:rFonts w:hint="eastAsia" w:cs="宋体"/>
                <w:kern w:val="0"/>
                <w:sz w:val="24"/>
                <w:szCs w:val="24"/>
              </w:rPr>
              <w:t>电话：</w:t>
            </w:r>
          </w:p>
        </w:tc>
        <w:tc>
          <w:tcPr>
            <w:tcW w:w="4086" w:type="dxa"/>
            <w:tcBorders>
              <w:top w:val="nil"/>
              <w:left w:val="nil"/>
              <w:bottom w:val="nil"/>
              <w:right w:val="nil"/>
            </w:tcBorders>
            <w:noWrap/>
            <w:vAlign w:val="center"/>
          </w:tcPr>
          <w:p w14:paraId="1986A76B">
            <w:pPr>
              <w:widowControl/>
              <w:spacing w:line="360" w:lineRule="auto"/>
              <w:jc w:val="left"/>
              <w:rPr>
                <w:rFonts w:hint="eastAsia" w:cs="宋体"/>
                <w:kern w:val="0"/>
                <w:sz w:val="24"/>
                <w:szCs w:val="24"/>
              </w:rPr>
            </w:pPr>
            <w:r>
              <w:rPr>
                <w:rFonts w:hint="eastAsia" w:cs="宋体"/>
                <w:kern w:val="0"/>
                <w:sz w:val="24"/>
                <w:szCs w:val="24"/>
              </w:rPr>
              <w:t xml:space="preserve">电话： </w:t>
            </w:r>
          </w:p>
        </w:tc>
      </w:tr>
      <w:tr w14:paraId="44BBA6D9">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16D9ACFF">
            <w:pPr>
              <w:widowControl/>
              <w:spacing w:line="360" w:lineRule="auto"/>
              <w:rPr>
                <w:rFonts w:hint="eastAsia" w:cs="宋体"/>
                <w:kern w:val="0"/>
                <w:sz w:val="24"/>
                <w:szCs w:val="24"/>
              </w:rPr>
            </w:pPr>
            <w:r>
              <w:rPr>
                <w:rFonts w:hint="eastAsia" w:cs="宋体"/>
                <w:kern w:val="0"/>
                <w:sz w:val="24"/>
                <w:szCs w:val="24"/>
              </w:rPr>
              <w:t xml:space="preserve">税号：    </w:t>
            </w:r>
          </w:p>
        </w:tc>
        <w:tc>
          <w:tcPr>
            <w:tcW w:w="4086" w:type="dxa"/>
            <w:tcBorders>
              <w:top w:val="nil"/>
              <w:left w:val="nil"/>
              <w:bottom w:val="nil"/>
              <w:right w:val="nil"/>
            </w:tcBorders>
            <w:noWrap/>
            <w:vAlign w:val="center"/>
          </w:tcPr>
          <w:p w14:paraId="44117CA1">
            <w:pPr>
              <w:widowControl/>
              <w:spacing w:line="360" w:lineRule="auto"/>
              <w:jc w:val="left"/>
              <w:rPr>
                <w:rFonts w:hint="eastAsia" w:cs="宋体"/>
                <w:kern w:val="0"/>
                <w:sz w:val="24"/>
                <w:szCs w:val="24"/>
              </w:rPr>
            </w:pPr>
            <w:r>
              <w:rPr>
                <w:rFonts w:hint="eastAsia" w:cs="宋体"/>
                <w:kern w:val="0"/>
                <w:sz w:val="24"/>
                <w:szCs w:val="24"/>
              </w:rPr>
              <w:t>税号：</w:t>
            </w:r>
          </w:p>
        </w:tc>
      </w:tr>
      <w:tr w14:paraId="5F26E011">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3278B303">
            <w:pPr>
              <w:widowControl/>
              <w:spacing w:line="360" w:lineRule="auto"/>
              <w:rPr>
                <w:rFonts w:hint="eastAsia" w:cs="宋体"/>
                <w:kern w:val="0"/>
                <w:sz w:val="24"/>
                <w:szCs w:val="24"/>
              </w:rPr>
            </w:pPr>
            <w:r>
              <w:rPr>
                <w:rFonts w:hint="eastAsia" w:cs="宋体"/>
                <w:kern w:val="0"/>
                <w:sz w:val="24"/>
                <w:szCs w:val="24"/>
              </w:rPr>
              <w:t xml:space="preserve">开户行： </w:t>
            </w:r>
          </w:p>
        </w:tc>
        <w:tc>
          <w:tcPr>
            <w:tcW w:w="4086" w:type="dxa"/>
            <w:tcBorders>
              <w:top w:val="nil"/>
              <w:left w:val="nil"/>
              <w:bottom w:val="nil"/>
              <w:right w:val="nil"/>
            </w:tcBorders>
            <w:noWrap/>
            <w:vAlign w:val="center"/>
          </w:tcPr>
          <w:p w14:paraId="30C0A7A6">
            <w:pPr>
              <w:widowControl/>
              <w:spacing w:line="360" w:lineRule="auto"/>
              <w:jc w:val="left"/>
              <w:rPr>
                <w:rFonts w:hint="eastAsia" w:cs="宋体"/>
                <w:kern w:val="0"/>
                <w:sz w:val="24"/>
                <w:szCs w:val="24"/>
              </w:rPr>
            </w:pPr>
            <w:r>
              <w:rPr>
                <w:rFonts w:hint="eastAsia" w:cs="宋体"/>
                <w:kern w:val="0"/>
                <w:sz w:val="24"/>
                <w:szCs w:val="24"/>
              </w:rPr>
              <w:t xml:space="preserve">开户行： </w:t>
            </w:r>
          </w:p>
        </w:tc>
      </w:tr>
      <w:tr w14:paraId="19CA77D3">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48C36343">
            <w:pPr>
              <w:widowControl/>
              <w:spacing w:line="360" w:lineRule="auto"/>
              <w:rPr>
                <w:rFonts w:hint="eastAsia" w:cs="宋体"/>
                <w:kern w:val="0"/>
                <w:sz w:val="24"/>
                <w:szCs w:val="24"/>
              </w:rPr>
            </w:pPr>
            <w:r>
              <w:rPr>
                <w:rFonts w:hint="eastAsia" w:cs="宋体"/>
                <w:kern w:val="0"/>
                <w:sz w:val="24"/>
                <w:szCs w:val="24"/>
              </w:rPr>
              <w:t>账号：</w:t>
            </w:r>
            <w:r>
              <w:rPr>
                <w:rFonts w:cs="宋体"/>
                <w:kern w:val="0"/>
                <w:sz w:val="24"/>
                <w:szCs w:val="24"/>
              </w:rPr>
              <w:t xml:space="preserve"> </w:t>
            </w:r>
          </w:p>
        </w:tc>
        <w:tc>
          <w:tcPr>
            <w:tcW w:w="4086" w:type="dxa"/>
            <w:tcBorders>
              <w:top w:val="nil"/>
              <w:left w:val="nil"/>
              <w:bottom w:val="nil"/>
              <w:right w:val="nil"/>
            </w:tcBorders>
            <w:noWrap/>
            <w:vAlign w:val="center"/>
          </w:tcPr>
          <w:p w14:paraId="7CC7A63D">
            <w:pPr>
              <w:widowControl/>
              <w:spacing w:line="360" w:lineRule="auto"/>
              <w:jc w:val="left"/>
              <w:rPr>
                <w:rFonts w:hint="eastAsia" w:cs="宋体"/>
                <w:kern w:val="0"/>
                <w:sz w:val="24"/>
                <w:szCs w:val="24"/>
              </w:rPr>
            </w:pPr>
            <w:r>
              <w:rPr>
                <w:rFonts w:hint="eastAsia" w:cs="宋体"/>
                <w:kern w:val="0"/>
                <w:sz w:val="24"/>
                <w:szCs w:val="24"/>
              </w:rPr>
              <w:t xml:space="preserve">账号： </w:t>
            </w:r>
          </w:p>
        </w:tc>
      </w:tr>
      <w:tr w14:paraId="0F899443">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55651B2C">
            <w:pPr>
              <w:widowControl/>
              <w:spacing w:line="360" w:lineRule="auto"/>
              <w:rPr>
                <w:rFonts w:hint="eastAsia" w:cs="宋体"/>
                <w:kern w:val="0"/>
                <w:sz w:val="24"/>
                <w:szCs w:val="24"/>
              </w:rPr>
            </w:pPr>
            <w:r>
              <w:rPr>
                <w:rFonts w:hint="eastAsia" w:cs="宋体"/>
                <w:kern w:val="0"/>
                <w:sz w:val="24"/>
                <w:szCs w:val="24"/>
              </w:rPr>
              <w:t xml:space="preserve">签订日期：     年   月   日                 </w:t>
            </w:r>
          </w:p>
        </w:tc>
        <w:tc>
          <w:tcPr>
            <w:tcW w:w="4086" w:type="dxa"/>
            <w:tcBorders>
              <w:top w:val="nil"/>
              <w:left w:val="nil"/>
              <w:bottom w:val="nil"/>
              <w:right w:val="nil"/>
            </w:tcBorders>
            <w:noWrap/>
            <w:vAlign w:val="center"/>
          </w:tcPr>
          <w:p w14:paraId="3B4A1556">
            <w:pPr>
              <w:widowControl/>
              <w:spacing w:line="360" w:lineRule="auto"/>
              <w:jc w:val="left"/>
              <w:rPr>
                <w:rFonts w:hint="eastAsia" w:cs="宋体"/>
                <w:kern w:val="0"/>
                <w:sz w:val="24"/>
                <w:szCs w:val="24"/>
              </w:rPr>
            </w:pPr>
            <w:r>
              <w:rPr>
                <w:rFonts w:hint="eastAsia" w:cs="宋体"/>
                <w:kern w:val="0"/>
                <w:sz w:val="24"/>
                <w:szCs w:val="24"/>
              </w:rPr>
              <w:t>签订日期：    年   月   日</w:t>
            </w:r>
          </w:p>
        </w:tc>
      </w:tr>
      <w:bookmarkEnd w:id="270"/>
    </w:tbl>
    <w:p w14:paraId="5EBFB469">
      <w:pPr>
        <w:pStyle w:val="39"/>
        <w:jc w:val="left"/>
        <w:rPr>
          <w:rFonts w:hint="eastAsia"/>
        </w:rPr>
        <w:sectPr>
          <w:headerReference r:id="rId5" w:type="default"/>
          <w:footerReference r:id="rId6" w:type="default"/>
          <w:pgSz w:w="11906" w:h="16838"/>
          <w:pgMar w:top="1440" w:right="1797" w:bottom="1440" w:left="1797" w:header="851" w:footer="992" w:gutter="0"/>
          <w:cols w:space="425" w:num="1"/>
          <w:docGrid w:linePitch="312" w:charSpace="0"/>
        </w:sectPr>
      </w:pPr>
    </w:p>
    <w:p w14:paraId="14AEE895">
      <w:pPr>
        <w:pStyle w:val="9"/>
        <w:spacing w:line="360" w:lineRule="auto"/>
        <w:ind w:firstLine="2209" w:firstLineChars="500"/>
        <w:outlineLvl w:val="0"/>
        <w:rPr>
          <w:rFonts w:cs="宋体"/>
          <w:b/>
          <w:bCs/>
          <w:sz w:val="44"/>
          <w:szCs w:val="44"/>
        </w:rPr>
      </w:pPr>
      <w:bookmarkStart w:id="271" w:name="_Toc15957"/>
      <w:bookmarkStart w:id="272" w:name="_Toc6144"/>
      <w:r>
        <w:rPr>
          <w:rFonts w:hint="eastAsia" w:cs="宋体"/>
          <w:b/>
          <w:bCs/>
          <w:sz w:val="44"/>
          <w:szCs w:val="44"/>
        </w:rPr>
        <w:t>第六章  投标文件格式</w:t>
      </w:r>
      <w:bookmarkEnd w:id="271"/>
      <w:bookmarkEnd w:id="272"/>
    </w:p>
    <w:p w14:paraId="151D55FA">
      <w:pPr>
        <w:pStyle w:val="9"/>
        <w:spacing w:line="360" w:lineRule="auto"/>
        <w:jc w:val="right"/>
        <w:rPr>
          <w:rFonts w:cs="宋体"/>
          <w:b/>
          <w:bCs/>
          <w:sz w:val="72"/>
          <w:szCs w:val="72"/>
        </w:rPr>
      </w:pPr>
      <w:r>
        <w:rPr>
          <w:rFonts w:hint="eastAsia" w:cs="宋体"/>
          <w:b/>
          <w:bCs/>
          <w:sz w:val="36"/>
          <w:szCs w:val="36"/>
        </w:rPr>
        <w:t xml:space="preserve">  （正/副本）</w:t>
      </w:r>
    </w:p>
    <w:p w14:paraId="217813FD">
      <w:pPr>
        <w:spacing w:line="360" w:lineRule="auto"/>
        <w:jc w:val="center"/>
        <w:rPr>
          <w:rFonts w:cs="宋体"/>
          <w:b/>
          <w:bCs/>
          <w:sz w:val="72"/>
          <w:szCs w:val="72"/>
        </w:rPr>
      </w:pPr>
      <w:r>
        <w:rPr>
          <w:rFonts w:hint="eastAsia" w:cs="宋体"/>
          <w:b/>
          <w:bCs/>
          <w:sz w:val="72"/>
          <w:szCs w:val="72"/>
        </w:rPr>
        <w:t xml:space="preserve"> </w:t>
      </w:r>
    </w:p>
    <w:p w14:paraId="16A3A548">
      <w:pPr>
        <w:spacing w:line="360" w:lineRule="auto"/>
        <w:jc w:val="center"/>
        <w:outlineLvl w:val="1"/>
        <w:rPr>
          <w:rFonts w:cs="宋体"/>
          <w:b/>
          <w:bCs/>
          <w:sz w:val="72"/>
          <w:szCs w:val="72"/>
        </w:rPr>
      </w:pPr>
      <w:bookmarkStart w:id="273" w:name="_Toc24713"/>
      <w:bookmarkStart w:id="274" w:name="_Toc29159"/>
      <w:r>
        <w:rPr>
          <w:rFonts w:hint="eastAsia" w:cs="宋体"/>
          <w:b/>
          <w:bCs/>
          <w:sz w:val="72"/>
          <w:szCs w:val="72"/>
        </w:rPr>
        <w:t>投  标  文  件</w:t>
      </w:r>
      <w:bookmarkEnd w:id="273"/>
      <w:bookmarkEnd w:id="274"/>
    </w:p>
    <w:p w14:paraId="1F0882DD">
      <w:pPr>
        <w:spacing w:line="360" w:lineRule="auto"/>
        <w:jc w:val="center"/>
        <w:outlineLvl w:val="1"/>
        <w:rPr>
          <w:rFonts w:cs="宋体"/>
          <w:b/>
          <w:bCs/>
          <w:sz w:val="36"/>
          <w:szCs w:val="36"/>
        </w:rPr>
      </w:pPr>
      <w:bookmarkStart w:id="275" w:name="_Toc15805"/>
      <w:bookmarkStart w:id="276" w:name="_Toc3038"/>
      <w:r>
        <w:rPr>
          <w:rFonts w:hint="eastAsia" w:cs="宋体"/>
          <w:b/>
          <w:bCs/>
          <w:sz w:val="36"/>
          <w:szCs w:val="36"/>
        </w:rPr>
        <w:t>（资格文件）</w:t>
      </w:r>
      <w:bookmarkEnd w:id="275"/>
      <w:bookmarkEnd w:id="276"/>
    </w:p>
    <w:p w14:paraId="24912B9B">
      <w:pPr>
        <w:spacing w:line="360" w:lineRule="auto"/>
        <w:jc w:val="center"/>
        <w:rPr>
          <w:rFonts w:cs="宋体"/>
          <w:b/>
          <w:bCs/>
          <w:sz w:val="36"/>
          <w:szCs w:val="36"/>
        </w:rPr>
      </w:pPr>
      <w:r>
        <w:rPr>
          <w:rFonts w:hint="eastAsia" w:cs="宋体"/>
          <w:b/>
          <w:bCs/>
          <w:sz w:val="36"/>
          <w:szCs w:val="36"/>
        </w:rPr>
        <w:t xml:space="preserve"> </w:t>
      </w:r>
    </w:p>
    <w:p w14:paraId="7042B28C">
      <w:pPr>
        <w:spacing w:line="360" w:lineRule="auto"/>
        <w:ind w:firstLine="1084" w:firstLineChars="300"/>
        <w:rPr>
          <w:rFonts w:cs="宋体"/>
          <w:b/>
          <w:bCs/>
          <w:sz w:val="36"/>
          <w:szCs w:val="36"/>
        </w:rPr>
      </w:pPr>
      <w:r>
        <w:rPr>
          <w:rFonts w:hint="eastAsia" w:cs="宋体"/>
          <w:b/>
          <w:bCs/>
          <w:sz w:val="36"/>
          <w:szCs w:val="36"/>
        </w:rPr>
        <w:t>项 目 名 称：</w:t>
      </w:r>
      <w:r>
        <w:rPr>
          <w:rFonts w:hint="eastAsia" w:cs="宋体"/>
          <w:b/>
          <w:bCs/>
          <w:sz w:val="36"/>
          <w:szCs w:val="36"/>
          <w:u w:val="single"/>
        </w:rPr>
        <w:t xml:space="preserve">               </w:t>
      </w:r>
    </w:p>
    <w:p w14:paraId="49C88B83">
      <w:pPr>
        <w:spacing w:line="360" w:lineRule="auto"/>
        <w:ind w:firstLine="1084" w:firstLineChars="300"/>
        <w:rPr>
          <w:rFonts w:cs="宋体"/>
          <w:b/>
          <w:bCs/>
          <w:sz w:val="36"/>
          <w:szCs w:val="36"/>
        </w:rPr>
      </w:pPr>
      <w:r>
        <w:rPr>
          <w:rFonts w:hint="eastAsia" w:cs="宋体"/>
          <w:b/>
          <w:bCs/>
          <w:sz w:val="36"/>
          <w:szCs w:val="36"/>
        </w:rPr>
        <w:t>招 标 编 号：</w:t>
      </w:r>
      <w:r>
        <w:rPr>
          <w:rFonts w:hint="eastAsia" w:cs="宋体"/>
          <w:b/>
          <w:bCs/>
          <w:sz w:val="36"/>
          <w:szCs w:val="36"/>
          <w:u w:val="single"/>
        </w:rPr>
        <w:t xml:space="preserve">               </w:t>
      </w:r>
    </w:p>
    <w:p w14:paraId="2D9CF4BC">
      <w:pPr>
        <w:spacing w:line="360" w:lineRule="auto"/>
        <w:rPr>
          <w:rFonts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14:paraId="7965A975">
      <w:pPr>
        <w:spacing w:line="360" w:lineRule="auto"/>
        <w:rPr>
          <w:rFonts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14:paraId="4C22F38D">
      <w:pPr>
        <w:spacing w:line="360" w:lineRule="auto"/>
        <w:rPr>
          <w:rFonts w:cs="宋体"/>
          <w:sz w:val="24"/>
        </w:rPr>
      </w:pPr>
      <w:r>
        <w:rPr>
          <w:rFonts w:hint="eastAsia" w:cs="宋体"/>
          <w:sz w:val="24"/>
        </w:rPr>
        <w:t xml:space="preserve"> </w:t>
      </w:r>
    </w:p>
    <w:p w14:paraId="73E64069">
      <w:pPr>
        <w:autoSpaceDE w:val="0"/>
        <w:autoSpaceDN w:val="0"/>
        <w:adjustRightInd w:val="0"/>
        <w:spacing w:line="480" w:lineRule="auto"/>
        <w:jc w:val="center"/>
        <w:rPr>
          <w:rFonts w:cs="宋体"/>
          <w:kern w:val="0"/>
          <w:sz w:val="36"/>
          <w:szCs w:val="36"/>
        </w:rPr>
      </w:pPr>
    </w:p>
    <w:p w14:paraId="6341F454">
      <w:pPr>
        <w:rPr>
          <w:rFonts w:cs="宋体"/>
          <w:kern w:val="0"/>
          <w:sz w:val="36"/>
          <w:szCs w:val="36"/>
        </w:rPr>
      </w:pPr>
      <w:r>
        <w:rPr>
          <w:rFonts w:hint="eastAsia" w:cs="宋体"/>
          <w:kern w:val="0"/>
          <w:sz w:val="36"/>
          <w:szCs w:val="36"/>
        </w:rPr>
        <w:br w:type="page"/>
      </w:r>
    </w:p>
    <w:p w14:paraId="744721D7">
      <w:pPr>
        <w:autoSpaceDE w:val="0"/>
        <w:autoSpaceDN w:val="0"/>
        <w:adjustRightInd w:val="0"/>
        <w:spacing w:line="480" w:lineRule="auto"/>
        <w:jc w:val="center"/>
        <w:rPr>
          <w:rFonts w:cs="宋体"/>
          <w:kern w:val="0"/>
          <w:sz w:val="36"/>
          <w:szCs w:val="36"/>
        </w:rPr>
      </w:pPr>
      <w:r>
        <w:rPr>
          <w:rFonts w:hint="eastAsia" w:cs="宋体"/>
          <w:kern w:val="0"/>
          <w:sz w:val="36"/>
          <w:szCs w:val="36"/>
        </w:rPr>
        <w:t>目 录</w:t>
      </w:r>
    </w:p>
    <w:p w14:paraId="67EA2173">
      <w:pPr>
        <w:autoSpaceDE w:val="0"/>
        <w:autoSpaceDN w:val="0"/>
        <w:adjustRightInd w:val="0"/>
        <w:spacing w:line="480" w:lineRule="auto"/>
        <w:jc w:val="left"/>
        <w:rPr>
          <w:rFonts w:cs="宋体"/>
          <w:kern w:val="0"/>
          <w:sz w:val="28"/>
          <w:szCs w:val="28"/>
        </w:rPr>
      </w:pPr>
      <w:r>
        <w:rPr>
          <w:rFonts w:hint="eastAsia" w:cs="宋体"/>
          <w:kern w:val="0"/>
          <w:sz w:val="28"/>
          <w:szCs w:val="28"/>
        </w:rPr>
        <w:t>一、投标函</w:t>
      </w:r>
    </w:p>
    <w:p w14:paraId="1C122BCB">
      <w:pPr>
        <w:autoSpaceDE w:val="0"/>
        <w:autoSpaceDN w:val="0"/>
        <w:adjustRightInd w:val="0"/>
        <w:spacing w:line="480" w:lineRule="auto"/>
        <w:jc w:val="left"/>
        <w:rPr>
          <w:rFonts w:cs="宋体"/>
          <w:kern w:val="0"/>
          <w:sz w:val="28"/>
          <w:szCs w:val="28"/>
        </w:rPr>
      </w:pPr>
      <w:r>
        <w:rPr>
          <w:rFonts w:hint="eastAsia" w:cs="宋体"/>
          <w:kern w:val="0"/>
          <w:sz w:val="28"/>
          <w:szCs w:val="28"/>
        </w:rPr>
        <w:t>二、开标一览表</w:t>
      </w:r>
    </w:p>
    <w:p w14:paraId="0026DD9F">
      <w:pPr>
        <w:autoSpaceDE w:val="0"/>
        <w:autoSpaceDN w:val="0"/>
        <w:adjustRightInd w:val="0"/>
        <w:spacing w:line="480" w:lineRule="auto"/>
        <w:jc w:val="left"/>
        <w:rPr>
          <w:rFonts w:cs="宋体"/>
          <w:kern w:val="0"/>
          <w:sz w:val="28"/>
          <w:szCs w:val="28"/>
        </w:rPr>
      </w:pPr>
      <w:r>
        <w:rPr>
          <w:rFonts w:hint="eastAsia" w:cs="宋体"/>
          <w:kern w:val="0"/>
          <w:sz w:val="28"/>
          <w:szCs w:val="28"/>
        </w:rPr>
        <w:t>三、分项报价表</w:t>
      </w:r>
    </w:p>
    <w:p w14:paraId="6E10CC30">
      <w:pPr>
        <w:autoSpaceDE w:val="0"/>
        <w:autoSpaceDN w:val="0"/>
        <w:adjustRightInd w:val="0"/>
        <w:spacing w:line="480" w:lineRule="auto"/>
        <w:jc w:val="left"/>
        <w:rPr>
          <w:rFonts w:cs="宋体"/>
          <w:kern w:val="0"/>
          <w:sz w:val="28"/>
          <w:szCs w:val="28"/>
        </w:rPr>
      </w:pPr>
      <w:r>
        <w:rPr>
          <w:rFonts w:hint="eastAsia" w:cs="宋体"/>
          <w:kern w:val="0"/>
          <w:sz w:val="28"/>
          <w:szCs w:val="28"/>
        </w:rPr>
        <w:t>四、投标人资格证明文件</w:t>
      </w:r>
    </w:p>
    <w:p w14:paraId="15764CD2">
      <w:pPr>
        <w:autoSpaceDE w:val="0"/>
        <w:autoSpaceDN w:val="0"/>
        <w:adjustRightInd w:val="0"/>
        <w:spacing w:line="480" w:lineRule="auto"/>
        <w:jc w:val="left"/>
        <w:rPr>
          <w:rFonts w:cs="宋体"/>
          <w:kern w:val="0"/>
          <w:sz w:val="28"/>
          <w:szCs w:val="28"/>
        </w:rPr>
      </w:pPr>
      <w:r>
        <w:rPr>
          <w:rFonts w:hint="eastAsia" w:cs="宋体"/>
          <w:kern w:val="0"/>
          <w:sz w:val="28"/>
          <w:szCs w:val="28"/>
        </w:rPr>
        <w:t>五、带“★”号条款响应表</w:t>
      </w:r>
    </w:p>
    <w:p w14:paraId="766DCE0E">
      <w:pPr>
        <w:autoSpaceDE w:val="0"/>
        <w:autoSpaceDN w:val="0"/>
        <w:adjustRightInd w:val="0"/>
        <w:spacing w:line="480" w:lineRule="auto"/>
        <w:jc w:val="left"/>
        <w:rPr>
          <w:rFonts w:cs="宋体"/>
          <w:kern w:val="0"/>
          <w:sz w:val="28"/>
          <w:szCs w:val="28"/>
        </w:rPr>
      </w:pPr>
      <w:r>
        <w:rPr>
          <w:rFonts w:hint="eastAsia" w:cs="宋体"/>
          <w:kern w:val="0"/>
          <w:sz w:val="28"/>
          <w:szCs w:val="28"/>
        </w:rPr>
        <w:t>六、法定代表人资格证明书</w:t>
      </w:r>
    </w:p>
    <w:p w14:paraId="6D86F102">
      <w:pPr>
        <w:autoSpaceDE w:val="0"/>
        <w:autoSpaceDN w:val="0"/>
        <w:adjustRightInd w:val="0"/>
        <w:spacing w:line="480" w:lineRule="auto"/>
        <w:jc w:val="left"/>
        <w:rPr>
          <w:rFonts w:cs="宋体"/>
          <w:kern w:val="0"/>
          <w:sz w:val="28"/>
          <w:szCs w:val="28"/>
        </w:rPr>
      </w:pPr>
      <w:r>
        <w:rPr>
          <w:rFonts w:hint="eastAsia" w:cs="宋体"/>
          <w:kern w:val="0"/>
          <w:sz w:val="28"/>
          <w:szCs w:val="28"/>
        </w:rPr>
        <w:t>七、授权委托书</w:t>
      </w:r>
    </w:p>
    <w:p w14:paraId="6CD8D8BA">
      <w:pPr>
        <w:autoSpaceDE w:val="0"/>
        <w:autoSpaceDN w:val="0"/>
        <w:adjustRightInd w:val="0"/>
        <w:spacing w:line="480" w:lineRule="auto"/>
        <w:jc w:val="left"/>
        <w:rPr>
          <w:rFonts w:cs="宋体"/>
          <w:kern w:val="0"/>
          <w:sz w:val="28"/>
          <w:szCs w:val="28"/>
        </w:rPr>
      </w:pPr>
      <w:r>
        <w:rPr>
          <w:rFonts w:hint="eastAsia" w:cs="宋体"/>
          <w:kern w:val="0"/>
          <w:sz w:val="28"/>
          <w:szCs w:val="28"/>
        </w:rPr>
        <w:t>八、投标保证金缴交凭证</w:t>
      </w:r>
    </w:p>
    <w:p w14:paraId="55FF5347">
      <w:pPr>
        <w:autoSpaceDE w:val="0"/>
        <w:autoSpaceDN w:val="0"/>
        <w:adjustRightInd w:val="0"/>
        <w:spacing w:line="480" w:lineRule="auto"/>
        <w:jc w:val="left"/>
        <w:rPr>
          <w:rFonts w:cs="宋体"/>
          <w:kern w:val="0"/>
          <w:sz w:val="28"/>
          <w:szCs w:val="28"/>
        </w:rPr>
      </w:pPr>
      <w:r>
        <w:rPr>
          <w:rFonts w:hint="eastAsia" w:cs="宋体"/>
          <w:kern w:val="0"/>
          <w:sz w:val="28"/>
          <w:szCs w:val="28"/>
        </w:rPr>
        <w:t>九、投标人基本账户信息</w:t>
      </w:r>
    </w:p>
    <w:p w14:paraId="3F2AA070">
      <w:pPr>
        <w:autoSpaceDE w:val="0"/>
        <w:autoSpaceDN w:val="0"/>
        <w:adjustRightInd w:val="0"/>
        <w:spacing w:line="480" w:lineRule="auto"/>
        <w:jc w:val="left"/>
        <w:rPr>
          <w:rFonts w:cs="宋体"/>
          <w:kern w:val="0"/>
          <w:sz w:val="28"/>
          <w:szCs w:val="28"/>
        </w:rPr>
      </w:pPr>
      <w:r>
        <w:rPr>
          <w:rFonts w:hint="eastAsia" w:cs="宋体"/>
          <w:kern w:val="0"/>
          <w:sz w:val="28"/>
          <w:szCs w:val="28"/>
        </w:rPr>
        <w:t>十、投标人提交的其它资料</w:t>
      </w:r>
    </w:p>
    <w:p w14:paraId="6159B3C4">
      <w:pPr>
        <w:autoSpaceDE w:val="0"/>
        <w:autoSpaceDN w:val="0"/>
        <w:adjustRightInd w:val="0"/>
        <w:jc w:val="left"/>
        <w:rPr>
          <w:rFonts w:cs="宋体"/>
          <w:kern w:val="0"/>
          <w:sz w:val="24"/>
          <w:szCs w:val="24"/>
        </w:rPr>
      </w:pPr>
    </w:p>
    <w:p w14:paraId="49524031">
      <w:pPr>
        <w:pStyle w:val="66"/>
        <w:rPr>
          <w:rFonts w:hint="eastAsia"/>
        </w:rPr>
      </w:pPr>
    </w:p>
    <w:p w14:paraId="73757768">
      <w:pPr>
        <w:pStyle w:val="66"/>
        <w:rPr>
          <w:rFonts w:hint="eastAsia"/>
        </w:rPr>
      </w:pPr>
    </w:p>
    <w:p w14:paraId="7C72C84A">
      <w:pPr>
        <w:pStyle w:val="66"/>
        <w:rPr>
          <w:rFonts w:hint="eastAsia"/>
        </w:rPr>
      </w:pPr>
    </w:p>
    <w:p w14:paraId="5A7AB44B">
      <w:pPr>
        <w:pStyle w:val="66"/>
        <w:rPr>
          <w:rFonts w:hint="eastAsia"/>
        </w:rPr>
      </w:pPr>
    </w:p>
    <w:p w14:paraId="3063935D">
      <w:pPr>
        <w:keepNext/>
        <w:keepLines/>
        <w:spacing w:before="120" w:beforeLines="50" w:after="120" w:afterLines="50" w:line="415" w:lineRule="auto"/>
        <w:jc w:val="center"/>
        <w:rPr>
          <w:rFonts w:cs="宋体"/>
          <w:b/>
          <w:bCs/>
          <w:kern w:val="0"/>
          <w:sz w:val="28"/>
          <w:szCs w:val="28"/>
        </w:rPr>
      </w:pPr>
      <w:bookmarkStart w:id="277" w:name="_Toc148459146"/>
      <w:r>
        <w:rPr>
          <w:rFonts w:hint="eastAsia" w:cs="宋体"/>
          <w:b/>
          <w:bCs/>
          <w:kern w:val="0"/>
          <w:sz w:val="28"/>
          <w:szCs w:val="28"/>
        </w:rPr>
        <w:t>一、投 标 函</w:t>
      </w:r>
      <w:bookmarkEnd w:id="277"/>
    </w:p>
    <w:p w14:paraId="771922C2">
      <w:pPr>
        <w:snapToGrid w:val="0"/>
        <w:spacing w:line="400" w:lineRule="exact"/>
        <w:rPr>
          <w:rFonts w:cs="宋体"/>
          <w:sz w:val="24"/>
        </w:rPr>
      </w:pPr>
      <w:r>
        <w:rPr>
          <w:rFonts w:hint="eastAsia" w:cs="宋体"/>
          <w:sz w:val="24"/>
        </w:rPr>
        <w:t>致：</w:t>
      </w:r>
      <w:r>
        <w:rPr>
          <w:rFonts w:hint="eastAsia" w:cs="宋体"/>
          <w:sz w:val="24"/>
          <w:u w:val="single"/>
        </w:rPr>
        <w:t>厦工（三明）重型机器有限公司</w:t>
      </w:r>
    </w:p>
    <w:p w14:paraId="1A5773BA">
      <w:pPr>
        <w:snapToGrid w:val="0"/>
        <w:spacing w:line="400" w:lineRule="exact"/>
        <w:ind w:firstLine="480" w:firstLineChars="200"/>
        <w:rPr>
          <w:rFonts w:cs="宋体"/>
          <w:sz w:val="24"/>
        </w:rPr>
      </w:pPr>
      <w:r>
        <w:rPr>
          <w:rFonts w:hint="eastAsia" w:cs="宋体"/>
          <w:sz w:val="24"/>
        </w:rPr>
        <w:t>根据贵方为</w:t>
      </w:r>
      <w:r>
        <w:rPr>
          <w:rFonts w:hint="eastAsia" w:cs="宋体"/>
          <w:sz w:val="24"/>
          <w:u w:val="single"/>
        </w:rPr>
        <w:t xml:space="preserve">       </w:t>
      </w:r>
      <w:r>
        <w:rPr>
          <w:rFonts w:hint="eastAsia" w:cs="宋体"/>
          <w:sz w:val="24"/>
        </w:rPr>
        <w:t>项目的投标邀请（招标编号：</w:t>
      </w:r>
      <w:r>
        <w:rPr>
          <w:rFonts w:hint="eastAsia" w:cs="宋体"/>
          <w:sz w:val="24"/>
          <w:u w:val="single"/>
        </w:rPr>
        <w:t xml:space="preserve">         </w:t>
      </w:r>
      <w:r>
        <w:rPr>
          <w:rFonts w:hint="eastAsia" w:cs="宋体"/>
          <w:sz w:val="24"/>
        </w:rPr>
        <w:t>），本签字代表</w:t>
      </w:r>
      <w:r>
        <w:rPr>
          <w:rFonts w:hint="eastAsia" w:cs="宋体"/>
          <w:sz w:val="24"/>
          <w:u w:val="single"/>
        </w:rPr>
        <w:t>（全名、职务）</w:t>
      </w:r>
      <w:r>
        <w:rPr>
          <w:rFonts w:hint="eastAsia" w:cs="宋体"/>
          <w:sz w:val="24"/>
        </w:rPr>
        <w:t>经正式授权并代表投标人</w:t>
      </w:r>
      <w:r>
        <w:rPr>
          <w:rFonts w:hint="eastAsia" w:cs="宋体"/>
          <w:sz w:val="24"/>
          <w:u w:val="single"/>
        </w:rPr>
        <w:t>（投标人名称、地址）</w:t>
      </w:r>
      <w:r>
        <w:rPr>
          <w:rFonts w:hint="eastAsia" w:cs="宋体"/>
          <w:sz w:val="24"/>
        </w:rPr>
        <w:t>提交下述文件：</w:t>
      </w:r>
    </w:p>
    <w:p w14:paraId="27FF54CE">
      <w:pPr>
        <w:adjustRightInd w:val="0"/>
        <w:snapToGrid w:val="0"/>
        <w:spacing w:line="400" w:lineRule="exact"/>
        <w:ind w:firstLine="480" w:firstLineChars="200"/>
        <w:rPr>
          <w:rFonts w:cs="宋体"/>
          <w:sz w:val="24"/>
        </w:rPr>
      </w:pPr>
      <w:r>
        <w:rPr>
          <w:rFonts w:hint="eastAsia" w:cs="宋体"/>
          <w:sz w:val="24"/>
        </w:rPr>
        <w:t>1、投标文件内容：</w:t>
      </w:r>
    </w:p>
    <w:p w14:paraId="09651916">
      <w:pPr>
        <w:adjustRightInd w:val="0"/>
        <w:snapToGrid w:val="0"/>
        <w:spacing w:line="400" w:lineRule="exact"/>
        <w:ind w:firstLine="480" w:firstLineChars="200"/>
        <w:rPr>
          <w:rFonts w:cs="宋体"/>
          <w:sz w:val="24"/>
        </w:rPr>
      </w:pPr>
      <w:r>
        <w:rPr>
          <w:rFonts w:hint="eastAsia" w:cs="宋体"/>
          <w:sz w:val="24"/>
        </w:rPr>
        <w:t xml:space="preserve">1.1资格文件 </w:t>
      </w:r>
    </w:p>
    <w:p w14:paraId="068027F4">
      <w:pPr>
        <w:adjustRightInd w:val="0"/>
        <w:snapToGrid w:val="0"/>
        <w:spacing w:line="400" w:lineRule="exact"/>
        <w:ind w:firstLine="480" w:firstLineChars="200"/>
        <w:rPr>
          <w:rFonts w:cs="宋体"/>
          <w:sz w:val="24"/>
        </w:rPr>
      </w:pPr>
      <w:r>
        <w:rPr>
          <w:rFonts w:hint="eastAsia" w:cs="宋体"/>
          <w:sz w:val="24"/>
        </w:rPr>
        <w:t>1.2技术文件</w:t>
      </w:r>
    </w:p>
    <w:p w14:paraId="7D896FA3">
      <w:pPr>
        <w:adjustRightInd w:val="0"/>
        <w:snapToGrid w:val="0"/>
        <w:spacing w:line="400" w:lineRule="exact"/>
        <w:ind w:firstLine="480" w:firstLineChars="200"/>
        <w:rPr>
          <w:rFonts w:cs="宋体"/>
          <w:sz w:val="24"/>
        </w:rPr>
      </w:pPr>
      <w:r>
        <w:rPr>
          <w:rFonts w:hint="eastAsia" w:cs="宋体"/>
          <w:sz w:val="24"/>
        </w:rPr>
        <w:t xml:space="preserve">1.3商务文件         </w:t>
      </w:r>
    </w:p>
    <w:p w14:paraId="1C8CC2AB">
      <w:pPr>
        <w:adjustRightInd w:val="0"/>
        <w:snapToGrid w:val="0"/>
        <w:spacing w:line="400" w:lineRule="exact"/>
        <w:ind w:firstLine="480" w:firstLineChars="200"/>
        <w:rPr>
          <w:rFonts w:cs="宋体"/>
          <w:sz w:val="24"/>
        </w:rPr>
      </w:pPr>
      <w:r>
        <w:rPr>
          <w:rFonts w:hint="eastAsia" w:cs="宋体"/>
          <w:sz w:val="24"/>
        </w:rPr>
        <w:t>1.4以</w:t>
      </w:r>
      <w:r>
        <w:rPr>
          <w:rFonts w:hint="eastAsia" w:cs="宋体"/>
          <w:sz w:val="24"/>
          <w:u w:val="single"/>
        </w:rPr>
        <w:t xml:space="preserve">      </w:t>
      </w:r>
      <w:r>
        <w:rPr>
          <w:rFonts w:hint="eastAsia" w:cs="宋体"/>
          <w:sz w:val="24"/>
        </w:rPr>
        <w:t>方式提供的金额为人民币</w:t>
      </w:r>
      <w:r>
        <w:rPr>
          <w:rFonts w:hint="eastAsia" w:cs="宋体"/>
          <w:sz w:val="24"/>
          <w:u w:val="single"/>
        </w:rPr>
        <w:t xml:space="preserve">       </w:t>
      </w:r>
      <w:r>
        <w:rPr>
          <w:rFonts w:hint="eastAsia" w:cs="宋体"/>
          <w:sz w:val="24"/>
        </w:rPr>
        <w:t>元的投标保证金。</w:t>
      </w:r>
    </w:p>
    <w:p w14:paraId="5F14D6BD">
      <w:pPr>
        <w:adjustRightInd w:val="0"/>
        <w:snapToGrid w:val="0"/>
        <w:spacing w:line="400" w:lineRule="exact"/>
        <w:ind w:firstLine="480" w:firstLineChars="200"/>
        <w:rPr>
          <w:rFonts w:cs="宋体"/>
          <w:sz w:val="24"/>
        </w:rPr>
      </w:pPr>
      <w:r>
        <w:rPr>
          <w:rFonts w:hint="eastAsia" w:cs="宋体"/>
          <w:sz w:val="24"/>
        </w:rPr>
        <w:t>据此函，签字代表宣布同意如下：</w:t>
      </w:r>
    </w:p>
    <w:p w14:paraId="3D7EE87A">
      <w:pPr>
        <w:adjustRightInd w:val="0"/>
        <w:snapToGrid w:val="0"/>
        <w:spacing w:line="400" w:lineRule="exact"/>
        <w:ind w:firstLine="480" w:firstLineChars="200"/>
        <w:rPr>
          <w:rFonts w:cs="宋体"/>
          <w:sz w:val="24"/>
        </w:rPr>
      </w:pPr>
      <w:r>
        <w:rPr>
          <w:rFonts w:hint="eastAsia" w:cs="宋体"/>
          <w:sz w:val="24"/>
        </w:rPr>
        <w:t>1.按本投标文件开标一览表中的价格进行报价。</w:t>
      </w:r>
    </w:p>
    <w:p w14:paraId="48A965AA">
      <w:pPr>
        <w:adjustRightInd w:val="0"/>
        <w:snapToGrid w:val="0"/>
        <w:spacing w:line="400" w:lineRule="exact"/>
        <w:ind w:firstLine="480" w:firstLineChars="200"/>
        <w:rPr>
          <w:rFonts w:cs="宋体"/>
          <w:sz w:val="24"/>
        </w:rPr>
      </w:pPr>
      <w:r>
        <w:rPr>
          <w:rFonts w:hint="eastAsia" w:cs="宋体"/>
          <w:sz w:val="24"/>
        </w:rPr>
        <w:t>2.投标人已详细审查全部招标文件，包括修改文件（如有的话）和有关附件，将自行承担因对全部招标文件理解不正确或误解而产生的相应后果。</w:t>
      </w:r>
    </w:p>
    <w:p w14:paraId="25AE0054">
      <w:pPr>
        <w:adjustRightInd w:val="0"/>
        <w:snapToGrid w:val="0"/>
        <w:spacing w:line="400" w:lineRule="exact"/>
        <w:ind w:firstLine="480" w:firstLineChars="200"/>
        <w:rPr>
          <w:rFonts w:cs="宋体"/>
          <w:sz w:val="24"/>
        </w:rPr>
      </w:pPr>
      <w:r>
        <w:rPr>
          <w:rFonts w:hint="eastAsia" w:cs="宋体"/>
          <w:sz w:val="24"/>
        </w:rPr>
        <w:t>3.投标人保证遵守招标文件的全部规定，投标人所提交的材料中所含的信息均为真实、准确、完整，且不具有任何误导性。</w:t>
      </w:r>
    </w:p>
    <w:p w14:paraId="1F4F5AA1">
      <w:pPr>
        <w:adjustRightInd w:val="0"/>
        <w:snapToGrid w:val="0"/>
        <w:spacing w:line="400" w:lineRule="exact"/>
        <w:ind w:firstLine="480" w:firstLineChars="200"/>
        <w:rPr>
          <w:rFonts w:cs="宋体"/>
          <w:sz w:val="24"/>
        </w:rPr>
      </w:pPr>
      <w:r>
        <w:rPr>
          <w:rFonts w:hint="eastAsia" w:cs="宋体"/>
          <w:sz w:val="24"/>
        </w:rPr>
        <w:t>4.投标人将按招标文件的规定，及时签订合同并履行合同责任和义务。</w:t>
      </w:r>
    </w:p>
    <w:p w14:paraId="42548A3C">
      <w:pPr>
        <w:adjustRightInd w:val="0"/>
        <w:snapToGrid w:val="0"/>
        <w:spacing w:line="400" w:lineRule="exact"/>
        <w:ind w:firstLine="480" w:firstLineChars="200"/>
        <w:rPr>
          <w:rFonts w:cs="宋体"/>
          <w:sz w:val="24"/>
        </w:rPr>
      </w:pPr>
      <w:r>
        <w:rPr>
          <w:rFonts w:hint="eastAsia" w:cs="宋体"/>
          <w:sz w:val="24"/>
        </w:rPr>
        <w:t>5.本投标文件自开标日起投标有效期为：在招标文件所规定的期限内保持有效。</w:t>
      </w:r>
    </w:p>
    <w:p w14:paraId="4047FF08">
      <w:pPr>
        <w:adjustRightInd w:val="0"/>
        <w:snapToGrid w:val="0"/>
        <w:spacing w:line="400" w:lineRule="exact"/>
        <w:ind w:firstLine="480" w:firstLineChars="200"/>
        <w:rPr>
          <w:rFonts w:cs="宋体"/>
          <w:sz w:val="24"/>
        </w:rPr>
      </w:pPr>
      <w:r>
        <w:rPr>
          <w:rFonts w:hint="eastAsia" w:cs="宋体"/>
          <w:sz w:val="24"/>
        </w:rPr>
        <w:t>6.如果发生招标文件第二章投标人须知第12条所述情况，则同意招标代理机构不予退还投标保证金。</w:t>
      </w:r>
    </w:p>
    <w:p w14:paraId="250FAA94">
      <w:pPr>
        <w:adjustRightInd w:val="0"/>
        <w:snapToGrid w:val="0"/>
        <w:spacing w:line="400" w:lineRule="exact"/>
        <w:ind w:firstLine="480" w:firstLineChars="200"/>
        <w:rPr>
          <w:rFonts w:cs="宋体"/>
          <w:sz w:val="24"/>
        </w:rPr>
      </w:pPr>
      <w:r>
        <w:rPr>
          <w:rFonts w:hint="eastAsia" w:cs="宋体"/>
          <w:sz w:val="24"/>
        </w:rPr>
        <w:t>7.投标人同意按照招标采购单位要求提供与其投标有关的一切数据或资料，完全理解贵方不一定要接受最低的报价或收到的任何投标。</w:t>
      </w:r>
    </w:p>
    <w:p w14:paraId="650FACFB">
      <w:pPr>
        <w:adjustRightInd w:val="0"/>
        <w:snapToGrid w:val="0"/>
        <w:spacing w:line="400" w:lineRule="exact"/>
        <w:ind w:firstLine="480" w:firstLineChars="200"/>
        <w:rPr>
          <w:rFonts w:cs="宋体"/>
          <w:sz w:val="24"/>
        </w:rPr>
      </w:pPr>
      <w:r>
        <w:rPr>
          <w:rFonts w:hint="eastAsia" w:cs="宋体"/>
          <w:sz w:val="24"/>
        </w:rPr>
        <w:t>8.除投标人已在投标文件中明示差异的条款外，其余条款均视为投标人接受招标文件的条款（但招标文件有明确要求投标人做出承诺或说明的条款除外）。</w:t>
      </w:r>
    </w:p>
    <w:p w14:paraId="256C0263">
      <w:pPr>
        <w:autoSpaceDE w:val="0"/>
        <w:autoSpaceDN w:val="0"/>
        <w:adjustRightInd w:val="0"/>
        <w:snapToGrid w:val="0"/>
        <w:spacing w:line="400" w:lineRule="exact"/>
        <w:ind w:firstLine="480" w:firstLineChars="200"/>
        <w:jc w:val="left"/>
        <w:rPr>
          <w:rFonts w:cs="宋体"/>
          <w:kern w:val="0"/>
          <w:sz w:val="24"/>
          <w:szCs w:val="24"/>
        </w:rPr>
      </w:pPr>
      <w:r>
        <w:rPr>
          <w:rFonts w:hint="eastAsia" w:cs="宋体"/>
          <w:kern w:val="0"/>
          <w:sz w:val="24"/>
          <w:szCs w:val="24"/>
        </w:rPr>
        <w:t>9．</w:t>
      </w:r>
      <w:r>
        <w:rPr>
          <w:rFonts w:hint="eastAsia" w:cs="宋体"/>
          <w:kern w:val="0"/>
          <w:sz w:val="24"/>
          <w:szCs w:val="24"/>
          <w:u w:val="single"/>
        </w:rPr>
        <w:t xml:space="preserve">                                           </w:t>
      </w:r>
      <w:r>
        <w:rPr>
          <w:rFonts w:hint="eastAsia" w:cs="宋体"/>
          <w:kern w:val="0"/>
          <w:sz w:val="24"/>
          <w:szCs w:val="24"/>
        </w:rPr>
        <w:t xml:space="preserve"> （其他补充说明）。</w:t>
      </w:r>
    </w:p>
    <w:p w14:paraId="3BA44457">
      <w:pPr>
        <w:autoSpaceDE w:val="0"/>
        <w:autoSpaceDN w:val="0"/>
        <w:adjustRightInd w:val="0"/>
        <w:snapToGrid w:val="0"/>
        <w:spacing w:line="400" w:lineRule="exact"/>
        <w:ind w:firstLine="3000" w:firstLineChars="1250"/>
        <w:jc w:val="left"/>
        <w:rPr>
          <w:rFonts w:cs="宋体"/>
          <w:kern w:val="0"/>
          <w:sz w:val="24"/>
          <w:szCs w:val="24"/>
        </w:rPr>
      </w:pPr>
      <w:r>
        <w:rPr>
          <w:rFonts w:hint="eastAsia" w:cs="宋体"/>
          <w:kern w:val="0"/>
          <w:sz w:val="24"/>
          <w:szCs w:val="24"/>
        </w:rPr>
        <w:t>投标人：</w:t>
      </w:r>
      <w:r>
        <w:rPr>
          <w:rFonts w:hint="eastAsia" w:cs="宋体"/>
          <w:kern w:val="0"/>
          <w:sz w:val="24"/>
          <w:szCs w:val="24"/>
          <w:u w:val="single"/>
        </w:rPr>
        <w:t xml:space="preserve">                         </w:t>
      </w:r>
      <w:r>
        <w:rPr>
          <w:rFonts w:hint="eastAsia" w:cs="宋体"/>
          <w:kern w:val="0"/>
          <w:sz w:val="24"/>
          <w:szCs w:val="24"/>
        </w:rPr>
        <w:t>（盖单位公章）</w:t>
      </w:r>
    </w:p>
    <w:p w14:paraId="27DE962C">
      <w:pPr>
        <w:autoSpaceDE w:val="0"/>
        <w:autoSpaceDN w:val="0"/>
        <w:adjustRightInd w:val="0"/>
        <w:snapToGrid w:val="0"/>
        <w:spacing w:line="400" w:lineRule="exact"/>
        <w:ind w:firstLine="3000" w:firstLineChars="1250"/>
        <w:jc w:val="left"/>
        <w:rPr>
          <w:rFonts w:cs="宋体"/>
          <w:kern w:val="0"/>
          <w:sz w:val="24"/>
          <w:szCs w:val="24"/>
        </w:rPr>
      </w:pPr>
      <w:r>
        <w:rPr>
          <w:rFonts w:hint="eastAsia" w:cs="宋体"/>
          <w:kern w:val="0"/>
          <w:sz w:val="24"/>
          <w:szCs w:val="24"/>
        </w:rPr>
        <w:t>法定代表人或其委托代理人：</w:t>
      </w:r>
      <w:r>
        <w:rPr>
          <w:rFonts w:hint="eastAsia" w:cs="宋体"/>
          <w:kern w:val="0"/>
          <w:sz w:val="24"/>
          <w:szCs w:val="24"/>
          <w:u w:val="single"/>
        </w:rPr>
        <w:t xml:space="preserve">       </w:t>
      </w:r>
      <w:r>
        <w:rPr>
          <w:rFonts w:hint="eastAsia" w:cs="宋体"/>
          <w:kern w:val="0"/>
          <w:sz w:val="24"/>
          <w:szCs w:val="24"/>
        </w:rPr>
        <w:t>（签字或盖章）</w:t>
      </w:r>
    </w:p>
    <w:p w14:paraId="2133E449">
      <w:pPr>
        <w:autoSpaceDE w:val="0"/>
        <w:autoSpaceDN w:val="0"/>
        <w:adjustRightInd w:val="0"/>
        <w:snapToGrid w:val="0"/>
        <w:spacing w:line="400" w:lineRule="exact"/>
        <w:ind w:firstLine="3000" w:firstLineChars="1250"/>
        <w:rPr>
          <w:rFonts w:cs="宋体"/>
          <w:sz w:val="24"/>
          <w:szCs w:val="24"/>
        </w:rPr>
      </w:pPr>
      <w:r>
        <w:rPr>
          <w:rFonts w:hint="eastAsia" w:cs="宋体"/>
          <w:sz w:val="24"/>
          <w:szCs w:val="24"/>
        </w:rPr>
        <w:t>法定代表人或其委托代理人手机号码：</w:t>
      </w:r>
      <w:r>
        <w:rPr>
          <w:rFonts w:hint="eastAsia" w:cs="宋体"/>
          <w:sz w:val="24"/>
          <w:szCs w:val="24"/>
          <w:u w:val="single"/>
        </w:rPr>
        <w:t xml:space="preserve">               </w:t>
      </w:r>
    </w:p>
    <w:p w14:paraId="5EC9973D">
      <w:pPr>
        <w:autoSpaceDE w:val="0"/>
        <w:autoSpaceDN w:val="0"/>
        <w:adjustRightInd w:val="0"/>
        <w:snapToGrid w:val="0"/>
        <w:spacing w:line="400" w:lineRule="exact"/>
        <w:ind w:firstLine="3000" w:firstLineChars="1250"/>
        <w:jc w:val="left"/>
        <w:rPr>
          <w:rFonts w:cs="宋体"/>
          <w:kern w:val="0"/>
          <w:sz w:val="24"/>
          <w:szCs w:val="24"/>
          <w:u w:val="single"/>
        </w:rPr>
      </w:pPr>
      <w:r>
        <w:rPr>
          <w:rFonts w:hint="eastAsia" w:cs="宋体"/>
          <w:kern w:val="0"/>
          <w:sz w:val="24"/>
          <w:szCs w:val="24"/>
        </w:rPr>
        <w:t>地址：</w:t>
      </w:r>
      <w:r>
        <w:rPr>
          <w:rFonts w:hint="eastAsia" w:cs="宋体"/>
          <w:kern w:val="0"/>
          <w:sz w:val="24"/>
          <w:szCs w:val="24"/>
          <w:u w:val="single"/>
        </w:rPr>
        <w:t xml:space="preserve">                                           </w:t>
      </w:r>
    </w:p>
    <w:p w14:paraId="76BBED60">
      <w:pPr>
        <w:autoSpaceDE w:val="0"/>
        <w:autoSpaceDN w:val="0"/>
        <w:adjustRightInd w:val="0"/>
        <w:snapToGrid w:val="0"/>
        <w:spacing w:line="400" w:lineRule="exact"/>
        <w:ind w:firstLine="3000" w:firstLineChars="1250"/>
        <w:jc w:val="left"/>
        <w:rPr>
          <w:rFonts w:cs="宋体"/>
          <w:kern w:val="0"/>
          <w:sz w:val="24"/>
          <w:szCs w:val="24"/>
          <w:u w:val="single"/>
        </w:rPr>
      </w:pPr>
      <w:r>
        <w:rPr>
          <w:rFonts w:hint="eastAsia" w:cs="宋体"/>
          <w:kern w:val="0"/>
          <w:sz w:val="24"/>
          <w:szCs w:val="24"/>
        </w:rPr>
        <w:t>传真：</w:t>
      </w:r>
      <w:r>
        <w:rPr>
          <w:rFonts w:hint="eastAsia" w:cs="宋体"/>
          <w:kern w:val="0"/>
          <w:sz w:val="24"/>
          <w:szCs w:val="24"/>
          <w:u w:val="single"/>
        </w:rPr>
        <w:t xml:space="preserve">                                           </w:t>
      </w:r>
    </w:p>
    <w:p w14:paraId="228E837F">
      <w:pPr>
        <w:autoSpaceDE w:val="0"/>
        <w:autoSpaceDN w:val="0"/>
        <w:adjustRightInd w:val="0"/>
        <w:snapToGrid w:val="0"/>
        <w:spacing w:line="400" w:lineRule="exact"/>
        <w:ind w:firstLine="3000" w:firstLineChars="1250"/>
        <w:jc w:val="left"/>
        <w:rPr>
          <w:rFonts w:cs="宋体"/>
          <w:kern w:val="0"/>
          <w:sz w:val="24"/>
          <w:szCs w:val="24"/>
        </w:rPr>
      </w:pPr>
      <w:r>
        <w:rPr>
          <w:rFonts w:hint="eastAsia" w:cs="宋体"/>
          <w:kern w:val="0"/>
          <w:sz w:val="24"/>
          <w:szCs w:val="24"/>
        </w:rPr>
        <w:t>邮政编码：</w:t>
      </w:r>
      <w:r>
        <w:rPr>
          <w:rFonts w:hint="eastAsia" w:cs="宋体"/>
          <w:kern w:val="0"/>
          <w:sz w:val="24"/>
          <w:szCs w:val="24"/>
          <w:u w:val="single"/>
        </w:rPr>
        <w:t xml:space="preserve">                                       </w:t>
      </w:r>
    </w:p>
    <w:p w14:paraId="50577049">
      <w:pPr>
        <w:snapToGrid w:val="0"/>
        <w:spacing w:line="400" w:lineRule="exact"/>
        <w:ind w:firstLine="480" w:firstLineChars="200"/>
        <w:jc w:val="center"/>
        <w:rPr>
          <w:rFonts w:cs="宋体"/>
          <w:sz w:val="24"/>
        </w:rPr>
      </w:pPr>
      <w:r>
        <w:rPr>
          <w:rFonts w:hint="eastAsia" w:cs="宋体"/>
          <w:sz w:val="24"/>
          <w:szCs w:val="24"/>
          <w:lang w:bidi="zh-CN"/>
        </w:rPr>
        <w:t xml:space="preserve">                                         </w:t>
      </w: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457B6F7E">
      <w:pPr>
        <w:pStyle w:val="3"/>
        <w:rPr>
          <w:rFonts w:ascii="Times New Roman" w:hAnsi="Times New Roman" w:eastAsia="宋体" w:cs="宋体"/>
          <w:kern w:val="0"/>
          <w:sz w:val="28"/>
          <w:szCs w:val="28"/>
        </w:rPr>
      </w:pPr>
      <w:bookmarkStart w:id="278" w:name="_Toc148459147"/>
    </w:p>
    <w:p w14:paraId="2B711FD9"/>
    <w:p w14:paraId="2DDF90F7">
      <w:pPr>
        <w:keepNext/>
        <w:keepLines/>
        <w:spacing w:before="120" w:beforeLines="50" w:after="120" w:afterLines="50" w:line="415" w:lineRule="auto"/>
        <w:jc w:val="center"/>
        <w:rPr>
          <w:rFonts w:cs="宋体"/>
          <w:b/>
          <w:bCs/>
          <w:kern w:val="0"/>
          <w:sz w:val="28"/>
          <w:szCs w:val="28"/>
        </w:rPr>
      </w:pPr>
    </w:p>
    <w:p w14:paraId="74C911FE">
      <w:pPr>
        <w:rPr>
          <w:rFonts w:cs="宋体"/>
          <w:b/>
          <w:bCs/>
          <w:kern w:val="0"/>
          <w:sz w:val="28"/>
          <w:szCs w:val="28"/>
        </w:rPr>
      </w:pPr>
      <w:r>
        <w:rPr>
          <w:rFonts w:hint="eastAsia" w:cs="宋体"/>
          <w:b/>
          <w:bCs/>
          <w:kern w:val="0"/>
          <w:sz w:val="28"/>
          <w:szCs w:val="28"/>
        </w:rPr>
        <w:br w:type="page"/>
      </w:r>
    </w:p>
    <w:p w14:paraId="60C43B4D">
      <w:pPr>
        <w:keepNext/>
        <w:keepLines/>
        <w:spacing w:before="120" w:beforeLines="50" w:after="120" w:afterLines="50" w:line="415" w:lineRule="auto"/>
        <w:jc w:val="center"/>
        <w:rPr>
          <w:rFonts w:cs="宋体"/>
          <w:b/>
          <w:bCs/>
          <w:kern w:val="0"/>
          <w:sz w:val="28"/>
          <w:szCs w:val="28"/>
        </w:rPr>
      </w:pPr>
      <w:r>
        <w:rPr>
          <w:rFonts w:hint="eastAsia" w:cs="宋体"/>
          <w:b/>
          <w:bCs/>
          <w:kern w:val="0"/>
          <w:sz w:val="28"/>
          <w:szCs w:val="28"/>
        </w:rPr>
        <w:t>二、开标一览表</w:t>
      </w:r>
      <w:bookmarkEnd w:id="278"/>
    </w:p>
    <w:p w14:paraId="6323E6E4">
      <w:pPr>
        <w:spacing w:line="360" w:lineRule="auto"/>
        <w:rPr>
          <w:rFonts w:cs="宋体"/>
          <w:sz w:val="24"/>
          <w:szCs w:val="24"/>
        </w:rPr>
      </w:pPr>
      <w:r>
        <w:rPr>
          <w:rFonts w:hint="eastAsia" w:cs="宋体"/>
          <w:sz w:val="24"/>
          <w:szCs w:val="24"/>
        </w:rPr>
        <w:t>招标编号：</w:t>
      </w:r>
      <w:r>
        <w:rPr>
          <w:rFonts w:hint="eastAsia" w:cs="宋体"/>
          <w:sz w:val="24"/>
          <w:szCs w:val="24"/>
          <w:u w:val="single"/>
        </w:rPr>
        <w:t xml:space="preserve">                       </w:t>
      </w:r>
      <w:r>
        <w:rPr>
          <w:rFonts w:hint="eastAsia" w:cs="宋体"/>
          <w:sz w:val="24"/>
          <w:szCs w:val="24"/>
        </w:rPr>
        <w:t xml:space="preserve">                                                </w:t>
      </w:r>
    </w:p>
    <w:p w14:paraId="735DA492">
      <w:pPr>
        <w:spacing w:line="360" w:lineRule="auto"/>
        <w:rPr>
          <w:rFonts w:cs="宋体"/>
          <w:sz w:val="24"/>
          <w:szCs w:val="24"/>
        </w:rPr>
      </w:pPr>
      <w:r>
        <w:rPr>
          <w:rFonts w:hint="eastAsia" w:cs="宋体"/>
          <w:sz w:val="24"/>
          <w:szCs w:val="24"/>
        </w:rPr>
        <w:t>投标货币：</w:t>
      </w:r>
      <w:r>
        <w:rPr>
          <w:rFonts w:hint="eastAsia" w:cs="宋体"/>
          <w:sz w:val="24"/>
          <w:szCs w:val="24"/>
          <w:u w:val="single"/>
        </w:rPr>
        <w:t xml:space="preserve">                       </w:t>
      </w:r>
    </w:p>
    <w:tbl>
      <w:tblPr>
        <w:tblStyle w:val="28"/>
        <w:tblW w:w="914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84"/>
        <w:gridCol w:w="1164"/>
        <w:gridCol w:w="2034"/>
        <w:gridCol w:w="1953"/>
        <w:gridCol w:w="1812"/>
      </w:tblGrid>
      <w:tr w14:paraId="4568A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84" w:type="dxa"/>
            <w:vAlign w:val="center"/>
          </w:tcPr>
          <w:p w14:paraId="6A7F7CE2">
            <w:pPr>
              <w:jc w:val="center"/>
              <w:rPr>
                <w:rFonts w:cs="宋体"/>
                <w:sz w:val="24"/>
                <w:szCs w:val="24"/>
              </w:rPr>
            </w:pPr>
            <w:r>
              <w:rPr>
                <w:rFonts w:hint="eastAsia" w:cs="宋体"/>
                <w:sz w:val="24"/>
                <w:szCs w:val="24"/>
              </w:rPr>
              <w:t>货物名称</w:t>
            </w:r>
          </w:p>
        </w:tc>
        <w:tc>
          <w:tcPr>
            <w:tcW w:w="1164" w:type="dxa"/>
            <w:vAlign w:val="center"/>
          </w:tcPr>
          <w:p w14:paraId="37E6D014">
            <w:pPr>
              <w:jc w:val="center"/>
              <w:rPr>
                <w:rFonts w:cs="宋体"/>
                <w:sz w:val="24"/>
                <w:szCs w:val="24"/>
              </w:rPr>
            </w:pPr>
            <w:r>
              <w:rPr>
                <w:rFonts w:hint="eastAsia" w:cs="宋体"/>
                <w:sz w:val="24"/>
                <w:szCs w:val="24"/>
              </w:rPr>
              <w:t>数量</w:t>
            </w:r>
          </w:p>
        </w:tc>
        <w:tc>
          <w:tcPr>
            <w:tcW w:w="2034" w:type="dxa"/>
            <w:tcBorders>
              <w:right w:val="single" w:color="auto" w:sz="4" w:space="0"/>
            </w:tcBorders>
            <w:vAlign w:val="center"/>
          </w:tcPr>
          <w:p w14:paraId="2CC97146">
            <w:pPr>
              <w:adjustRightInd w:val="0"/>
              <w:spacing w:line="360" w:lineRule="atLeast"/>
              <w:jc w:val="center"/>
              <w:textAlignment w:val="baseline"/>
              <w:rPr>
                <w:rFonts w:cs="宋体"/>
                <w:kern w:val="0"/>
                <w:sz w:val="24"/>
                <w:szCs w:val="24"/>
              </w:rPr>
            </w:pPr>
            <w:r>
              <w:rPr>
                <w:rFonts w:hint="eastAsia" w:cs="宋体"/>
                <w:kern w:val="0"/>
                <w:sz w:val="24"/>
                <w:szCs w:val="24"/>
              </w:rPr>
              <w:t>投标总价</w:t>
            </w:r>
          </w:p>
          <w:p w14:paraId="470B5462">
            <w:pPr>
              <w:adjustRightInd w:val="0"/>
              <w:spacing w:line="360" w:lineRule="atLeast"/>
              <w:jc w:val="center"/>
              <w:textAlignment w:val="baseline"/>
              <w:rPr>
                <w:rFonts w:cs="宋体"/>
                <w:kern w:val="0"/>
                <w:sz w:val="24"/>
                <w:szCs w:val="24"/>
              </w:rPr>
            </w:pPr>
            <w:r>
              <w:rPr>
                <w:rFonts w:hint="eastAsia" w:cs="宋体"/>
                <w:kern w:val="0"/>
                <w:sz w:val="24"/>
                <w:szCs w:val="24"/>
              </w:rPr>
              <w:t>（含税/元）</w:t>
            </w:r>
          </w:p>
        </w:tc>
        <w:tc>
          <w:tcPr>
            <w:tcW w:w="1953" w:type="dxa"/>
            <w:tcBorders>
              <w:left w:val="single" w:color="auto" w:sz="4" w:space="0"/>
            </w:tcBorders>
            <w:vAlign w:val="center"/>
          </w:tcPr>
          <w:p w14:paraId="18B11828">
            <w:pPr>
              <w:adjustRightInd w:val="0"/>
              <w:spacing w:line="360" w:lineRule="atLeast"/>
              <w:jc w:val="center"/>
              <w:textAlignment w:val="baseline"/>
              <w:rPr>
                <w:rFonts w:cs="宋体"/>
                <w:kern w:val="0"/>
                <w:sz w:val="24"/>
                <w:szCs w:val="24"/>
              </w:rPr>
            </w:pPr>
            <w:r>
              <w:rPr>
                <w:rFonts w:hint="eastAsia" w:cs="宋体"/>
                <w:kern w:val="0"/>
                <w:sz w:val="24"/>
                <w:szCs w:val="24"/>
              </w:rPr>
              <w:t>交货期</w:t>
            </w:r>
          </w:p>
        </w:tc>
        <w:tc>
          <w:tcPr>
            <w:tcW w:w="1812" w:type="dxa"/>
            <w:vAlign w:val="center"/>
          </w:tcPr>
          <w:p w14:paraId="5CF8873A">
            <w:pPr>
              <w:adjustRightInd w:val="0"/>
              <w:spacing w:line="360" w:lineRule="atLeast"/>
              <w:jc w:val="center"/>
              <w:textAlignment w:val="baseline"/>
              <w:rPr>
                <w:rFonts w:cs="宋体"/>
                <w:kern w:val="0"/>
                <w:sz w:val="24"/>
                <w:szCs w:val="24"/>
              </w:rPr>
            </w:pPr>
            <w:r>
              <w:rPr>
                <w:rFonts w:hint="eastAsia" w:cs="宋体"/>
                <w:kern w:val="0"/>
                <w:sz w:val="24"/>
                <w:szCs w:val="24"/>
              </w:rPr>
              <w:t>质保期</w:t>
            </w:r>
          </w:p>
        </w:tc>
      </w:tr>
      <w:tr w14:paraId="4FE8ED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14" w:hRule="atLeast"/>
          <w:jc w:val="center"/>
        </w:trPr>
        <w:tc>
          <w:tcPr>
            <w:tcW w:w="2184" w:type="dxa"/>
            <w:vAlign w:val="center"/>
          </w:tcPr>
          <w:p w14:paraId="5BE693CD">
            <w:pPr>
              <w:jc w:val="center"/>
              <w:rPr>
                <w:rFonts w:cs="宋体"/>
                <w:sz w:val="24"/>
                <w:szCs w:val="24"/>
              </w:rPr>
            </w:pPr>
          </w:p>
        </w:tc>
        <w:tc>
          <w:tcPr>
            <w:tcW w:w="1164" w:type="dxa"/>
            <w:vAlign w:val="center"/>
          </w:tcPr>
          <w:p w14:paraId="37C10CB8">
            <w:pPr>
              <w:jc w:val="center"/>
              <w:rPr>
                <w:rFonts w:cs="宋体"/>
                <w:sz w:val="24"/>
                <w:szCs w:val="24"/>
              </w:rPr>
            </w:pPr>
          </w:p>
        </w:tc>
        <w:tc>
          <w:tcPr>
            <w:tcW w:w="2034" w:type="dxa"/>
            <w:tcBorders>
              <w:right w:val="single" w:color="auto" w:sz="4" w:space="0"/>
            </w:tcBorders>
          </w:tcPr>
          <w:p w14:paraId="0411C23E">
            <w:pPr>
              <w:rPr>
                <w:rFonts w:cs="宋体"/>
                <w:sz w:val="24"/>
                <w:szCs w:val="24"/>
              </w:rPr>
            </w:pPr>
          </w:p>
        </w:tc>
        <w:tc>
          <w:tcPr>
            <w:tcW w:w="1953" w:type="dxa"/>
            <w:tcBorders>
              <w:left w:val="single" w:color="auto" w:sz="4" w:space="0"/>
            </w:tcBorders>
          </w:tcPr>
          <w:p w14:paraId="38557E5E">
            <w:pPr>
              <w:rPr>
                <w:rFonts w:cs="宋体"/>
                <w:sz w:val="24"/>
                <w:szCs w:val="24"/>
              </w:rPr>
            </w:pPr>
          </w:p>
        </w:tc>
        <w:tc>
          <w:tcPr>
            <w:tcW w:w="1812" w:type="dxa"/>
          </w:tcPr>
          <w:p w14:paraId="42DDBEAE">
            <w:pPr>
              <w:rPr>
                <w:rFonts w:cs="宋体"/>
                <w:sz w:val="24"/>
                <w:szCs w:val="24"/>
              </w:rPr>
            </w:pPr>
          </w:p>
        </w:tc>
      </w:tr>
      <w:tr w14:paraId="629044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01" w:hRule="atLeast"/>
          <w:jc w:val="center"/>
        </w:trPr>
        <w:tc>
          <w:tcPr>
            <w:tcW w:w="9147" w:type="dxa"/>
            <w:gridSpan w:val="5"/>
            <w:vAlign w:val="center"/>
          </w:tcPr>
          <w:p w14:paraId="35EF34D6">
            <w:pPr>
              <w:spacing w:line="360" w:lineRule="auto"/>
              <w:rPr>
                <w:rFonts w:cs="宋体"/>
                <w:sz w:val="24"/>
                <w:szCs w:val="24"/>
                <w:u w:val="single"/>
              </w:rPr>
            </w:pPr>
            <w:r>
              <w:rPr>
                <w:rFonts w:hint="eastAsia" w:cs="宋体"/>
                <w:sz w:val="24"/>
                <w:szCs w:val="24"/>
              </w:rPr>
              <w:t>投标总价（含税）： 小写金额：</w:t>
            </w:r>
            <w:r>
              <w:rPr>
                <w:rFonts w:hint="eastAsia" w:cs="宋体"/>
                <w:sz w:val="24"/>
                <w:szCs w:val="24"/>
                <w:u w:val="single"/>
              </w:rPr>
              <w:t xml:space="preserve">           </w:t>
            </w:r>
          </w:p>
          <w:p w14:paraId="34CAC910">
            <w:pPr>
              <w:spacing w:line="360" w:lineRule="auto"/>
              <w:ind w:firstLine="2160" w:firstLineChars="900"/>
              <w:rPr>
                <w:rFonts w:cs="宋体"/>
                <w:sz w:val="24"/>
                <w:szCs w:val="24"/>
                <w:u w:val="single"/>
              </w:rPr>
            </w:pPr>
            <w:r>
              <w:rPr>
                <w:rFonts w:hint="eastAsia" w:cs="宋体"/>
                <w:sz w:val="24"/>
                <w:szCs w:val="24"/>
              </w:rPr>
              <w:t>大写金额：</w:t>
            </w:r>
            <w:r>
              <w:rPr>
                <w:rFonts w:hint="eastAsia" w:cs="宋体"/>
                <w:sz w:val="24"/>
                <w:szCs w:val="24"/>
                <w:u w:val="single"/>
              </w:rPr>
              <w:t xml:space="preserve">           </w:t>
            </w:r>
          </w:p>
        </w:tc>
      </w:tr>
    </w:tbl>
    <w:p w14:paraId="538F8D60">
      <w:pPr>
        <w:jc w:val="left"/>
        <w:rPr>
          <w:rFonts w:cs="宋体"/>
          <w:sz w:val="24"/>
          <w:szCs w:val="24"/>
        </w:rPr>
      </w:pPr>
    </w:p>
    <w:p w14:paraId="452F6FDF">
      <w:pPr>
        <w:autoSpaceDE w:val="0"/>
        <w:autoSpaceDN w:val="0"/>
        <w:adjustRightInd w:val="0"/>
        <w:spacing w:line="480" w:lineRule="auto"/>
        <w:jc w:val="right"/>
        <w:rPr>
          <w:rFonts w:cs="宋体"/>
          <w:sz w:val="24"/>
          <w:szCs w:val="24"/>
        </w:rPr>
      </w:pPr>
    </w:p>
    <w:p w14:paraId="47E3893D">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7F14D115">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5CA6105B">
      <w:pPr>
        <w:autoSpaceDE w:val="0"/>
        <w:autoSpaceDN w:val="0"/>
        <w:adjustRightIn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69CE6B77">
      <w:pPr>
        <w:autoSpaceDE w:val="0"/>
        <w:autoSpaceDN w:val="0"/>
        <w:adjustRightInd w:val="0"/>
        <w:spacing w:line="300" w:lineRule="auto"/>
        <w:jc w:val="center"/>
        <w:rPr>
          <w:rFonts w:cs="宋体"/>
          <w:b/>
          <w:bCs/>
          <w:sz w:val="28"/>
          <w:szCs w:val="32"/>
        </w:rPr>
      </w:pPr>
    </w:p>
    <w:p w14:paraId="2EFDB077">
      <w:pPr>
        <w:autoSpaceDE w:val="0"/>
        <w:autoSpaceDN w:val="0"/>
        <w:adjustRightInd w:val="0"/>
        <w:spacing w:line="300" w:lineRule="auto"/>
        <w:jc w:val="center"/>
        <w:rPr>
          <w:rFonts w:cs="宋体"/>
          <w:b/>
          <w:bCs/>
          <w:sz w:val="28"/>
          <w:szCs w:val="32"/>
        </w:rPr>
      </w:pPr>
    </w:p>
    <w:p w14:paraId="55677ED9">
      <w:pPr>
        <w:rPr>
          <w:rFonts w:cs="宋体"/>
          <w:b/>
          <w:bCs/>
          <w:kern w:val="0"/>
          <w:sz w:val="28"/>
          <w:szCs w:val="28"/>
        </w:rPr>
      </w:pPr>
      <w:bookmarkStart w:id="279" w:name="_Toc148459148"/>
      <w:r>
        <w:rPr>
          <w:rFonts w:hint="eastAsia" w:cs="宋体"/>
          <w:b/>
          <w:bCs/>
          <w:kern w:val="0"/>
          <w:sz w:val="28"/>
          <w:szCs w:val="28"/>
        </w:rPr>
        <w:br w:type="page"/>
      </w:r>
    </w:p>
    <w:p w14:paraId="7E7A3ED1">
      <w:pPr>
        <w:keepNext/>
        <w:keepLines/>
        <w:spacing w:before="120" w:beforeLines="50" w:after="120" w:afterLines="50" w:line="415" w:lineRule="auto"/>
        <w:jc w:val="center"/>
        <w:rPr>
          <w:rFonts w:cs="宋体"/>
          <w:b/>
          <w:bCs/>
          <w:kern w:val="0"/>
          <w:sz w:val="28"/>
          <w:szCs w:val="28"/>
        </w:rPr>
      </w:pPr>
      <w:r>
        <w:rPr>
          <w:rFonts w:hint="eastAsia" w:cs="宋体"/>
          <w:b/>
          <w:bCs/>
          <w:kern w:val="0"/>
          <w:sz w:val="28"/>
          <w:szCs w:val="28"/>
        </w:rPr>
        <w:t>三、分项报价表</w:t>
      </w:r>
      <w:bookmarkEnd w:id="279"/>
    </w:p>
    <w:p w14:paraId="32C8DF06">
      <w:pPr>
        <w:spacing w:line="360" w:lineRule="auto"/>
        <w:rPr>
          <w:rFonts w:cs="宋体"/>
          <w:sz w:val="24"/>
          <w:szCs w:val="24"/>
        </w:rPr>
      </w:pPr>
      <w:r>
        <w:rPr>
          <w:rFonts w:hint="eastAsia" w:cs="宋体"/>
          <w:sz w:val="24"/>
          <w:szCs w:val="24"/>
        </w:rPr>
        <w:t>招标编号：</w:t>
      </w:r>
      <w:r>
        <w:rPr>
          <w:rFonts w:hint="eastAsia" w:cs="宋体"/>
          <w:sz w:val="24"/>
          <w:szCs w:val="24"/>
          <w:u w:val="single"/>
        </w:rPr>
        <w:t xml:space="preserve">                       </w:t>
      </w:r>
      <w:r>
        <w:rPr>
          <w:rFonts w:hint="eastAsia" w:cs="宋体"/>
          <w:sz w:val="24"/>
          <w:szCs w:val="24"/>
        </w:rPr>
        <w:t xml:space="preserve">                                                </w:t>
      </w:r>
    </w:p>
    <w:p w14:paraId="5F20AFD6">
      <w:pPr>
        <w:spacing w:line="360" w:lineRule="auto"/>
        <w:rPr>
          <w:rFonts w:cs="宋体"/>
          <w:sz w:val="24"/>
          <w:szCs w:val="24"/>
        </w:rPr>
      </w:pPr>
      <w:r>
        <w:rPr>
          <w:rFonts w:hint="eastAsia" w:cs="宋体"/>
          <w:sz w:val="24"/>
          <w:szCs w:val="24"/>
        </w:rPr>
        <w:t>投标货币：</w:t>
      </w:r>
      <w:r>
        <w:rPr>
          <w:rFonts w:hint="eastAsia" w:cs="宋体"/>
          <w:sz w:val="24"/>
          <w:szCs w:val="24"/>
          <w:u w:val="single"/>
        </w:rPr>
        <w:t xml:space="preserve">                       </w:t>
      </w:r>
    </w:p>
    <w:tbl>
      <w:tblPr>
        <w:tblStyle w:val="28"/>
        <w:tblW w:w="4996"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32"/>
        <w:gridCol w:w="4377"/>
        <w:gridCol w:w="1552"/>
        <w:gridCol w:w="1681"/>
      </w:tblGrid>
      <w:tr w14:paraId="71E835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70" w:type="pct"/>
            <w:vAlign w:val="center"/>
          </w:tcPr>
          <w:p w14:paraId="0406899A">
            <w:pPr>
              <w:jc w:val="center"/>
              <w:rPr>
                <w:rFonts w:hint="eastAsia" w:eastAsia="宋体" w:cs="宋体"/>
                <w:sz w:val="24"/>
                <w:szCs w:val="24"/>
                <w:lang w:eastAsia="zh-CN"/>
              </w:rPr>
            </w:pPr>
            <w:r>
              <w:rPr>
                <w:rFonts w:hint="eastAsia" w:cs="宋体"/>
                <w:sz w:val="24"/>
                <w:szCs w:val="24"/>
                <w:lang w:val="en-US" w:eastAsia="zh-CN"/>
              </w:rPr>
              <w:t>项目</w:t>
            </w:r>
          </w:p>
        </w:tc>
        <w:tc>
          <w:tcPr>
            <w:tcW w:w="2317" w:type="pct"/>
            <w:tcBorders>
              <w:right w:val="single" w:color="auto" w:sz="4" w:space="0"/>
            </w:tcBorders>
            <w:vAlign w:val="center"/>
          </w:tcPr>
          <w:p w14:paraId="76FBBEC9">
            <w:pPr>
              <w:adjustRightInd w:val="0"/>
              <w:spacing w:line="360" w:lineRule="atLeast"/>
              <w:jc w:val="center"/>
              <w:textAlignment w:val="baseline"/>
              <w:rPr>
                <w:rFonts w:cs="宋体"/>
                <w:kern w:val="0"/>
                <w:sz w:val="24"/>
                <w:szCs w:val="24"/>
              </w:rPr>
            </w:pPr>
            <w:r>
              <w:rPr>
                <w:rFonts w:hint="eastAsia" w:cs="宋体"/>
                <w:sz w:val="24"/>
                <w:szCs w:val="24"/>
                <w:lang w:val="en-US" w:eastAsia="zh-CN"/>
              </w:rPr>
              <w:t>分项</w:t>
            </w:r>
          </w:p>
        </w:tc>
        <w:tc>
          <w:tcPr>
            <w:tcW w:w="822" w:type="pct"/>
            <w:tcBorders>
              <w:right w:val="single" w:color="auto" w:sz="4" w:space="0"/>
            </w:tcBorders>
          </w:tcPr>
          <w:p w14:paraId="1BEC3950">
            <w:pPr>
              <w:adjustRightInd w:val="0"/>
              <w:spacing w:line="360" w:lineRule="atLeast"/>
              <w:jc w:val="center"/>
              <w:textAlignment w:val="baseline"/>
              <w:rPr>
                <w:rFonts w:hint="eastAsia" w:cs="宋体"/>
                <w:kern w:val="0"/>
                <w:sz w:val="24"/>
                <w:szCs w:val="24"/>
                <w:lang w:val="en-US" w:eastAsia="zh-CN"/>
              </w:rPr>
            </w:pPr>
            <w:r>
              <w:rPr>
                <w:rFonts w:hint="eastAsia" w:cs="宋体"/>
                <w:kern w:val="0"/>
                <w:sz w:val="24"/>
                <w:szCs w:val="24"/>
                <w:lang w:val="en-US" w:eastAsia="zh-CN"/>
              </w:rPr>
              <w:t>价格</w:t>
            </w:r>
          </w:p>
          <w:p w14:paraId="6A0B44A8">
            <w:pPr>
              <w:adjustRightInd w:val="0"/>
              <w:spacing w:line="360" w:lineRule="atLeast"/>
              <w:jc w:val="center"/>
              <w:textAlignment w:val="baseline"/>
              <w:rPr>
                <w:rFonts w:cs="宋体"/>
                <w:kern w:val="0"/>
                <w:sz w:val="24"/>
                <w:szCs w:val="24"/>
              </w:rPr>
            </w:pPr>
            <w:r>
              <w:rPr>
                <w:rFonts w:hint="eastAsia" w:cs="宋体"/>
                <w:kern w:val="0"/>
                <w:sz w:val="24"/>
                <w:szCs w:val="24"/>
              </w:rPr>
              <w:t>单位：元</w:t>
            </w:r>
          </w:p>
        </w:tc>
        <w:tc>
          <w:tcPr>
            <w:tcW w:w="888" w:type="pct"/>
            <w:tcBorders>
              <w:left w:val="single" w:color="auto" w:sz="4" w:space="0"/>
            </w:tcBorders>
            <w:vAlign w:val="center"/>
          </w:tcPr>
          <w:p w14:paraId="4D55DC10">
            <w:pPr>
              <w:adjustRightInd w:val="0"/>
              <w:spacing w:line="360" w:lineRule="atLeast"/>
              <w:jc w:val="center"/>
              <w:textAlignment w:val="baseline"/>
              <w:rPr>
                <w:rFonts w:cs="宋体"/>
                <w:kern w:val="0"/>
                <w:sz w:val="24"/>
                <w:szCs w:val="24"/>
              </w:rPr>
            </w:pPr>
            <w:r>
              <w:rPr>
                <w:rFonts w:hint="eastAsia" w:cs="宋体"/>
                <w:kern w:val="0"/>
                <w:sz w:val="24"/>
                <w:szCs w:val="24"/>
              </w:rPr>
              <w:t>备注</w:t>
            </w:r>
          </w:p>
        </w:tc>
      </w:tr>
      <w:tr w14:paraId="380538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70" w:type="pct"/>
            <w:vMerge w:val="restart"/>
            <w:vAlign w:val="center"/>
          </w:tcPr>
          <w:p w14:paraId="7072B453">
            <w:pPr>
              <w:spacing w:line="240" w:lineRule="auto"/>
              <w:jc w:val="center"/>
              <w:rPr>
                <w:rFonts w:cs="宋体"/>
                <w:sz w:val="22"/>
              </w:rPr>
            </w:pPr>
            <w:r>
              <w:rPr>
                <w:rFonts w:hint="eastAsia" w:cs="宋体"/>
                <w:sz w:val="22"/>
              </w:rPr>
              <w:t>1、业务功能模块</w:t>
            </w:r>
          </w:p>
        </w:tc>
        <w:tc>
          <w:tcPr>
            <w:tcW w:w="2317" w:type="pct"/>
            <w:tcBorders>
              <w:right w:val="single" w:color="auto" w:sz="4" w:space="0"/>
            </w:tcBorders>
            <w:vAlign w:val="center"/>
          </w:tcPr>
          <w:p w14:paraId="6D36484B">
            <w:pPr>
              <w:spacing w:line="240" w:lineRule="auto"/>
              <w:jc w:val="center"/>
              <w:rPr>
                <w:sz w:val="22"/>
                <w:szCs w:val="18"/>
              </w:rPr>
            </w:pPr>
            <w:r>
              <w:rPr>
                <w:rFonts w:hint="eastAsia"/>
                <w:sz w:val="22"/>
                <w:szCs w:val="18"/>
              </w:rPr>
              <w:t>图纸管理</w:t>
            </w:r>
          </w:p>
        </w:tc>
        <w:tc>
          <w:tcPr>
            <w:tcW w:w="822" w:type="pct"/>
            <w:tcBorders>
              <w:right w:val="single" w:color="auto" w:sz="4" w:space="0"/>
            </w:tcBorders>
            <w:vAlign w:val="center"/>
          </w:tcPr>
          <w:p w14:paraId="568060E1">
            <w:pPr>
              <w:spacing w:line="240" w:lineRule="auto"/>
              <w:jc w:val="center"/>
              <w:rPr>
                <w:b/>
                <w:bCs/>
                <w:kern w:val="44"/>
                <w:sz w:val="22"/>
                <w:szCs w:val="18"/>
              </w:rPr>
            </w:pPr>
          </w:p>
        </w:tc>
        <w:tc>
          <w:tcPr>
            <w:tcW w:w="888" w:type="pct"/>
            <w:tcBorders>
              <w:left w:val="single" w:color="auto" w:sz="4" w:space="0"/>
            </w:tcBorders>
            <w:vAlign w:val="center"/>
          </w:tcPr>
          <w:p w14:paraId="16117D6B">
            <w:pPr>
              <w:spacing w:line="240" w:lineRule="auto"/>
              <w:jc w:val="center"/>
              <w:rPr>
                <w:b/>
                <w:bCs/>
                <w:kern w:val="44"/>
                <w:sz w:val="22"/>
                <w:szCs w:val="18"/>
              </w:rPr>
            </w:pPr>
          </w:p>
        </w:tc>
      </w:tr>
      <w:tr w14:paraId="4B5E4E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70" w:type="pct"/>
            <w:vMerge w:val="continue"/>
            <w:vAlign w:val="center"/>
          </w:tcPr>
          <w:p w14:paraId="3B4258CD">
            <w:pPr>
              <w:spacing w:line="240" w:lineRule="auto"/>
              <w:jc w:val="center"/>
              <w:rPr>
                <w:rFonts w:cs="宋体"/>
                <w:sz w:val="22"/>
              </w:rPr>
            </w:pPr>
          </w:p>
        </w:tc>
        <w:tc>
          <w:tcPr>
            <w:tcW w:w="2317" w:type="pct"/>
            <w:tcBorders>
              <w:right w:val="single" w:color="auto" w:sz="4" w:space="0"/>
            </w:tcBorders>
            <w:vAlign w:val="center"/>
          </w:tcPr>
          <w:p w14:paraId="1D0980D4">
            <w:pPr>
              <w:spacing w:line="240" w:lineRule="auto"/>
              <w:jc w:val="center"/>
              <w:rPr>
                <w:sz w:val="22"/>
                <w:szCs w:val="18"/>
              </w:rPr>
            </w:pPr>
            <w:r>
              <w:rPr>
                <w:rFonts w:hint="eastAsia"/>
                <w:sz w:val="22"/>
                <w:szCs w:val="18"/>
              </w:rPr>
              <w:t>库存管理</w:t>
            </w:r>
          </w:p>
        </w:tc>
        <w:tc>
          <w:tcPr>
            <w:tcW w:w="822" w:type="pct"/>
            <w:tcBorders>
              <w:right w:val="single" w:color="auto" w:sz="4" w:space="0"/>
            </w:tcBorders>
            <w:vAlign w:val="center"/>
          </w:tcPr>
          <w:p w14:paraId="10A01651">
            <w:pPr>
              <w:spacing w:line="240" w:lineRule="auto"/>
              <w:jc w:val="center"/>
              <w:rPr>
                <w:b/>
                <w:bCs/>
                <w:kern w:val="44"/>
                <w:sz w:val="22"/>
                <w:szCs w:val="18"/>
              </w:rPr>
            </w:pPr>
          </w:p>
        </w:tc>
        <w:tc>
          <w:tcPr>
            <w:tcW w:w="888" w:type="pct"/>
            <w:tcBorders>
              <w:left w:val="single" w:color="auto" w:sz="4" w:space="0"/>
            </w:tcBorders>
            <w:vAlign w:val="center"/>
          </w:tcPr>
          <w:p w14:paraId="6884D7F9">
            <w:pPr>
              <w:spacing w:line="240" w:lineRule="auto"/>
              <w:jc w:val="center"/>
              <w:rPr>
                <w:b/>
                <w:bCs/>
                <w:kern w:val="44"/>
                <w:sz w:val="22"/>
                <w:szCs w:val="18"/>
              </w:rPr>
            </w:pPr>
          </w:p>
        </w:tc>
      </w:tr>
      <w:tr w14:paraId="541E59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70" w:type="pct"/>
            <w:vMerge w:val="continue"/>
            <w:vAlign w:val="center"/>
          </w:tcPr>
          <w:p w14:paraId="7BEE36C2">
            <w:pPr>
              <w:spacing w:line="240" w:lineRule="auto"/>
              <w:jc w:val="center"/>
              <w:rPr>
                <w:sz w:val="22"/>
              </w:rPr>
            </w:pPr>
          </w:p>
        </w:tc>
        <w:tc>
          <w:tcPr>
            <w:tcW w:w="2317" w:type="pct"/>
            <w:tcBorders>
              <w:right w:val="single" w:color="auto" w:sz="4" w:space="0"/>
            </w:tcBorders>
            <w:vAlign w:val="center"/>
          </w:tcPr>
          <w:p w14:paraId="2E918E7E">
            <w:pPr>
              <w:spacing w:line="240" w:lineRule="auto"/>
              <w:jc w:val="center"/>
              <w:rPr>
                <w:sz w:val="22"/>
                <w:szCs w:val="18"/>
              </w:rPr>
            </w:pPr>
            <w:r>
              <w:rPr>
                <w:rFonts w:hint="eastAsia"/>
                <w:sz w:val="22"/>
                <w:szCs w:val="18"/>
              </w:rPr>
              <w:t>智能排产</w:t>
            </w:r>
          </w:p>
        </w:tc>
        <w:tc>
          <w:tcPr>
            <w:tcW w:w="822" w:type="pct"/>
            <w:tcBorders>
              <w:right w:val="single" w:color="auto" w:sz="4" w:space="0"/>
            </w:tcBorders>
            <w:vAlign w:val="center"/>
          </w:tcPr>
          <w:p w14:paraId="211449F9">
            <w:pPr>
              <w:spacing w:line="240" w:lineRule="auto"/>
              <w:jc w:val="center"/>
              <w:rPr>
                <w:b/>
                <w:bCs/>
                <w:kern w:val="44"/>
                <w:sz w:val="22"/>
                <w:szCs w:val="18"/>
              </w:rPr>
            </w:pPr>
          </w:p>
        </w:tc>
        <w:tc>
          <w:tcPr>
            <w:tcW w:w="888" w:type="pct"/>
            <w:tcBorders>
              <w:left w:val="single" w:color="auto" w:sz="4" w:space="0"/>
            </w:tcBorders>
            <w:vAlign w:val="center"/>
          </w:tcPr>
          <w:p w14:paraId="226692E6">
            <w:pPr>
              <w:spacing w:line="240" w:lineRule="auto"/>
              <w:jc w:val="center"/>
              <w:rPr>
                <w:b/>
                <w:bCs/>
                <w:kern w:val="44"/>
                <w:sz w:val="22"/>
                <w:szCs w:val="18"/>
              </w:rPr>
            </w:pPr>
          </w:p>
        </w:tc>
      </w:tr>
      <w:tr w14:paraId="0E4000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70" w:type="pct"/>
            <w:vMerge w:val="continue"/>
            <w:vAlign w:val="center"/>
          </w:tcPr>
          <w:p w14:paraId="2B5486FC">
            <w:pPr>
              <w:spacing w:line="240" w:lineRule="auto"/>
              <w:jc w:val="center"/>
              <w:rPr>
                <w:sz w:val="22"/>
              </w:rPr>
            </w:pPr>
          </w:p>
        </w:tc>
        <w:tc>
          <w:tcPr>
            <w:tcW w:w="2317" w:type="pct"/>
            <w:tcBorders>
              <w:right w:val="single" w:color="auto" w:sz="4" w:space="0"/>
            </w:tcBorders>
            <w:vAlign w:val="center"/>
          </w:tcPr>
          <w:p w14:paraId="661226E5">
            <w:pPr>
              <w:spacing w:line="240" w:lineRule="auto"/>
              <w:jc w:val="center"/>
              <w:rPr>
                <w:sz w:val="22"/>
                <w:szCs w:val="18"/>
              </w:rPr>
            </w:pPr>
            <w:r>
              <w:rPr>
                <w:rFonts w:hint="eastAsia"/>
                <w:sz w:val="22"/>
                <w:szCs w:val="18"/>
              </w:rPr>
              <w:t>车间管理</w:t>
            </w:r>
          </w:p>
        </w:tc>
        <w:tc>
          <w:tcPr>
            <w:tcW w:w="822" w:type="pct"/>
            <w:tcBorders>
              <w:right w:val="single" w:color="auto" w:sz="4" w:space="0"/>
            </w:tcBorders>
            <w:vAlign w:val="center"/>
          </w:tcPr>
          <w:p w14:paraId="616B00D2">
            <w:pPr>
              <w:spacing w:line="240" w:lineRule="auto"/>
              <w:jc w:val="center"/>
              <w:rPr>
                <w:b/>
                <w:bCs/>
                <w:kern w:val="44"/>
                <w:sz w:val="22"/>
                <w:szCs w:val="18"/>
              </w:rPr>
            </w:pPr>
          </w:p>
        </w:tc>
        <w:tc>
          <w:tcPr>
            <w:tcW w:w="888" w:type="pct"/>
            <w:tcBorders>
              <w:left w:val="single" w:color="auto" w:sz="4" w:space="0"/>
            </w:tcBorders>
            <w:vAlign w:val="center"/>
          </w:tcPr>
          <w:p w14:paraId="610B6C20">
            <w:pPr>
              <w:spacing w:line="240" w:lineRule="auto"/>
              <w:jc w:val="center"/>
              <w:rPr>
                <w:b/>
                <w:bCs/>
                <w:kern w:val="44"/>
                <w:sz w:val="22"/>
                <w:szCs w:val="18"/>
              </w:rPr>
            </w:pPr>
          </w:p>
        </w:tc>
      </w:tr>
      <w:tr w14:paraId="65F57D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70" w:type="pct"/>
            <w:vMerge w:val="continue"/>
            <w:vAlign w:val="center"/>
          </w:tcPr>
          <w:p w14:paraId="486AEDD8">
            <w:pPr>
              <w:spacing w:line="240" w:lineRule="auto"/>
              <w:jc w:val="center"/>
              <w:rPr>
                <w:sz w:val="22"/>
              </w:rPr>
            </w:pPr>
          </w:p>
        </w:tc>
        <w:tc>
          <w:tcPr>
            <w:tcW w:w="2317" w:type="pct"/>
            <w:tcBorders>
              <w:right w:val="single" w:color="auto" w:sz="4" w:space="0"/>
            </w:tcBorders>
            <w:vAlign w:val="center"/>
          </w:tcPr>
          <w:p w14:paraId="51418FAE">
            <w:pPr>
              <w:spacing w:line="240" w:lineRule="auto"/>
              <w:jc w:val="center"/>
              <w:rPr>
                <w:sz w:val="22"/>
                <w:szCs w:val="18"/>
              </w:rPr>
            </w:pPr>
            <w:r>
              <w:rPr>
                <w:rFonts w:hint="eastAsia"/>
                <w:sz w:val="22"/>
                <w:szCs w:val="18"/>
              </w:rPr>
              <w:t xml:space="preserve"> 生产过程追踪</w:t>
            </w:r>
          </w:p>
        </w:tc>
        <w:tc>
          <w:tcPr>
            <w:tcW w:w="822" w:type="pct"/>
            <w:tcBorders>
              <w:right w:val="single" w:color="auto" w:sz="4" w:space="0"/>
            </w:tcBorders>
            <w:vAlign w:val="center"/>
          </w:tcPr>
          <w:p w14:paraId="5B31EA17">
            <w:pPr>
              <w:spacing w:line="240" w:lineRule="auto"/>
              <w:jc w:val="center"/>
              <w:rPr>
                <w:b/>
                <w:bCs/>
                <w:kern w:val="44"/>
                <w:sz w:val="22"/>
                <w:szCs w:val="18"/>
              </w:rPr>
            </w:pPr>
          </w:p>
        </w:tc>
        <w:tc>
          <w:tcPr>
            <w:tcW w:w="888" w:type="pct"/>
            <w:tcBorders>
              <w:left w:val="single" w:color="auto" w:sz="4" w:space="0"/>
            </w:tcBorders>
            <w:vAlign w:val="center"/>
          </w:tcPr>
          <w:p w14:paraId="24EE5311">
            <w:pPr>
              <w:spacing w:line="240" w:lineRule="auto"/>
              <w:jc w:val="center"/>
              <w:rPr>
                <w:b/>
                <w:bCs/>
                <w:kern w:val="44"/>
                <w:sz w:val="22"/>
                <w:szCs w:val="18"/>
              </w:rPr>
            </w:pPr>
          </w:p>
        </w:tc>
      </w:tr>
      <w:tr w14:paraId="1598ED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70" w:type="pct"/>
            <w:vMerge w:val="continue"/>
            <w:vAlign w:val="center"/>
          </w:tcPr>
          <w:p w14:paraId="15D9BF07">
            <w:pPr>
              <w:spacing w:line="240" w:lineRule="auto"/>
              <w:jc w:val="center"/>
              <w:rPr>
                <w:sz w:val="22"/>
              </w:rPr>
            </w:pPr>
          </w:p>
        </w:tc>
        <w:tc>
          <w:tcPr>
            <w:tcW w:w="2317" w:type="pct"/>
            <w:tcBorders>
              <w:right w:val="single" w:color="auto" w:sz="4" w:space="0"/>
            </w:tcBorders>
            <w:vAlign w:val="center"/>
          </w:tcPr>
          <w:p w14:paraId="666EF280">
            <w:pPr>
              <w:spacing w:line="240" w:lineRule="auto"/>
              <w:jc w:val="center"/>
              <w:rPr>
                <w:sz w:val="22"/>
                <w:szCs w:val="18"/>
              </w:rPr>
            </w:pPr>
            <w:r>
              <w:rPr>
                <w:rFonts w:hint="eastAsia"/>
                <w:sz w:val="22"/>
                <w:szCs w:val="18"/>
              </w:rPr>
              <w:t>统计分析</w:t>
            </w:r>
          </w:p>
        </w:tc>
        <w:tc>
          <w:tcPr>
            <w:tcW w:w="822" w:type="pct"/>
            <w:tcBorders>
              <w:right w:val="single" w:color="auto" w:sz="4" w:space="0"/>
            </w:tcBorders>
            <w:vAlign w:val="center"/>
          </w:tcPr>
          <w:p w14:paraId="495A0E36">
            <w:pPr>
              <w:spacing w:line="240" w:lineRule="auto"/>
              <w:jc w:val="center"/>
              <w:rPr>
                <w:b/>
                <w:bCs/>
                <w:kern w:val="44"/>
                <w:sz w:val="22"/>
                <w:szCs w:val="18"/>
              </w:rPr>
            </w:pPr>
          </w:p>
        </w:tc>
        <w:tc>
          <w:tcPr>
            <w:tcW w:w="888" w:type="pct"/>
            <w:tcBorders>
              <w:left w:val="single" w:color="auto" w:sz="4" w:space="0"/>
            </w:tcBorders>
            <w:vAlign w:val="center"/>
          </w:tcPr>
          <w:p w14:paraId="1EE0152C">
            <w:pPr>
              <w:spacing w:line="240" w:lineRule="auto"/>
              <w:jc w:val="center"/>
              <w:rPr>
                <w:b/>
                <w:bCs/>
                <w:kern w:val="44"/>
                <w:sz w:val="22"/>
                <w:szCs w:val="18"/>
              </w:rPr>
            </w:pPr>
          </w:p>
        </w:tc>
      </w:tr>
      <w:tr w14:paraId="00DF55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70" w:type="pct"/>
            <w:vMerge w:val="restart"/>
            <w:vAlign w:val="center"/>
          </w:tcPr>
          <w:p w14:paraId="5294C443">
            <w:pPr>
              <w:spacing w:line="240" w:lineRule="auto"/>
              <w:jc w:val="center"/>
              <w:rPr>
                <w:sz w:val="22"/>
              </w:rPr>
            </w:pPr>
            <w:r>
              <w:rPr>
                <w:rFonts w:hint="eastAsia"/>
                <w:sz w:val="22"/>
                <w:lang w:val="en-US" w:eastAsia="zh-CN"/>
              </w:rPr>
              <w:t>2</w:t>
            </w:r>
            <w:r>
              <w:rPr>
                <w:rFonts w:hint="eastAsia"/>
                <w:sz w:val="22"/>
              </w:rPr>
              <w:t>、实施与服务</w:t>
            </w:r>
          </w:p>
        </w:tc>
        <w:tc>
          <w:tcPr>
            <w:tcW w:w="2317" w:type="pct"/>
            <w:tcBorders>
              <w:right w:val="single" w:color="auto" w:sz="4" w:space="0"/>
            </w:tcBorders>
            <w:vAlign w:val="center"/>
          </w:tcPr>
          <w:p w14:paraId="56546CBE">
            <w:pPr>
              <w:spacing w:line="240" w:lineRule="auto"/>
              <w:jc w:val="center"/>
              <w:rPr>
                <w:sz w:val="22"/>
                <w:szCs w:val="18"/>
              </w:rPr>
            </w:pPr>
            <w:r>
              <w:rPr>
                <w:rFonts w:hint="eastAsia"/>
                <w:sz w:val="22"/>
                <w:szCs w:val="18"/>
              </w:rPr>
              <w:t>实施</w:t>
            </w:r>
          </w:p>
        </w:tc>
        <w:tc>
          <w:tcPr>
            <w:tcW w:w="822" w:type="pct"/>
            <w:tcBorders>
              <w:right w:val="single" w:color="auto" w:sz="4" w:space="0"/>
            </w:tcBorders>
            <w:vAlign w:val="center"/>
          </w:tcPr>
          <w:p w14:paraId="7FDC9C59">
            <w:pPr>
              <w:spacing w:line="240" w:lineRule="auto"/>
              <w:jc w:val="center"/>
              <w:rPr>
                <w:b/>
                <w:bCs/>
                <w:kern w:val="44"/>
                <w:sz w:val="22"/>
                <w:szCs w:val="18"/>
              </w:rPr>
            </w:pPr>
          </w:p>
        </w:tc>
        <w:tc>
          <w:tcPr>
            <w:tcW w:w="888" w:type="pct"/>
            <w:tcBorders>
              <w:left w:val="single" w:color="auto" w:sz="4" w:space="0"/>
              <w:bottom w:val="single" w:color="auto" w:sz="4" w:space="0"/>
            </w:tcBorders>
            <w:vAlign w:val="center"/>
          </w:tcPr>
          <w:p w14:paraId="4D66EEAE">
            <w:pPr>
              <w:spacing w:line="240" w:lineRule="auto"/>
              <w:jc w:val="center"/>
              <w:rPr>
                <w:b/>
                <w:bCs/>
                <w:kern w:val="44"/>
                <w:sz w:val="22"/>
                <w:szCs w:val="18"/>
              </w:rPr>
            </w:pPr>
          </w:p>
        </w:tc>
      </w:tr>
      <w:tr w14:paraId="78BA0B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70" w:type="pct"/>
            <w:vMerge w:val="continue"/>
            <w:vAlign w:val="center"/>
          </w:tcPr>
          <w:p w14:paraId="12EDD229">
            <w:pPr>
              <w:spacing w:line="240" w:lineRule="auto"/>
              <w:jc w:val="center"/>
              <w:rPr>
                <w:sz w:val="22"/>
              </w:rPr>
            </w:pPr>
          </w:p>
        </w:tc>
        <w:tc>
          <w:tcPr>
            <w:tcW w:w="2317" w:type="pct"/>
            <w:tcBorders>
              <w:right w:val="single" w:color="auto" w:sz="4" w:space="0"/>
            </w:tcBorders>
            <w:vAlign w:val="center"/>
          </w:tcPr>
          <w:p w14:paraId="5B2C3AAB">
            <w:pPr>
              <w:spacing w:line="240" w:lineRule="auto"/>
              <w:jc w:val="center"/>
              <w:rPr>
                <w:sz w:val="22"/>
                <w:szCs w:val="18"/>
              </w:rPr>
            </w:pPr>
            <w:r>
              <w:rPr>
                <w:rFonts w:hint="eastAsia"/>
                <w:sz w:val="22"/>
                <w:szCs w:val="18"/>
              </w:rPr>
              <w:t>服务与培训</w:t>
            </w:r>
          </w:p>
        </w:tc>
        <w:tc>
          <w:tcPr>
            <w:tcW w:w="822" w:type="pct"/>
            <w:tcBorders>
              <w:right w:val="single" w:color="auto" w:sz="4" w:space="0"/>
            </w:tcBorders>
            <w:vAlign w:val="center"/>
          </w:tcPr>
          <w:p w14:paraId="4AD3927B">
            <w:pPr>
              <w:spacing w:line="240" w:lineRule="auto"/>
              <w:jc w:val="center"/>
              <w:rPr>
                <w:b/>
                <w:bCs/>
                <w:kern w:val="44"/>
                <w:sz w:val="22"/>
                <w:szCs w:val="18"/>
              </w:rPr>
            </w:pPr>
          </w:p>
        </w:tc>
        <w:tc>
          <w:tcPr>
            <w:tcW w:w="888" w:type="pct"/>
            <w:tcBorders>
              <w:top w:val="single" w:color="auto" w:sz="4" w:space="0"/>
              <w:left w:val="single" w:color="auto" w:sz="4" w:space="0"/>
            </w:tcBorders>
            <w:vAlign w:val="center"/>
          </w:tcPr>
          <w:p w14:paraId="31A742CA">
            <w:pPr>
              <w:spacing w:line="240" w:lineRule="auto"/>
              <w:jc w:val="center"/>
              <w:rPr>
                <w:b/>
                <w:bCs/>
                <w:kern w:val="44"/>
                <w:sz w:val="22"/>
                <w:szCs w:val="18"/>
              </w:rPr>
            </w:pPr>
          </w:p>
        </w:tc>
      </w:tr>
      <w:tr w14:paraId="0128E8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70" w:type="pct"/>
            <w:vAlign w:val="center"/>
          </w:tcPr>
          <w:p w14:paraId="6C826229">
            <w:pPr>
              <w:spacing w:line="240" w:lineRule="auto"/>
              <w:jc w:val="center"/>
              <w:rPr>
                <w:sz w:val="22"/>
              </w:rPr>
            </w:pPr>
          </w:p>
        </w:tc>
        <w:tc>
          <w:tcPr>
            <w:tcW w:w="2317" w:type="pct"/>
            <w:tcBorders>
              <w:right w:val="single" w:color="auto" w:sz="4" w:space="0"/>
            </w:tcBorders>
            <w:vAlign w:val="center"/>
          </w:tcPr>
          <w:p w14:paraId="3967F1E2">
            <w:pPr>
              <w:spacing w:line="240" w:lineRule="auto"/>
              <w:jc w:val="center"/>
              <w:rPr>
                <w:sz w:val="22"/>
                <w:szCs w:val="18"/>
              </w:rPr>
            </w:pPr>
          </w:p>
        </w:tc>
        <w:tc>
          <w:tcPr>
            <w:tcW w:w="822" w:type="pct"/>
            <w:tcBorders>
              <w:right w:val="single" w:color="auto" w:sz="4" w:space="0"/>
            </w:tcBorders>
            <w:vAlign w:val="center"/>
          </w:tcPr>
          <w:p w14:paraId="2E5D3153">
            <w:pPr>
              <w:spacing w:line="240" w:lineRule="auto"/>
              <w:jc w:val="center"/>
              <w:rPr>
                <w:b/>
                <w:bCs/>
                <w:kern w:val="44"/>
                <w:sz w:val="22"/>
                <w:szCs w:val="18"/>
              </w:rPr>
            </w:pPr>
          </w:p>
        </w:tc>
        <w:tc>
          <w:tcPr>
            <w:tcW w:w="888" w:type="pct"/>
            <w:tcBorders>
              <w:top w:val="single" w:color="auto" w:sz="4" w:space="0"/>
              <w:left w:val="single" w:color="auto" w:sz="4" w:space="0"/>
            </w:tcBorders>
            <w:vAlign w:val="center"/>
          </w:tcPr>
          <w:p w14:paraId="01490F4C">
            <w:pPr>
              <w:spacing w:line="240" w:lineRule="auto"/>
              <w:jc w:val="center"/>
              <w:rPr>
                <w:b/>
                <w:bCs/>
                <w:kern w:val="44"/>
                <w:sz w:val="22"/>
                <w:szCs w:val="18"/>
              </w:rPr>
            </w:pPr>
          </w:p>
        </w:tc>
      </w:tr>
      <w:tr w14:paraId="242BA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70" w:type="pct"/>
            <w:vAlign w:val="center"/>
          </w:tcPr>
          <w:p w14:paraId="5FD7CEBA">
            <w:pPr>
              <w:spacing w:line="240" w:lineRule="auto"/>
              <w:jc w:val="center"/>
              <w:rPr>
                <w:sz w:val="22"/>
              </w:rPr>
            </w:pPr>
          </w:p>
        </w:tc>
        <w:tc>
          <w:tcPr>
            <w:tcW w:w="2317" w:type="pct"/>
            <w:tcBorders>
              <w:right w:val="single" w:color="auto" w:sz="4" w:space="0"/>
            </w:tcBorders>
            <w:vAlign w:val="center"/>
          </w:tcPr>
          <w:p w14:paraId="6A4CB7AB">
            <w:pPr>
              <w:spacing w:line="240" w:lineRule="auto"/>
              <w:jc w:val="center"/>
              <w:rPr>
                <w:sz w:val="22"/>
                <w:szCs w:val="18"/>
              </w:rPr>
            </w:pPr>
          </w:p>
        </w:tc>
        <w:tc>
          <w:tcPr>
            <w:tcW w:w="822" w:type="pct"/>
            <w:tcBorders>
              <w:right w:val="single" w:color="auto" w:sz="4" w:space="0"/>
            </w:tcBorders>
            <w:vAlign w:val="center"/>
          </w:tcPr>
          <w:p w14:paraId="1F682033">
            <w:pPr>
              <w:spacing w:line="240" w:lineRule="auto"/>
              <w:jc w:val="center"/>
              <w:rPr>
                <w:b/>
                <w:bCs/>
                <w:kern w:val="44"/>
                <w:sz w:val="22"/>
                <w:szCs w:val="18"/>
              </w:rPr>
            </w:pPr>
          </w:p>
        </w:tc>
        <w:tc>
          <w:tcPr>
            <w:tcW w:w="888" w:type="pct"/>
            <w:tcBorders>
              <w:top w:val="single" w:color="auto" w:sz="4" w:space="0"/>
              <w:left w:val="single" w:color="auto" w:sz="4" w:space="0"/>
            </w:tcBorders>
            <w:vAlign w:val="center"/>
          </w:tcPr>
          <w:p w14:paraId="6E48351D">
            <w:pPr>
              <w:spacing w:line="240" w:lineRule="auto"/>
              <w:jc w:val="center"/>
              <w:rPr>
                <w:b/>
                <w:bCs/>
                <w:kern w:val="44"/>
                <w:sz w:val="22"/>
                <w:szCs w:val="18"/>
              </w:rPr>
            </w:pPr>
          </w:p>
        </w:tc>
      </w:tr>
      <w:tr w14:paraId="2F8159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70" w:type="pct"/>
            <w:vAlign w:val="center"/>
          </w:tcPr>
          <w:p w14:paraId="1CC76A86">
            <w:pPr>
              <w:spacing w:line="240" w:lineRule="auto"/>
              <w:jc w:val="center"/>
              <w:rPr>
                <w:sz w:val="22"/>
              </w:rPr>
            </w:pPr>
          </w:p>
        </w:tc>
        <w:tc>
          <w:tcPr>
            <w:tcW w:w="2317" w:type="pct"/>
            <w:tcBorders>
              <w:right w:val="single" w:color="auto" w:sz="4" w:space="0"/>
            </w:tcBorders>
            <w:vAlign w:val="center"/>
          </w:tcPr>
          <w:p w14:paraId="6D18A593">
            <w:pPr>
              <w:spacing w:line="240" w:lineRule="auto"/>
              <w:jc w:val="center"/>
              <w:rPr>
                <w:sz w:val="22"/>
                <w:szCs w:val="18"/>
              </w:rPr>
            </w:pPr>
          </w:p>
        </w:tc>
        <w:tc>
          <w:tcPr>
            <w:tcW w:w="822" w:type="pct"/>
            <w:tcBorders>
              <w:right w:val="single" w:color="auto" w:sz="4" w:space="0"/>
            </w:tcBorders>
            <w:vAlign w:val="center"/>
          </w:tcPr>
          <w:p w14:paraId="6FE1609F">
            <w:pPr>
              <w:spacing w:line="240" w:lineRule="auto"/>
              <w:jc w:val="center"/>
              <w:rPr>
                <w:b/>
                <w:bCs/>
                <w:kern w:val="44"/>
                <w:sz w:val="22"/>
                <w:szCs w:val="18"/>
              </w:rPr>
            </w:pPr>
          </w:p>
        </w:tc>
        <w:tc>
          <w:tcPr>
            <w:tcW w:w="888" w:type="pct"/>
            <w:tcBorders>
              <w:top w:val="single" w:color="auto" w:sz="4" w:space="0"/>
              <w:left w:val="single" w:color="auto" w:sz="4" w:space="0"/>
            </w:tcBorders>
            <w:vAlign w:val="center"/>
          </w:tcPr>
          <w:p w14:paraId="3D2F4D84">
            <w:pPr>
              <w:spacing w:line="240" w:lineRule="auto"/>
              <w:jc w:val="center"/>
              <w:rPr>
                <w:b/>
                <w:bCs/>
                <w:kern w:val="44"/>
                <w:sz w:val="22"/>
                <w:szCs w:val="18"/>
              </w:rPr>
            </w:pPr>
          </w:p>
        </w:tc>
      </w:tr>
      <w:tr w14:paraId="10F02D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70" w:type="pct"/>
            <w:vAlign w:val="center"/>
          </w:tcPr>
          <w:p w14:paraId="3873A7AA">
            <w:pPr>
              <w:spacing w:line="240" w:lineRule="auto"/>
              <w:jc w:val="center"/>
              <w:rPr>
                <w:sz w:val="22"/>
              </w:rPr>
            </w:pPr>
          </w:p>
        </w:tc>
        <w:tc>
          <w:tcPr>
            <w:tcW w:w="2317" w:type="pct"/>
            <w:tcBorders>
              <w:right w:val="single" w:color="auto" w:sz="4" w:space="0"/>
            </w:tcBorders>
            <w:vAlign w:val="center"/>
          </w:tcPr>
          <w:p w14:paraId="441AEA31">
            <w:pPr>
              <w:spacing w:line="240" w:lineRule="auto"/>
              <w:jc w:val="center"/>
              <w:rPr>
                <w:sz w:val="22"/>
                <w:szCs w:val="18"/>
              </w:rPr>
            </w:pPr>
          </w:p>
        </w:tc>
        <w:tc>
          <w:tcPr>
            <w:tcW w:w="822" w:type="pct"/>
            <w:tcBorders>
              <w:right w:val="single" w:color="auto" w:sz="4" w:space="0"/>
            </w:tcBorders>
            <w:vAlign w:val="center"/>
          </w:tcPr>
          <w:p w14:paraId="6EE68B5B">
            <w:pPr>
              <w:spacing w:line="240" w:lineRule="auto"/>
              <w:jc w:val="center"/>
              <w:rPr>
                <w:b/>
                <w:bCs/>
                <w:kern w:val="44"/>
                <w:sz w:val="22"/>
                <w:szCs w:val="18"/>
              </w:rPr>
            </w:pPr>
          </w:p>
        </w:tc>
        <w:tc>
          <w:tcPr>
            <w:tcW w:w="888" w:type="pct"/>
            <w:tcBorders>
              <w:top w:val="single" w:color="auto" w:sz="4" w:space="0"/>
              <w:left w:val="single" w:color="auto" w:sz="4" w:space="0"/>
            </w:tcBorders>
            <w:vAlign w:val="center"/>
          </w:tcPr>
          <w:p w14:paraId="1CA82B4A">
            <w:pPr>
              <w:spacing w:line="240" w:lineRule="auto"/>
              <w:jc w:val="center"/>
              <w:rPr>
                <w:b/>
                <w:bCs/>
                <w:kern w:val="44"/>
                <w:sz w:val="22"/>
                <w:szCs w:val="18"/>
              </w:rPr>
            </w:pPr>
          </w:p>
        </w:tc>
      </w:tr>
      <w:tr w14:paraId="2F1815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70" w:type="pct"/>
            <w:vAlign w:val="center"/>
          </w:tcPr>
          <w:p w14:paraId="2A964DC1">
            <w:pPr>
              <w:spacing w:line="240" w:lineRule="auto"/>
              <w:jc w:val="center"/>
              <w:rPr>
                <w:sz w:val="22"/>
              </w:rPr>
            </w:pPr>
          </w:p>
        </w:tc>
        <w:tc>
          <w:tcPr>
            <w:tcW w:w="2317" w:type="pct"/>
            <w:tcBorders>
              <w:right w:val="single" w:color="auto" w:sz="4" w:space="0"/>
            </w:tcBorders>
            <w:vAlign w:val="center"/>
          </w:tcPr>
          <w:p w14:paraId="2A16A62E">
            <w:pPr>
              <w:spacing w:line="240" w:lineRule="auto"/>
              <w:jc w:val="center"/>
              <w:rPr>
                <w:sz w:val="22"/>
                <w:szCs w:val="18"/>
              </w:rPr>
            </w:pPr>
          </w:p>
        </w:tc>
        <w:tc>
          <w:tcPr>
            <w:tcW w:w="822" w:type="pct"/>
            <w:tcBorders>
              <w:right w:val="single" w:color="auto" w:sz="4" w:space="0"/>
            </w:tcBorders>
            <w:vAlign w:val="center"/>
          </w:tcPr>
          <w:p w14:paraId="2CCA2D6F">
            <w:pPr>
              <w:spacing w:line="240" w:lineRule="auto"/>
              <w:jc w:val="center"/>
              <w:rPr>
                <w:b/>
                <w:bCs/>
                <w:kern w:val="44"/>
                <w:sz w:val="22"/>
                <w:szCs w:val="18"/>
              </w:rPr>
            </w:pPr>
          </w:p>
        </w:tc>
        <w:tc>
          <w:tcPr>
            <w:tcW w:w="888" w:type="pct"/>
            <w:tcBorders>
              <w:top w:val="single" w:color="auto" w:sz="4" w:space="0"/>
              <w:left w:val="single" w:color="auto" w:sz="4" w:space="0"/>
            </w:tcBorders>
            <w:vAlign w:val="center"/>
          </w:tcPr>
          <w:p w14:paraId="2DB5F54B">
            <w:pPr>
              <w:spacing w:line="240" w:lineRule="auto"/>
              <w:jc w:val="center"/>
              <w:rPr>
                <w:b/>
                <w:bCs/>
                <w:kern w:val="44"/>
                <w:sz w:val="22"/>
                <w:szCs w:val="18"/>
              </w:rPr>
            </w:pPr>
          </w:p>
        </w:tc>
      </w:tr>
      <w:tr w14:paraId="5D554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3288" w:type="pct"/>
            <w:gridSpan w:val="2"/>
            <w:tcBorders>
              <w:right w:val="single" w:color="auto" w:sz="4" w:space="0"/>
            </w:tcBorders>
            <w:vAlign w:val="center"/>
          </w:tcPr>
          <w:p w14:paraId="1458690C">
            <w:pPr>
              <w:spacing w:line="240" w:lineRule="auto"/>
              <w:jc w:val="center"/>
              <w:rPr>
                <w:sz w:val="22"/>
                <w:szCs w:val="18"/>
              </w:rPr>
            </w:pPr>
            <w:r>
              <w:rPr>
                <w:rFonts w:hint="eastAsia" w:cs="宋体"/>
                <w:sz w:val="22"/>
              </w:rPr>
              <w:t>合计</w:t>
            </w:r>
          </w:p>
        </w:tc>
        <w:tc>
          <w:tcPr>
            <w:tcW w:w="822" w:type="pct"/>
            <w:tcBorders>
              <w:top w:val="single" w:color="auto" w:sz="4" w:space="0"/>
              <w:right w:val="single" w:color="auto" w:sz="4" w:space="0"/>
            </w:tcBorders>
            <w:vAlign w:val="center"/>
          </w:tcPr>
          <w:p w14:paraId="1EC2BDB7">
            <w:pPr>
              <w:spacing w:line="240" w:lineRule="auto"/>
              <w:jc w:val="center"/>
              <w:rPr>
                <w:sz w:val="22"/>
                <w:szCs w:val="18"/>
              </w:rPr>
            </w:pPr>
          </w:p>
        </w:tc>
        <w:tc>
          <w:tcPr>
            <w:tcW w:w="888" w:type="pct"/>
            <w:tcBorders>
              <w:top w:val="single" w:color="auto" w:sz="4" w:space="0"/>
              <w:left w:val="single" w:color="auto" w:sz="4" w:space="0"/>
            </w:tcBorders>
            <w:vAlign w:val="center"/>
          </w:tcPr>
          <w:p w14:paraId="2FF4CC7B">
            <w:pPr>
              <w:spacing w:line="240" w:lineRule="auto"/>
              <w:jc w:val="center"/>
              <w:rPr>
                <w:sz w:val="22"/>
                <w:szCs w:val="18"/>
              </w:rPr>
            </w:pPr>
          </w:p>
        </w:tc>
      </w:tr>
      <w:tr w14:paraId="0CAE7C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000" w:type="pct"/>
            <w:gridSpan w:val="4"/>
            <w:vAlign w:val="center"/>
          </w:tcPr>
          <w:p w14:paraId="2C1BA71A">
            <w:pPr>
              <w:spacing w:line="360" w:lineRule="auto"/>
              <w:rPr>
                <w:rFonts w:cs="宋体"/>
                <w:sz w:val="24"/>
                <w:szCs w:val="24"/>
                <w:u w:val="single"/>
              </w:rPr>
            </w:pPr>
            <w:r>
              <w:rPr>
                <w:rFonts w:hint="eastAsia" w:cs="宋体"/>
                <w:sz w:val="24"/>
                <w:szCs w:val="24"/>
              </w:rPr>
              <w:t>投标总价（含税）： 小写金额：</w:t>
            </w:r>
            <w:r>
              <w:rPr>
                <w:rFonts w:hint="eastAsia" w:cs="宋体"/>
                <w:sz w:val="24"/>
                <w:szCs w:val="24"/>
                <w:u w:val="single"/>
              </w:rPr>
              <w:t xml:space="preserve">           </w:t>
            </w:r>
          </w:p>
          <w:p w14:paraId="3BE649EA">
            <w:pPr>
              <w:ind w:firstLine="2160" w:firstLineChars="900"/>
              <w:rPr>
                <w:sz w:val="22"/>
                <w:szCs w:val="18"/>
              </w:rPr>
            </w:pPr>
            <w:r>
              <w:rPr>
                <w:rFonts w:hint="eastAsia" w:cs="宋体"/>
                <w:sz w:val="24"/>
                <w:szCs w:val="24"/>
              </w:rPr>
              <w:t>大写金额：</w:t>
            </w:r>
            <w:r>
              <w:rPr>
                <w:rFonts w:hint="eastAsia" w:cs="宋体"/>
                <w:sz w:val="24"/>
                <w:szCs w:val="24"/>
                <w:u w:val="single"/>
              </w:rPr>
              <w:t xml:space="preserve">           </w:t>
            </w:r>
          </w:p>
        </w:tc>
      </w:tr>
    </w:tbl>
    <w:p w14:paraId="1CDA346D">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7A19FF6D">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756E4F22">
      <w:pPr>
        <w:keepNext/>
        <w:keepLines/>
        <w:spacing w:before="120" w:beforeLines="50" w:after="120" w:afterLines="50" w:line="415" w:lineRule="auto"/>
        <w:jc w:val="center"/>
        <w:rPr>
          <w:rFonts w:hint="eastAsia" w:eastAsia="宋体" w:cs="宋体"/>
          <w:b/>
          <w:bCs/>
          <w:kern w:val="0"/>
          <w:sz w:val="28"/>
          <w:szCs w:val="28"/>
          <w:lang w:eastAsia="zh-CN"/>
        </w:rPr>
      </w:pPr>
      <w:bookmarkStart w:id="280" w:name="_Toc148459149"/>
      <w:r>
        <w:rPr>
          <w:rFonts w:hint="eastAsia" w:cs="宋体"/>
          <w:b/>
          <w:bCs/>
          <w:kern w:val="0"/>
          <w:sz w:val="28"/>
          <w:szCs w:val="28"/>
        </w:rPr>
        <w:br w:type="page"/>
      </w:r>
      <w:r>
        <w:rPr>
          <w:rFonts w:hint="eastAsia" w:cs="宋体"/>
          <w:b/>
          <w:bCs/>
          <w:kern w:val="0"/>
          <w:sz w:val="28"/>
          <w:szCs w:val="28"/>
        </w:rPr>
        <w:t>三、分项报价表</w:t>
      </w:r>
      <w:r>
        <w:rPr>
          <w:rFonts w:hint="eastAsia" w:cs="宋体"/>
          <w:b/>
          <w:bCs/>
          <w:kern w:val="0"/>
          <w:sz w:val="28"/>
          <w:szCs w:val="28"/>
          <w:lang w:eastAsia="zh-CN"/>
        </w:rPr>
        <w:t>（</w:t>
      </w:r>
      <w:r>
        <w:rPr>
          <w:rFonts w:hint="eastAsia" w:cs="宋体"/>
          <w:b/>
          <w:bCs/>
          <w:kern w:val="0"/>
          <w:sz w:val="28"/>
          <w:szCs w:val="28"/>
          <w:lang w:val="en-US" w:eastAsia="zh-CN"/>
        </w:rPr>
        <w:t>硬件</w:t>
      </w:r>
      <w:r>
        <w:rPr>
          <w:rFonts w:hint="eastAsia" w:cs="宋体"/>
          <w:b/>
          <w:bCs/>
          <w:kern w:val="0"/>
          <w:sz w:val="28"/>
          <w:szCs w:val="28"/>
          <w:lang w:eastAsia="zh-CN"/>
        </w:rPr>
        <w:t>）</w:t>
      </w:r>
    </w:p>
    <w:p w14:paraId="1D7A4EAD">
      <w:pPr>
        <w:spacing w:line="360" w:lineRule="auto"/>
        <w:rPr>
          <w:rFonts w:cs="宋体"/>
          <w:sz w:val="24"/>
          <w:szCs w:val="24"/>
        </w:rPr>
      </w:pPr>
      <w:r>
        <w:rPr>
          <w:rFonts w:hint="eastAsia" w:cs="宋体"/>
          <w:sz w:val="24"/>
          <w:szCs w:val="24"/>
        </w:rPr>
        <w:t>招标编号：</w:t>
      </w:r>
      <w:r>
        <w:rPr>
          <w:rFonts w:hint="eastAsia" w:cs="宋体"/>
          <w:sz w:val="24"/>
          <w:szCs w:val="24"/>
          <w:u w:val="single"/>
        </w:rPr>
        <w:t xml:space="preserve">                       </w:t>
      </w:r>
      <w:r>
        <w:rPr>
          <w:rFonts w:hint="eastAsia" w:cs="宋体"/>
          <w:sz w:val="24"/>
          <w:szCs w:val="24"/>
        </w:rPr>
        <w:t xml:space="preserve">                                                </w:t>
      </w:r>
    </w:p>
    <w:p w14:paraId="5CEE1829">
      <w:pPr>
        <w:spacing w:line="360" w:lineRule="auto"/>
        <w:rPr>
          <w:rFonts w:cs="宋体"/>
          <w:sz w:val="24"/>
          <w:szCs w:val="24"/>
        </w:rPr>
      </w:pPr>
      <w:r>
        <w:rPr>
          <w:rFonts w:hint="eastAsia" w:cs="宋体"/>
          <w:sz w:val="24"/>
          <w:szCs w:val="24"/>
        </w:rPr>
        <w:t>投标货币：</w:t>
      </w:r>
      <w:r>
        <w:rPr>
          <w:rFonts w:hint="eastAsia" w:cs="宋体"/>
          <w:sz w:val="24"/>
          <w:szCs w:val="24"/>
          <w:u w:val="single"/>
        </w:rPr>
        <w:t xml:space="preserve">                       </w:t>
      </w:r>
    </w:p>
    <w:tbl>
      <w:tblPr>
        <w:tblStyle w:val="28"/>
        <w:tblW w:w="94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1"/>
        <w:gridCol w:w="4731"/>
        <w:gridCol w:w="1473"/>
        <w:gridCol w:w="1377"/>
      </w:tblGrid>
      <w:tr w14:paraId="03F461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5189864D">
            <w:pPr>
              <w:jc w:val="center"/>
              <w:rPr>
                <w:rFonts w:hint="eastAsia" w:eastAsia="宋体" w:cs="宋体"/>
                <w:sz w:val="24"/>
                <w:szCs w:val="24"/>
                <w:lang w:eastAsia="zh-CN"/>
              </w:rPr>
            </w:pPr>
            <w:r>
              <w:rPr>
                <w:rFonts w:hint="eastAsia" w:cs="宋体"/>
                <w:sz w:val="24"/>
                <w:szCs w:val="24"/>
                <w:lang w:val="en-US" w:eastAsia="zh-CN"/>
              </w:rPr>
              <w:t>名称</w:t>
            </w:r>
          </w:p>
        </w:tc>
        <w:tc>
          <w:tcPr>
            <w:tcW w:w="4731" w:type="dxa"/>
            <w:tcBorders>
              <w:right w:val="single" w:color="auto" w:sz="4" w:space="0"/>
            </w:tcBorders>
            <w:vAlign w:val="center"/>
          </w:tcPr>
          <w:p w14:paraId="45016786">
            <w:pPr>
              <w:adjustRightInd w:val="0"/>
              <w:spacing w:line="360" w:lineRule="atLeast"/>
              <w:jc w:val="center"/>
              <w:textAlignment w:val="baseline"/>
              <w:rPr>
                <w:rFonts w:hint="default" w:cs="宋体"/>
                <w:kern w:val="0"/>
                <w:sz w:val="24"/>
                <w:szCs w:val="24"/>
                <w:lang w:val="en-US"/>
              </w:rPr>
            </w:pPr>
            <w:r>
              <w:rPr>
                <w:rFonts w:hint="eastAsia" w:cs="宋体"/>
                <w:sz w:val="24"/>
                <w:szCs w:val="24"/>
                <w:lang w:val="en-US" w:eastAsia="zh-CN"/>
              </w:rPr>
              <w:t>规格型号</w:t>
            </w:r>
          </w:p>
        </w:tc>
        <w:tc>
          <w:tcPr>
            <w:tcW w:w="1473" w:type="dxa"/>
            <w:tcBorders>
              <w:right w:val="single" w:color="auto" w:sz="4" w:space="0"/>
            </w:tcBorders>
          </w:tcPr>
          <w:p w14:paraId="46E8C98F">
            <w:pPr>
              <w:adjustRightInd w:val="0"/>
              <w:spacing w:line="360" w:lineRule="atLeast"/>
              <w:jc w:val="center"/>
              <w:textAlignment w:val="baseline"/>
              <w:rPr>
                <w:rFonts w:cs="宋体"/>
                <w:kern w:val="0"/>
                <w:sz w:val="24"/>
                <w:szCs w:val="24"/>
              </w:rPr>
            </w:pPr>
            <w:r>
              <w:rPr>
                <w:rFonts w:hint="eastAsia" w:cs="宋体"/>
                <w:kern w:val="0"/>
                <w:sz w:val="24"/>
                <w:szCs w:val="24"/>
                <w:lang w:val="en-US" w:eastAsia="zh-CN"/>
              </w:rPr>
              <w:t>数量（根据实际）</w:t>
            </w:r>
          </w:p>
        </w:tc>
        <w:tc>
          <w:tcPr>
            <w:tcW w:w="1377" w:type="dxa"/>
            <w:tcBorders>
              <w:left w:val="single" w:color="auto" w:sz="4" w:space="0"/>
            </w:tcBorders>
            <w:vAlign w:val="center"/>
          </w:tcPr>
          <w:p w14:paraId="3699BFC9">
            <w:pPr>
              <w:adjustRightInd w:val="0"/>
              <w:spacing w:line="360" w:lineRule="atLeast"/>
              <w:jc w:val="center"/>
              <w:textAlignment w:val="baseline"/>
              <w:rPr>
                <w:rFonts w:hint="eastAsia" w:cs="宋体"/>
                <w:kern w:val="0"/>
                <w:sz w:val="24"/>
                <w:szCs w:val="24"/>
                <w:lang w:val="en-US" w:eastAsia="zh-CN"/>
              </w:rPr>
            </w:pPr>
            <w:r>
              <w:rPr>
                <w:rFonts w:hint="eastAsia" w:cs="宋体"/>
                <w:kern w:val="0"/>
                <w:sz w:val="24"/>
                <w:szCs w:val="24"/>
                <w:lang w:val="en-US" w:eastAsia="zh-CN"/>
              </w:rPr>
              <w:t>价格</w:t>
            </w:r>
          </w:p>
          <w:p w14:paraId="1F73D3E7">
            <w:pPr>
              <w:adjustRightInd w:val="0"/>
              <w:spacing w:line="360" w:lineRule="atLeast"/>
              <w:jc w:val="center"/>
              <w:textAlignment w:val="baseline"/>
              <w:rPr>
                <w:rFonts w:cs="宋体"/>
                <w:kern w:val="0"/>
                <w:sz w:val="24"/>
                <w:szCs w:val="24"/>
              </w:rPr>
            </w:pPr>
            <w:r>
              <w:rPr>
                <w:rFonts w:hint="eastAsia" w:cs="宋体"/>
                <w:kern w:val="0"/>
                <w:sz w:val="24"/>
                <w:szCs w:val="24"/>
              </w:rPr>
              <w:t>单位：元</w:t>
            </w:r>
          </w:p>
        </w:tc>
      </w:tr>
      <w:tr w14:paraId="328231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40" w:hRule="exact"/>
          <w:jc w:val="center"/>
        </w:trPr>
        <w:tc>
          <w:tcPr>
            <w:tcW w:w="1831" w:type="dxa"/>
            <w:shd w:val="clear" w:color="auto" w:fill="auto"/>
            <w:vAlign w:val="center"/>
          </w:tcPr>
          <w:p w14:paraId="6F8C0EAE">
            <w:pPr>
              <w:spacing w:line="240" w:lineRule="auto"/>
              <w:jc w:val="center"/>
              <w:rPr>
                <w:rFonts w:hint="default" w:ascii="Times New Roman" w:hAnsi="Times New Roman" w:eastAsia="宋体" w:cs="Times New Roman"/>
                <w:kern w:val="2"/>
                <w:sz w:val="22"/>
                <w:lang w:val="en-US" w:eastAsia="zh-CN" w:bidi="ar-SA"/>
              </w:rPr>
            </w:pPr>
            <w:r>
              <w:rPr>
                <w:rFonts w:hint="eastAsia"/>
                <w:sz w:val="22"/>
                <w:lang w:val="en-US" w:eastAsia="zh-CN"/>
              </w:rPr>
              <w:t>工业用触屏一体机</w:t>
            </w:r>
          </w:p>
        </w:tc>
        <w:tc>
          <w:tcPr>
            <w:tcW w:w="4731" w:type="dxa"/>
            <w:tcBorders>
              <w:right w:val="single" w:color="auto" w:sz="4" w:space="0"/>
            </w:tcBorders>
            <w:shd w:val="clear" w:color="auto" w:fill="auto"/>
            <w:vAlign w:val="center"/>
          </w:tcPr>
          <w:p w14:paraId="0B3392D4">
            <w:pPr>
              <w:spacing w:line="240" w:lineRule="auto"/>
              <w:jc w:val="left"/>
              <w:rPr>
                <w:rFonts w:hint="eastAsia"/>
                <w:sz w:val="22"/>
                <w:szCs w:val="18"/>
              </w:rPr>
            </w:pPr>
            <w:r>
              <w:rPr>
                <w:rFonts w:hint="eastAsia"/>
                <w:sz w:val="22"/>
                <w:szCs w:val="18"/>
              </w:rPr>
              <w:t>工业电脑一体机:</w:t>
            </w:r>
          </w:p>
          <w:p w14:paraId="04AADA07">
            <w:pPr>
              <w:spacing w:line="240" w:lineRule="auto"/>
              <w:jc w:val="left"/>
              <w:rPr>
                <w:rFonts w:hint="eastAsia"/>
                <w:sz w:val="22"/>
                <w:szCs w:val="18"/>
              </w:rPr>
            </w:pPr>
            <w:r>
              <w:rPr>
                <w:rFonts w:hint="eastAsia"/>
                <w:sz w:val="22"/>
                <w:szCs w:val="18"/>
              </w:rPr>
              <w:t>1、封闭式/17寸工业电容触摸屏/I5四代/16G内存/256G固态硬盘/WIFI/K型落地支架</w:t>
            </w:r>
          </w:p>
          <w:p w14:paraId="20399984">
            <w:pPr>
              <w:spacing w:line="240" w:lineRule="auto"/>
              <w:jc w:val="left"/>
              <w:rPr>
                <w:rFonts w:hint="eastAsia"/>
                <w:sz w:val="22"/>
                <w:szCs w:val="18"/>
              </w:rPr>
            </w:pPr>
            <w:r>
              <w:rPr>
                <w:rFonts w:hint="eastAsia"/>
                <w:sz w:val="22"/>
                <w:szCs w:val="18"/>
              </w:rPr>
              <w:t>2、支持扫描功能:正确识别率不低于99%;可读条码类别:条形码和二维码</w:t>
            </w:r>
          </w:p>
          <w:p w14:paraId="794CFBB2">
            <w:pPr>
              <w:spacing w:line="240" w:lineRule="auto"/>
              <w:jc w:val="left"/>
              <w:rPr>
                <w:rFonts w:ascii="Times New Roman" w:hAnsi="Times New Roman" w:eastAsia="宋体" w:cs="Times New Roman"/>
                <w:kern w:val="2"/>
                <w:sz w:val="22"/>
                <w:szCs w:val="18"/>
                <w:lang w:val="en-US" w:eastAsia="zh-CN" w:bidi="ar-SA"/>
              </w:rPr>
            </w:pPr>
            <w:r>
              <w:rPr>
                <w:rFonts w:hint="eastAsia"/>
                <w:sz w:val="22"/>
                <w:szCs w:val="18"/>
                <w:lang w:val="en-US" w:eastAsia="zh-CN"/>
              </w:rPr>
              <w:t>3</w:t>
            </w:r>
            <w:r>
              <w:rPr>
                <w:rFonts w:hint="eastAsia"/>
                <w:sz w:val="22"/>
                <w:szCs w:val="18"/>
              </w:rPr>
              <w:t>、具有无线功能(5G)</w:t>
            </w:r>
          </w:p>
        </w:tc>
        <w:tc>
          <w:tcPr>
            <w:tcW w:w="1473" w:type="dxa"/>
            <w:tcBorders>
              <w:right w:val="single" w:color="auto" w:sz="4" w:space="0"/>
            </w:tcBorders>
            <w:vAlign w:val="center"/>
          </w:tcPr>
          <w:p w14:paraId="38FD6C3E">
            <w:pPr>
              <w:spacing w:line="240" w:lineRule="auto"/>
              <w:jc w:val="center"/>
              <w:rPr>
                <w:rFonts w:hint="default" w:eastAsia="宋体"/>
                <w:b/>
                <w:bCs/>
                <w:kern w:val="44"/>
                <w:sz w:val="22"/>
                <w:szCs w:val="18"/>
                <w:lang w:val="en-US" w:eastAsia="zh-CN"/>
              </w:rPr>
            </w:pPr>
            <w:r>
              <w:rPr>
                <w:rFonts w:hint="eastAsia"/>
                <w:b/>
                <w:bCs/>
                <w:kern w:val="44"/>
                <w:sz w:val="22"/>
                <w:szCs w:val="18"/>
                <w:lang w:val="en-US" w:eastAsia="zh-CN"/>
              </w:rPr>
              <w:t>1</w:t>
            </w:r>
          </w:p>
        </w:tc>
        <w:tc>
          <w:tcPr>
            <w:tcW w:w="1377" w:type="dxa"/>
            <w:tcBorders>
              <w:left w:val="single" w:color="auto" w:sz="4" w:space="0"/>
            </w:tcBorders>
            <w:vAlign w:val="center"/>
          </w:tcPr>
          <w:p w14:paraId="6EAA60A9">
            <w:pPr>
              <w:spacing w:line="240" w:lineRule="auto"/>
              <w:jc w:val="center"/>
              <w:rPr>
                <w:b/>
                <w:bCs/>
                <w:kern w:val="44"/>
                <w:sz w:val="22"/>
                <w:szCs w:val="18"/>
              </w:rPr>
            </w:pPr>
          </w:p>
        </w:tc>
      </w:tr>
      <w:tr w14:paraId="2F0BF5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60" w:hRule="exact"/>
          <w:jc w:val="center"/>
        </w:trPr>
        <w:tc>
          <w:tcPr>
            <w:tcW w:w="1831" w:type="dxa"/>
            <w:shd w:val="clear" w:color="auto" w:fill="auto"/>
            <w:vAlign w:val="center"/>
          </w:tcPr>
          <w:p w14:paraId="19BBC69B">
            <w:pPr>
              <w:spacing w:line="240" w:lineRule="auto"/>
              <w:jc w:val="center"/>
              <w:rPr>
                <w:rFonts w:hint="default" w:ascii="Times New Roman" w:hAnsi="Times New Roman" w:eastAsia="宋体" w:cs="Times New Roman"/>
                <w:kern w:val="2"/>
                <w:sz w:val="22"/>
                <w:lang w:val="en-US" w:eastAsia="zh-CN" w:bidi="ar-SA"/>
              </w:rPr>
            </w:pPr>
            <w:r>
              <w:rPr>
                <w:rFonts w:hint="eastAsia"/>
                <w:sz w:val="22"/>
                <w:lang w:val="en-US" w:eastAsia="zh-CN"/>
              </w:rPr>
              <w:t>平板电脑/PDA</w:t>
            </w:r>
          </w:p>
        </w:tc>
        <w:tc>
          <w:tcPr>
            <w:tcW w:w="4731" w:type="dxa"/>
            <w:tcBorders>
              <w:right w:val="single" w:color="auto" w:sz="4" w:space="0"/>
            </w:tcBorders>
            <w:shd w:val="clear" w:color="auto" w:fill="auto"/>
            <w:vAlign w:val="center"/>
          </w:tcPr>
          <w:p w14:paraId="504AB796">
            <w:pPr>
              <w:spacing w:line="240" w:lineRule="auto"/>
              <w:jc w:val="center"/>
              <w:rPr>
                <w:rFonts w:ascii="Times New Roman" w:hAnsi="Times New Roman" w:eastAsia="宋体" w:cs="Times New Roman"/>
                <w:kern w:val="2"/>
                <w:sz w:val="22"/>
                <w:szCs w:val="18"/>
                <w:lang w:val="en-US" w:eastAsia="zh-CN" w:bidi="ar-SA"/>
              </w:rPr>
            </w:pPr>
            <w:r>
              <w:rPr>
                <w:rFonts w:hint="eastAsia"/>
                <w:sz w:val="22"/>
                <w:szCs w:val="18"/>
              </w:rPr>
              <w:t>全屏智能手持终端，6.2英寸触摸屏(1520X 720，工业级电容屏)，Android11，支持一维、二维码读取，IP68防护等级;具有无线功能(5G)。</w:t>
            </w:r>
          </w:p>
        </w:tc>
        <w:tc>
          <w:tcPr>
            <w:tcW w:w="1473" w:type="dxa"/>
            <w:tcBorders>
              <w:right w:val="single" w:color="auto" w:sz="4" w:space="0"/>
            </w:tcBorders>
            <w:vAlign w:val="center"/>
          </w:tcPr>
          <w:p w14:paraId="4C5053F6">
            <w:pPr>
              <w:spacing w:line="240" w:lineRule="auto"/>
              <w:jc w:val="center"/>
              <w:rPr>
                <w:rFonts w:hint="default" w:eastAsia="宋体"/>
                <w:b/>
                <w:bCs/>
                <w:kern w:val="44"/>
                <w:sz w:val="22"/>
                <w:szCs w:val="18"/>
                <w:lang w:val="en-US" w:eastAsia="zh-CN"/>
              </w:rPr>
            </w:pPr>
            <w:r>
              <w:rPr>
                <w:rFonts w:hint="eastAsia"/>
                <w:b/>
                <w:bCs/>
                <w:kern w:val="44"/>
                <w:sz w:val="22"/>
                <w:szCs w:val="18"/>
                <w:lang w:val="en-US" w:eastAsia="zh-CN"/>
              </w:rPr>
              <w:t>4</w:t>
            </w:r>
          </w:p>
        </w:tc>
        <w:tc>
          <w:tcPr>
            <w:tcW w:w="1377" w:type="dxa"/>
            <w:tcBorders>
              <w:left w:val="single" w:color="auto" w:sz="4" w:space="0"/>
            </w:tcBorders>
            <w:vAlign w:val="center"/>
          </w:tcPr>
          <w:p w14:paraId="7BB3F1EE">
            <w:pPr>
              <w:spacing w:line="240" w:lineRule="auto"/>
              <w:jc w:val="center"/>
              <w:rPr>
                <w:b/>
                <w:bCs/>
                <w:kern w:val="44"/>
                <w:sz w:val="22"/>
                <w:szCs w:val="18"/>
              </w:rPr>
            </w:pPr>
          </w:p>
        </w:tc>
      </w:tr>
      <w:tr w14:paraId="409CF2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00F5010F">
            <w:pPr>
              <w:spacing w:line="240" w:lineRule="auto"/>
              <w:jc w:val="center"/>
              <w:rPr>
                <w:rFonts w:hint="default" w:eastAsia="宋体"/>
                <w:sz w:val="22"/>
                <w:lang w:val="en-US" w:eastAsia="zh-CN"/>
              </w:rPr>
            </w:pPr>
            <w:r>
              <w:rPr>
                <w:rFonts w:hint="default" w:eastAsia="宋体"/>
                <w:sz w:val="22"/>
                <w:lang w:val="en-US" w:eastAsia="zh-CN"/>
              </w:rPr>
              <w:t>柏楚激光切割系统魔盒</w:t>
            </w:r>
          </w:p>
        </w:tc>
        <w:tc>
          <w:tcPr>
            <w:tcW w:w="4731" w:type="dxa"/>
            <w:tcBorders>
              <w:right w:val="single" w:color="auto" w:sz="4" w:space="0"/>
            </w:tcBorders>
            <w:vAlign w:val="center"/>
          </w:tcPr>
          <w:p w14:paraId="2B36E655">
            <w:pPr>
              <w:spacing w:line="240" w:lineRule="auto"/>
              <w:jc w:val="left"/>
              <w:rPr>
                <w:sz w:val="22"/>
                <w:szCs w:val="18"/>
              </w:rPr>
            </w:pPr>
            <w:r>
              <w:rPr>
                <w:rFonts w:hint="eastAsia"/>
                <w:sz w:val="22"/>
                <w:szCs w:val="18"/>
              </w:rPr>
              <w:t>1台柏楚系统直切激光魔盒，1台柏楚系统坡口切激光魔盒，用于采集柏楚设备信息。</w:t>
            </w:r>
          </w:p>
        </w:tc>
        <w:tc>
          <w:tcPr>
            <w:tcW w:w="1473" w:type="dxa"/>
            <w:tcBorders>
              <w:right w:val="single" w:color="auto" w:sz="4" w:space="0"/>
            </w:tcBorders>
            <w:vAlign w:val="center"/>
          </w:tcPr>
          <w:p w14:paraId="27D87305">
            <w:pPr>
              <w:spacing w:line="240" w:lineRule="auto"/>
              <w:jc w:val="center"/>
              <w:rPr>
                <w:rFonts w:hint="default" w:eastAsia="宋体"/>
                <w:b/>
                <w:bCs/>
                <w:kern w:val="44"/>
                <w:sz w:val="22"/>
                <w:szCs w:val="18"/>
                <w:lang w:val="en-US" w:eastAsia="zh-CN"/>
              </w:rPr>
            </w:pPr>
            <w:r>
              <w:rPr>
                <w:rFonts w:hint="eastAsia"/>
                <w:b/>
                <w:bCs/>
                <w:kern w:val="44"/>
                <w:sz w:val="22"/>
                <w:szCs w:val="18"/>
                <w:lang w:val="en-US" w:eastAsia="zh-CN"/>
              </w:rPr>
              <w:t>2</w:t>
            </w:r>
          </w:p>
        </w:tc>
        <w:tc>
          <w:tcPr>
            <w:tcW w:w="1377" w:type="dxa"/>
            <w:tcBorders>
              <w:left w:val="single" w:color="auto" w:sz="4" w:space="0"/>
            </w:tcBorders>
            <w:vAlign w:val="center"/>
          </w:tcPr>
          <w:p w14:paraId="593A485E">
            <w:pPr>
              <w:spacing w:line="240" w:lineRule="auto"/>
              <w:jc w:val="center"/>
              <w:rPr>
                <w:b/>
                <w:bCs/>
                <w:kern w:val="44"/>
                <w:sz w:val="22"/>
                <w:szCs w:val="18"/>
              </w:rPr>
            </w:pPr>
          </w:p>
        </w:tc>
      </w:tr>
      <w:tr w14:paraId="14424B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4EE489E4">
            <w:pPr>
              <w:spacing w:line="240" w:lineRule="auto"/>
              <w:jc w:val="center"/>
              <w:rPr>
                <w:rFonts w:hint="default" w:eastAsia="宋体"/>
                <w:sz w:val="22"/>
                <w:lang w:val="en-US" w:eastAsia="zh-CN"/>
              </w:rPr>
            </w:pPr>
            <w:r>
              <w:rPr>
                <w:rFonts w:hint="default" w:eastAsia="宋体"/>
                <w:sz w:val="22"/>
                <w:lang w:val="en-US" w:eastAsia="zh-CN"/>
              </w:rPr>
              <w:t>海宝切割系统的OPCUA协议</w:t>
            </w:r>
          </w:p>
        </w:tc>
        <w:tc>
          <w:tcPr>
            <w:tcW w:w="4731" w:type="dxa"/>
            <w:tcBorders>
              <w:right w:val="single" w:color="auto" w:sz="4" w:space="0"/>
            </w:tcBorders>
            <w:vAlign w:val="center"/>
          </w:tcPr>
          <w:p w14:paraId="17AF888B">
            <w:pPr>
              <w:spacing w:line="240" w:lineRule="auto"/>
              <w:jc w:val="center"/>
              <w:rPr>
                <w:sz w:val="22"/>
                <w:szCs w:val="18"/>
              </w:rPr>
            </w:pPr>
            <w:r>
              <w:rPr>
                <w:rFonts w:hint="eastAsia"/>
                <w:sz w:val="22"/>
                <w:szCs w:val="18"/>
              </w:rPr>
              <w:t>2台海宝系统精细等离子切割机的OPCUA协议，以及1台海宝系统火焰切割机，用于采集海宝切割设备的设备信息。</w:t>
            </w:r>
          </w:p>
        </w:tc>
        <w:tc>
          <w:tcPr>
            <w:tcW w:w="1473" w:type="dxa"/>
            <w:tcBorders>
              <w:right w:val="single" w:color="auto" w:sz="4" w:space="0"/>
            </w:tcBorders>
            <w:vAlign w:val="center"/>
          </w:tcPr>
          <w:p w14:paraId="2DFFC4B1">
            <w:pPr>
              <w:spacing w:line="240" w:lineRule="auto"/>
              <w:jc w:val="center"/>
              <w:rPr>
                <w:rFonts w:hint="default" w:eastAsia="宋体"/>
                <w:b/>
                <w:bCs/>
                <w:kern w:val="44"/>
                <w:sz w:val="22"/>
                <w:szCs w:val="18"/>
                <w:lang w:val="en-US" w:eastAsia="zh-CN"/>
              </w:rPr>
            </w:pPr>
            <w:r>
              <w:rPr>
                <w:rFonts w:hint="eastAsia"/>
                <w:b/>
                <w:bCs/>
                <w:kern w:val="44"/>
                <w:sz w:val="22"/>
                <w:szCs w:val="18"/>
                <w:lang w:val="en-US" w:eastAsia="zh-CN"/>
              </w:rPr>
              <w:t>3</w:t>
            </w:r>
          </w:p>
        </w:tc>
        <w:tc>
          <w:tcPr>
            <w:tcW w:w="1377" w:type="dxa"/>
            <w:tcBorders>
              <w:left w:val="single" w:color="auto" w:sz="4" w:space="0"/>
            </w:tcBorders>
            <w:vAlign w:val="center"/>
          </w:tcPr>
          <w:p w14:paraId="3E2F0EAF">
            <w:pPr>
              <w:spacing w:line="240" w:lineRule="auto"/>
              <w:jc w:val="center"/>
              <w:rPr>
                <w:b/>
                <w:bCs/>
                <w:kern w:val="44"/>
                <w:sz w:val="22"/>
                <w:szCs w:val="18"/>
              </w:rPr>
            </w:pPr>
          </w:p>
        </w:tc>
      </w:tr>
      <w:tr w14:paraId="1726C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51E39B4F">
            <w:pPr>
              <w:spacing w:line="240" w:lineRule="auto"/>
              <w:jc w:val="center"/>
              <w:rPr>
                <w:rFonts w:hint="default" w:eastAsia="宋体"/>
                <w:sz w:val="22"/>
                <w:lang w:val="en-US" w:eastAsia="zh-CN"/>
              </w:rPr>
            </w:pPr>
            <w:r>
              <w:rPr>
                <w:rFonts w:hint="default" w:eastAsia="宋体"/>
                <w:sz w:val="22"/>
                <w:lang w:val="en-US" w:eastAsia="zh-CN"/>
              </w:rPr>
              <w:t>方菱切割系统的OPCUA协议</w:t>
            </w:r>
          </w:p>
        </w:tc>
        <w:tc>
          <w:tcPr>
            <w:tcW w:w="4731" w:type="dxa"/>
            <w:tcBorders>
              <w:right w:val="single" w:color="auto" w:sz="4" w:space="0"/>
            </w:tcBorders>
            <w:vAlign w:val="center"/>
          </w:tcPr>
          <w:p w14:paraId="5647ECFF">
            <w:pPr>
              <w:spacing w:line="240" w:lineRule="auto"/>
              <w:jc w:val="center"/>
              <w:rPr>
                <w:sz w:val="22"/>
                <w:szCs w:val="18"/>
              </w:rPr>
            </w:pPr>
            <w:r>
              <w:rPr>
                <w:rFonts w:hint="eastAsia"/>
                <w:sz w:val="22"/>
                <w:szCs w:val="18"/>
              </w:rPr>
              <w:t>3台方菱系统火焰切割机OPCUA协议，用于采集方菱系统切割设备的信息。</w:t>
            </w:r>
          </w:p>
        </w:tc>
        <w:tc>
          <w:tcPr>
            <w:tcW w:w="1473" w:type="dxa"/>
            <w:tcBorders>
              <w:right w:val="single" w:color="auto" w:sz="4" w:space="0"/>
            </w:tcBorders>
            <w:vAlign w:val="center"/>
          </w:tcPr>
          <w:p w14:paraId="39C63722">
            <w:pPr>
              <w:spacing w:line="240" w:lineRule="auto"/>
              <w:jc w:val="center"/>
              <w:rPr>
                <w:rFonts w:hint="eastAsia" w:eastAsia="宋体"/>
                <w:b/>
                <w:bCs/>
                <w:kern w:val="44"/>
                <w:sz w:val="22"/>
                <w:szCs w:val="18"/>
                <w:lang w:val="en-US" w:eastAsia="zh-CN"/>
              </w:rPr>
            </w:pPr>
            <w:r>
              <w:rPr>
                <w:rFonts w:hint="eastAsia"/>
                <w:b/>
                <w:bCs/>
                <w:kern w:val="44"/>
                <w:sz w:val="22"/>
                <w:szCs w:val="18"/>
                <w:lang w:val="en-US" w:eastAsia="zh-CN"/>
              </w:rPr>
              <w:t>3</w:t>
            </w:r>
          </w:p>
        </w:tc>
        <w:tc>
          <w:tcPr>
            <w:tcW w:w="1377" w:type="dxa"/>
            <w:tcBorders>
              <w:left w:val="single" w:color="auto" w:sz="4" w:space="0"/>
            </w:tcBorders>
            <w:vAlign w:val="center"/>
          </w:tcPr>
          <w:p w14:paraId="3B304767">
            <w:pPr>
              <w:spacing w:line="240" w:lineRule="auto"/>
              <w:jc w:val="center"/>
              <w:rPr>
                <w:b/>
                <w:bCs/>
                <w:kern w:val="44"/>
                <w:sz w:val="22"/>
                <w:szCs w:val="18"/>
              </w:rPr>
            </w:pPr>
          </w:p>
        </w:tc>
      </w:tr>
      <w:tr w14:paraId="29FFE7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562" w:type="dxa"/>
            <w:gridSpan w:val="2"/>
            <w:tcBorders>
              <w:right w:val="single" w:color="auto" w:sz="4" w:space="0"/>
            </w:tcBorders>
            <w:vAlign w:val="center"/>
          </w:tcPr>
          <w:p w14:paraId="2038A3D8">
            <w:pPr>
              <w:jc w:val="center"/>
              <w:rPr>
                <w:sz w:val="22"/>
                <w:szCs w:val="18"/>
              </w:rPr>
            </w:pPr>
            <w:r>
              <w:rPr>
                <w:rFonts w:hint="eastAsia" w:cs="宋体"/>
                <w:sz w:val="22"/>
              </w:rPr>
              <w:t>合计</w:t>
            </w:r>
          </w:p>
        </w:tc>
        <w:tc>
          <w:tcPr>
            <w:tcW w:w="1473" w:type="dxa"/>
            <w:tcBorders>
              <w:top w:val="single" w:color="auto" w:sz="4" w:space="0"/>
              <w:right w:val="single" w:color="auto" w:sz="4" w:space="0"/>
            </w:tcBorders>
            <w:vAlign w:val="center"/>
          </w:tcPr>
          <w:p w14:paraId="3A012C27">
            <w:pPr>
              <w:jc w:val="center"/>
              <w:rPr>
                <w:sz w:val="22"/>
                <w:szCs w:val="18"/>
              </w:rPr>
            </w:pPr>
          </w:p>
        </w:tc>
        <w:tc>
          <w:tcPr>
            <w:tcW w:w="1377" w:type="dxa"/>
            <w:tcBorders>
              <w:top w:val="single" w:color="auto" w:sz="4" w:space="0"/>
              <w:left w:val="single" w:color="auto" w:sz="4" w:space="0"/>
            </w:tcBorders>
            <w:vAlign w:val="center"/>
          </w:tcPr>
          <w:p w14:paraId="0E851E71">
            <w:pPr>
              <w:jc w:val="center"/>
              <w:rPr>
                <w:sz w:val="22"/>
                <w:szCs w:val="18"/>
              </w:rPr>
            </w:pPr>
          </w:p>
        </w:tc>
      </w:tr>
      <w:tr w14:paraId="2E997C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412" w:type="dxa"/>
            <w:gridSpan w:val="4"/>
            <w:vAlign w:val="center"/>
          </w:tcPr>
          <w:p w14:paraId="7C4284DB">
            <w:pPr>
              <w:spacing w:line="360" w:lineRule="auto"/>
              <w:rPr>
                <w:rFonts w:cs="宋体"/>
                <w:sz w:val="24"/>
                <w:szCs w:val="24"/>
                <w:u w:val="single"/>
              </w:rPr>
            </w:pPr>
            <w:r>
              <w:rPr>
                <w:rFonts w:hint="eastAsia" w:cs="宋体"/>
                <w:sz w:val="24"/>
                <w:szCs w:val="24"/>
              </w:rPr>
              <w:t>投标总价（含税）： 小写金额：</w:t>
            </w:r>
            <w:r>
              <w:rPr>
                <w:rFonts w:hint="eastAsia" w:cs="宋体"/>
                <w:sz w:val="24"/>
                <w:szCs w:val="24"/>
                <w:u w:val="single"/>
              </w:rPr>
              <w:t xml:space="preserve">           </w:t>
            </w:r>
          </w:p>
          <w:p w14:paraId="7FD4626E">
            <w:pPr>
              <w:ind w:firstLine="2160" w:firstLineChars="900"/>
              <w:rPr>
                <w:sz w:val="22"/>
                <w:szCs w:val="18"/>
              </w:rPr>
            </w:pPr>
            <w:r>
              <w:rPr>
                <w:rFonts w:hint="eastAsia" w:cs="宋体"/>
                <w:sz w:val="24"/>
                <w:szCs w:val="24"/>
              </w:rPr>
              <w:t>大写金额：</w:t>
            </w:r>
            <w:r>
              <w:rPr>
                <w:rFonts w:hint="eastAsia" w:cs="宋体"/>
                <w:sz w:val="24"/>
                <w:szCs w:val="24"/>
                <w:u w:val="single"/>
              </w:rPr>
              <w:t xml:space="preserve">           </w:t>
            </w:r>
          </w:p>
        </w:tc>
      </w:tr>
    </w:tbl>
    <w:p w14:paraId="35DB22D7">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68806AAD">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4CB10D4E">
      <w:pPr>
        <w:autoSpaceDE w:val="0"/>
        <w:autoSpaceDN w:val="0"/>
        <w:adjustRightIn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1B896DFA">
      <w:pPr>
        <w:rPr>
          <w:rFonts w:hint="eastAsia" w:cs="宋体"/>
          <w:b/>
          <w:bCs/>
          <w:kern w:val="0"/>
          <w:sz w:val="28"/>
          <w:szCs w:val="28"/>
        </w:rPr>
      </w:pPr>
    </w:p>
    <w:p w14:paraId="6C9A5684">
      <w:pPr>
        <w:keepNext/>
        <w:keepLines/>
        <w:spacing w:before="120" w:beforeLines="50" w:after="120" w:afterLines="50" w:line="415" w:lineRule="auto"/>
        <w:jc w:val="center"/>
        <w:rPr>
          <w:rFonts w:cs="宋体"/>
          <w:b/>
          <w:bCs/>
          <w:kern w:val="0"/>
          <w:sz w:val="28"/>
          <w:szCs w:val="28"/>
        </w:rPr>
      </w:pPr>
      <w:r>
        <w:rPr>
          <w:rFonts w:hint="eastAsia" w:cs="宋体"/>
          <w:b/>
          <w:bCs/>
          <w:kern w:val="0"/>
          <w:sz w:val="28"/>
          <w:szCs w:val="28"/>
        </w:rPr>
        <w:t>四、投标人资格证明文件</w:t>
      </w:r>
      <w:bookmarkEnd w:id="280"/>
    </w:p>
    <w:p w14:paraId="77F60780">
      <w:pPr>
        <w:spacing w:line="360" w:lineRule="auto"/>
        <w:rPr>
          <w:rFonts w:cs="宋体"/>
          <w:sz w:val="24"/>
          <w:u w:val="single"/>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tbl>
      <w:tblPr>
        <w:tblStyle w:val="28"/>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736"/>
        <w:gridCol w:w="1691"/>
      </w:tblGrid>
      <w:tr w14:paraId="0E8B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48ABBF4">
            <w:pPr>
              <w:ind w:left="-53" w:leftChars="-25" w:right="-40" w:rightChars="-19"/>
              <w:jc w:val="center"/>
              <w:rPr>
                <w:rFonts w:cs="宋体"/>
                <w:sz w:val="24"/>
              </w:rPr>
            </w:pPr>
            <w:r>
              <w:rPr>
                <w:rFonts w:hint="eastAsia" w:cs="宋体"/>
                <w:sz w:val="24"/>
              </w:rPr>
              <w:t>序号</w:t>
            </w:r>
          </w:p>
        </w:tc>
        <w:tc>
          <w:tcPr>
            <w:tcW w:w="6736" w:type="dxa"/>
            <w:tcBorders>
              <w:top w:val="single" w:color="auto" w:sz="4" w:space="0"/>
              <w:left w:val="nil"/>
              <w:bottom w:val="single" w:color="auto" w:sz="4" w:space="0"/>
              <w:right w:val="single" w:color="auto" w:sz="4" w:space="0"/>
            </w:tcBorders>
            <w:vAlign w:val="center"/>
          </w:tcPr>
          <w:p w14:paraId="49593C42">
            <w:pPr>
              <w:jc w:val="center"/>
              <w:rPr>
                <w:rFonts w:cs="宋体"/>
                <w:sz w:val="24"/>
              </w:rPr>
            </w:pPr>
            <w:r>
              <w:rPr>
                <w:rFonts w:hint="eastAsia" w:cs="宋体"/>
                <w:sz w:val="24"/>
              </w:rPr>
              <w:t>应提供的证明文件</w:t>
            </w:r>
          </w:p>
        </w:tc>
        <w:tc>
          <w:tcPr>
            <w:tcW w:w="1691" w:type="dxa"/>
            <w:tcBorders>
              <w:top w:val="single" w:color="auto" w:sz="4" w:space="0"/>
              <w:left w:val="nil"/>
              <w:bottom w:val="single" w:color="auto" w:sz="4" w:space="0"/>
              <w:right w:val="single" w:color="auto" w:sz="4" w:space="0"/>
            </w:tcBorders>
            <w:vAlign w:val="center"/>
          </w:tcPr>
          <w:p w14:paraId="7F6987CA">
            <w:pPr>
              <w:jc w:val="center"/>
              <w:rPr>
                <w:rFonts w:cs="宋体"/>
                <w:sz w:val="24"/>
              </w:rPr>
            </w:pPr>
            <w:r>
              <w:rPr>
                <w:rFonts w:hint="eastAsia" w:cs="宋体"/>
                <w:sz w:val="24"/>
              </w:rPr>
              <w:t>对应投标文件页码</w:t>
            </w:r>
          </w:p>
        </w:tc>
      </w:tr>
      <w:tr w14:paraId="70D7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0F2E400">
            <w:pPr>
              <w:spacing w:before="60" w:beforeLines="25" w:after="60" w:afterLines="25"/>
              <w:ind w:left="-53" w:leftChars="-25" w:right="-40" w:rightChars="-19"/>
              <w:jc w:val="center"/>
              <w:rPr>
                <w:rFonts w:cs="宋体"/>
                <w:sz w:val="24"/>
              </w:rPr>
            </w:pPr>
            <w:r>
              <w:rPr>
                <w:rFonts w:hint="eastAsia" w:cs="宋体"/>
                <w:sz w:val="24"/>
              </w:rPr>
              <w:t>（1）</w:t>
            </w:r>
          </w:p>
        </w:tc>
        <w:tc>
          <w:tcPr>
            <w:tcW w:w="6736" w:type="dxa"/>
            <w:tcBorders>
              <w:top w:val="single" w:color="auto" w:sz="4" w:space="0"/>
              <w:left w:val="nil"/>
              <w:bottom w:val="single" w:color="auto" w:sz="4" w:space="0"/>
              <w:right w:val="single" w:color="auto" w:sz="4" w:space="0"/>
            </w:tcBorders>
            <w:vAlign w:val="center"/>
          </w:tcPr>
          <w:p w14:paraId="51219F14">
            <w:pPr>
              <w:snapToGrid w:val="0"/>
              <w:spacing w:line="360" w:lineRule="auto"/>
              <w:ind w:left="69" w:firstLine="420" w:firstLineChars="200"/>
              <w:rPr>
                <w:rFonts w:cs="宋体"/>
                <w:bCs/>
                <w:sz w:val="24"/>
                <w:szCs w:val="24"/>
              </w:rPr>
            </w:pPr>
            <w:r>
              <w:rPr>
                <w:rFonts w:hint="eastAsia"/>
                <w:bCs/>
                <w:szCs w:val="21"/>
              </w:rPr>
              <w:t>1、投标人应具备独立的法人资格，并提供加载有统一社会征信代码的营业执照的复印件。</w:t>
            </w:r>
          </w:p>
        </w:tc>
        <w:tc>
          <w:tcPr>
            <w:tcW w:w="1691" w:type="dxa"/>
            <w:tcBorders>
              <w:top w:val="single" w:color="auto" w:sz="4" w:space="0"/>
              <w:left w:val="nil"/>
              <w:bottom w:val="single" w:color="auto" w:sz="4" w:space="0"/>
              <w:right w:val="single" w:color="auto" w:sz="4" w:space="0"/>
            </w:tcBorders>
            <w:vAlign w:val="center"/>
          </w:tcPr>
          <w:p w14:paraId="11E09C42">
            <w:pPr>
              <w:spacing w:before="60" w:beforeLines="25" w:after="60" w:afterLines="25"/>
              <w:jc w:val="center"/>
              <w:rPr>
                <w:rFonts w:cs="宋体"/>
                <w:sz w:val="24"/>
              </w:rPr>
            </w:pPr>
          </w:p>
        </w:tc>
      </w:tr>
      <w:tr w14:paraId="515D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E20E0DC">
            <w:pPr>
              <w:spacing w:before="60" w:beforeLines="25" w:after="60" w:afterLines="25"/>
              <w:ind w:left="-53" w:leftChars="-25" w:right="-40" w:rightChars="-19"/>
              <w:jc w:val="center"/>
              <w:rPr>
                <w:rFonts w:cs="宋体"/>
                <w:sz w:val="24"/>
              </w:rPr>
            </w:pPr>
            <w:r>
              <w:rPr>
                <w:rFonts w:hint="eastAsia" w:cs="宋体"/>
                <w:sz w:val="24"/>
              </w:rPr>
              <w:t>（2）</w:t>
            </w:r>
          </w:p>
        </w:tc>
        <w:tc>
          <w:tcPr>
            <w:tcW w:w="6736" w:type="dxa"/>
            <w:tcBorders>
              <w:top w:val="single" w:color="auto" w:sz="4" w:space="0"/>
              <w:left w:val="nil"/>
              <w:bottom w:val="single" w:color="auto" w:sz="4" w:space="0"/>
              <w:right w:val="single" w:color="auto" w:sz="4" w:space="0"/>
            </w:tcBorders>
            <w:vAlign w:val="center"/>
          </w:tcPr>
          <w:p w14:paraId="1E5F009C">
            <w:pPr>
              <w:snapToGrid w:val="0"/>
              <w:spacing w:line="360" w:lineRule="auto"/>
              <w:ind w:left="69" w:firstLine="420" w:firstLineChars="200"/>
              <w:rPr>
                <w:rFonts w:cs="宋体"/>
                <w:bCs/>
                <w:sz w:val="24"/>
                <w:szCs w:val="24"/>
              </w:rPr>
            </w:pPr>
            <w:r>
              <w:rPr>
                <w:rFonts w:hint="eastAsia"/>
                <w:bCs/>
                <w:szCs w:val="21"/>
              </w:rPr>
              <w:t>2、投标人代表若不是法定代表人的，应提供法人授权书原件，并加盖投标人公章。</w:t>
            </w:r>
          </w:p>
        </w:tc>
        <w:tc>
          <w:tcPr>
            <w:tcW w:w="1691" w:type="dxa"/>
            <w:tcBorders>
              <w:top w:val="single" w:color="auto" w:sz="4" w:space="0"/>
              <w:left w:val="nil"/>
              <w:bottom w:val="single" w:color="auto" w:sz="4" w:space="0"/>
              <w:right w:val="single" w:color="auto" w:sz="4" w:space="0"/>
            </w:tcBorders>
            <w:vAlign w:val="center"/>
          </w:tcPr>
          <w:p w14:paraId="3DA72C5A">
            <w:pPr>
              <w:spacing w:before="60" w:beforeLines="25" w:after="60" w:afterLines="25"/>
              <w:jc w:val="center"/>
              <w:rPr>
                <w:rFonts w:cs="宋体"/>
                <w:sz w:val="24"/>
              </w:rPr>
            </w:pPr>
          </w:p>
        </w:tc>
      </w:tr>
      <w:tr w14:paraId="54AF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1150766">
            <w:pPr>
              <w:spacing w:before="60" w:beforeLines="25" w:after="60" w:afterLines="25"/>
              <w:ind w:left="-53" w:leftChars="-25" w:right="-40" w:rightChars="-19"/>
              <w:jc w:val="center"/>
              <w:rPr>
                <w:rFonts w:cs="宋体"/>
                <w:sz w:val="24"/>
              </w:rPr>
            </w:pPr>
            <w:r>
              <w:rPr>
                <w:rFonts w:hint="eastAsia" w:cs="宋体"/>
                <w:sz w:val="24"/>
              </w:rPr>
              <w:t>（3）</w:t>
            </w:r>
          </w:p>
        </w:tc>
        <w:tc>
          <w:tcPr>
            <w:tcW w:w="6736" w:type="dxa"/>
            <w:tcBorders>
              <w:top w:val="single" w:color="auto" w:sz="4" w:space="0"/>
              <w:left w:val="nil"/>
              <w:bottom w:val="single" w:color="auto" w:sz="4" w:space="0"/>
              <w:right w:val="single" w:color="auto" w:sz="4" w:space="0"/>
            </w:tcBorders>
            <w:vAlign w:val="center"/>
          </w:tcPr>
          <w:p w14:paraId="1EC981D7">
            <w:pPr>
              <w:snapToGrid w:val="0"/>
              <w:spacing w:line="360" w:lineRule="auto"/>
              <w:ind w:left="69" w:firstLine="420" w:firstLineChars="200"/>
              <w:rPr>
                <w:rFonts w:cs="宋体"/>
                <w:bCs/>
                <w:sz w:val="24"/>
                <w:szCs w:val="24"/>
              </w:rPr>
            </w:pPr>
            <w:r>
              <w:rPr>
                <w:rFonts w:hint="eastAsia"/>
                <w:bCs/>
                <w:szCs w:val="21"/>
              </w:rPr>
              <w:t>3、投标人若非投标系统的制造商，则须提供制造商或国外制造商在国内合法的分支机构出具的授权函，原件备查。</w:t>
            </w:r>
          </w:p>
        </w:tc>
        <w:tc>
          <w:tcPr>
            <w:tcW w:w="1691" w:type="dxa"/>
            <w:tcBorders>
              <w:top w:val="single" w:color="auto" w:sz="4" w:space="0"/>
              <w:left w:val="nil"/>
              <w:bottom w:val="single" w:color="auto" w:sz="4" w:space="0"/>
              <w:right w:val="single" w:color="auto" w:sz="4" w:space="0"/>
            </w:tcBorders>
            <w:vAlign w:val="center"/>
          </w:tcPr>
          <w:p w14:paraId="3386C7E9">
            <w:pPr>
              <w:spacing w:before="60" w:beforeLines="25" w:after="60" w:afterLines="25"/>
              <w:jc w:val="center"/>
              <w:rPr>
                <w:rFonts w:cs="宋体"/>
                <w:sz w:val="24"/>
              </w:rPr>
            </w:pPr>
          </w:p>
        </w:tc>
      </w:tr>
      <w:tr w14:paraId="6D6C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E288DFE">
            <w:pPr>
              <w:spacing w:before="60" w:beforeLines="25" w:after="60" w:afterLines="25"/>
              <w:ind w:left="-53" w:leftChars="-25" w:right="-40" w:rightChars="-19"/>
              <w:jc w:val="center"/>
              <w:rPr>
                <w:rFonts w:cs="宋体"/>
                <w:sz w:val="24"/>
              </w:rPr>
            </w:pPr>
            <w:r>
              <w:rPr>
                <w:rFonts w:hint="eastAsia" w:cs="宋体"/>
                <w:sz w:val="24"/>
              </w:rPr>
              <w:t>（4）</w:t>
            </w:r>
          </w:p>
        </w:tc>
        <w:tc>
          <w:tcPr>
            <w:tcW w:w="6736" w:type="dxa"/>
            <w:tcBorders>
              <w:top w:val="single" w:color="auto" w:sz="4" w:space="0"/>
              <w:left w:val="nil"/>
              <w:bottom w:val="single" w:color="auto" w:sz="4" w:space="0"/>
              <w:right w:val="single" w:color="auto" w:sz="4" w:space="0"/>
            </w:tcBorders>
            <w:vAlign w:val="center"/>
          </w:tcPr>
          <w:p w14:paraId="74DC3ADD">
            <w:pPr>
              <w:snapToGrid w:val="0"/>
              <w:spacing w:line="360" w:lineRule="auto"/>
              <w:ind w:left="69" w:firstLine="420" w:firstLineChars="200"/>
              <w:rPr>
                <w:rFonts w:cs="宋体"/>
                <w:bCs/>
                <w:sz w:val="24"/>
                <w:szCs w:val="24"/>
              </w:rPr>
            </w:pPr>
            <w:r>
              <w:rPr>
                <w:rFonts w:hint="eastAsia"/>
                <w:bCs/>
                <w:szCs w:val="21"/>
              </w:rPr>
              <w:t>5、本项目</w:t>
            </w:r>
            <w:r>
              <w:rPr>
                <w:rStyle w:val="34"/>
                <w:rFonts w:hint="eastAsia"/>
                <w:bCs/>
                <w:kern w:val="0"/>
              </w:rPr>
              <w:t>不</w:t>
            </w:r>
            <w:r>
              <w:rPr>
                <w:rFonts w:hint="eastAsia"/>
                <w:bCs/>
                <w:szCs w:val="21"/>
              </w:rPr>
              <w:t>接受联合体投标</w:t>
            </w:r>
          </w:p>
        </w:tc>
        <w:tc>
          <w:tcPr>
            <w:tcW w:w="1691" w:type="dxa"/>
            <w:tcBorders>
              <w:top w:val="single" w:color="auto" w:sz="4" w:space="0"/>
              <w:left w:val="nil"/>
              <w:bottom w:val="single" w:color="auto" w:sz="4" w:space="0"/>
              <w:right w:val="single" w:color="auto" w:sz="4" w:space="0"/>
            </w:tcBorders>
            <w:vAlign w:val="center"/>
          </w:tcPr>
          <w:p w14:paraId="3FCB1836">
            <w:pPr>
              <w:spacing w:before="60" w:beforeLines="25" w:after="60" w:afterLines="25"/>
              <w:jc w:val="center"/>
              <w:rPr>
                <w:rFonts w:cs="宋体"/>
                <w:sz w:val="24"/>
              </w:rPr>
            </w:pPr>
          </w:p>
        </w:tc>
      </w:tr>
    </w:tbl>
    <w:p w14:paraId="7C51C350">
      <w:pPr>
        <w:widowControl/>
        <w:spacing w:line="360" w:lineRule="auto"/>
        <w:jc w:val="center"/>
        <w:rPr>
          <w:rFonts w:cs="宋体"/>
          <w:kern w:val="0"/>
          <w:sz w:val="24"/>
          <w:szCs w:val="24"/>
        </w:rPr>
      </w:pPr>
      <w:r>
        <w:rPr>
          <w:rFonts w:hint="eastAsia" w:cs="宋体"/>
          <w:kern w:val="0"/>
          <w:sz w:val="24"/>
          <w:szCs w:val="24"/>
        </w:rPr>
        <w:t> </w:t>
      </w:r>
    </w:p>
    <w:p w14:paraId="67BEBE62">
      <w:pPr>
        <w:spacing w:line="360" w:lineRule="auto"/>
        <w:rPr>
          <w:rFonts w:cs="宋体"/>
          <w:sz w:val="24"/>
          <w:szCs w:val="24"/>
        </w:rPr>
      </w:pPr>
      <w:r>
        <w:rPr>
          <w:rFonts w:hint="eastAsia" w:cs="宋体"/>
          <w:sz w:val="24"/>
        </w:rPr>
        <w:t>投标人应按招标文件要求提交的资格证明文件加盖投标人的单位公章后应在此项下提交。</w:t>
      </w:r>
    </w:p>
    <w:p w14:paraId="1B9AAC37">
      <w:pPr>
        <w:spacing w:line="360" w:lineRule="auto"/>
        <w:ind w:firstLine="4200" w:firstLineChars="1750"/>
        <w:rPr>
          <w:rFonts w:cs="宋体"/>
          <w:sz w:val="24"/>
          <w:szCs w:val="24"/>
        </w:rPr>
      </w:pPr>
      <w:r>
        <w:rPr>
          <w:rFonts w:hint="eastAsia" w:cs="宋体"/>
          <w:sz w:val="24"/>
          <w:szCs w:val="24"/>
        </w:rPr>
        <w:t xml:space="preserve"> </w:t>
      </w:r>
    </w:p>
    <w:p w14:paraId="17CD8210">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42036F9D">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18DD9EAC">
      <w:pPr>
        <w:autoSpaceDE w:val="0"/>
        <w:autoSpaceDN w:val="0"/>
        <w:adjustRightInd w:val="0"/>
        <w:spacing w:line="480" w:lineRule="auto"/>
        <w:jc w:val="right"/>
        <w:rPr>
          <w:rFonts w:cs="宋体"/>
          <w:b/>
          <w:bCs/>
          <w:kern w:val="0"/>
          <w:sz w:val="28"/>
          <w:szCs w:val="28"/>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091CEEA6">
      <w:pPr>
        <w:pStyle w:val="3"/>
        <w:rPr>
          <w:rFonts w:hint="eastAsia"/>
        </w:rPr>
      </w:pPr>
    </w:p>
    <w:p w14:paraId="35FC18B1">
      <w:pPr>
        <w:keepNext/>
        <w:keepLines/>
        <w:spacing w:before="120" w:beforeLines="50" w:after="120" w:afterLines="50" w:line="415" w:lineRule="auto"/>
        <w:jc w:val="center"/>
        <w:rPr>
          <w:rFonts w:cs="宋体"/>
          <w:b/>
          <w:bCs/>
          <w:kern w:val="0"/>
          <w:sz w:val="30"/>
          <w:szCs w:val="30"/>
        </w:rPr>
      </w:pPr>
      <w:bookmarkStart w:id="281" w:name="_Toc148459150"/>
      <w:r>
        <w:rPr>
          <w:rFonts w:hint="eastAsia" w:cs="宋体"/>
          <w:b/>
          <w:bCs/>
          <w:kern w:val="0"/>
          <w:sz w:val="28"/>
          <w:szCs w:val="28"/>
        </w:rPr>
        <w:t>五、带“★”号条款响应表</w:t>
      </w:r>
      <w:bookmarkEnd w:id="281"/>
    </w:p>
    <w:p w14:paraId="234C1598">
      <w:pPr>
        <w:spacing w:line="360" w:lineRule="auto"/>
        <w:rPr>
          <w:rFonts w:cs="宋体"/>
          <w:sz w:val="24"/>
          <w:u w:val="single"/>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tbl>
      <w:tblPr>
        <w:tblStyle w:val="28"/>
        <w:tblW w:w="92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1"/>
        <w:gridCol w:w="6698"/>
        <w:gridCol w:w="1625"/>
      </w:tblGrid>
      <w:tr w14:paraId="244DE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38E53326">
            <w:pPr>
              <w:spacing w:line="360" w:lineRule="auto"/>
              <w:jc w:val="center"/>
              <w:rPr>
                <w:rFonts w:cs="宋体"/>
                <w:sz w:val="24"/>
              </w:rPr>
            </w:pPr>
            <w:r>
              <w:rPr>
                <w:rFonts w:hint="eastAsia" w:cs="宋体"/>
                <w:sz w:val="24"/>
              </w:rPr>
              <w:t>序号</w:t>
            </w:r>
          </w:p>
        </w:tc>
        <w:tc>
          <w:tcPr>
            <w:tcW w:w="6698" w:type="dxa"/>
            <w:tcBorders>
              <w:top w:val="single" w:color="auto" w:sz="6" w:space="0"/>
              <w:left w:val="nil"/>
              <w:bottom w:val="single" w:color="auto" w:sz="6" w:space="0"/>
              <w:right w:val="single" w:color="auto" w:sz="6" w:space="0"/>
            </w:tcBorders>
            <w:vAlign w:val="center"/>
          </w:tcPr>
          <w:p w14:paraId="4BE804DB">
            <w:pPr>
              <w:spacing w:line="320" w:lineRule="exact"/>
              <w:jc w:val="center"/>
              <w:rPr>
                <w:rFonts w:cs="宋体"/>
                <w:sz w:val="24"/>
              </w:rPr>
            </w:pPr>
            <w:r>
              <w:rPr>
                <w:rFonts w:hint="eastAsia" w:cs="宋体"/>
                <w:sz w:val="24"/>
              </w:rPr>
              <w:t>招标文件中带“</w:t>
            </w:r>
            <w:r>
              <w:rPr>
                <w:rFonts w:hint="eastAsia" w:cs="宋体"/>
                <w:b/>
                <w:bCs/>
                <w:sz w:val="24"/>
              </w:rPr>
              <w:t>★</w:t>
            </w:r>
            <w:r>
              <w:rPr>
                <w:rFonts w:hint="eastAsia" w:cs="宋体"/>
                <w:sz w:val="24"/>
              </w:rPr>
              <w:t>”号的条款</w:t>
            </w:r>
          </w:p>
        </w:tc>
        <w:tc>
          <w:tcPr>
            <w:tcW w:w="1625" w:type="dxa"/>
            <w:tcBorders>
              <w:top w:val="single" w:color="auto" w:sz="6" w:space="0"/>
              <w:left w:val="nil"/>
              <w:bottom w:val="single" w:color="auto" w:sz="6" w:space="0"/>
              <w:right w:val="single" w:color="auto" w:sz="6" w:space="0"/>
            </w:tcBorders>
            <w:vAlign w:val="center"/>
          </w:tcPr>
          <w:p w14:paraId="1F0F2D69">
            <w:pPr>
              <w:jc w:val="center"/>
              <w:rPr>
                <w:rFonts w:cs="宋体"/>
                <w:sz w:val="24"/>
              </w:rPr>
            </w:pPr>
            <w:r>
              <w:rPr>
                <w:rFonts w:hint="eastAsia" w:cs="宋体"/>
                <w:sz w:val="24"/>
              </w:rPr>
              <w:t>对应页码/响应情况</w:t>
            </w:r>
          </w:p>
        </w:tc>
      </w:tr>
      <w:tr w14:paraId="5971C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5B6BDB83">
            <w:pPr>
              <w:spacing w:line="360" w:lineRule="auto"/>
              <w:ind w:left="69"/>
              <w:jc w:val="center"/>
              <w:rPr>
                <w:rFonts w:cs="宋体"/>
                <w:b/>
                <w:bCs/>
                <w:sz w:val="24"/>
              </w:rPr>
            </w:pPr>
            <w:r>
              <w:rPr>
                <w:rFonts w:hint="eastAsia" w:cs="宋体"/>
                <w:b/>
                <w:bCs/>
                <w:sz w:val="24"/>
              </w:rPr>
              <w:t>1</w:t>
            </w:r>
          </w:p>
        </w:tc>
        <w:tc>
          <w:tcPr>
            <w:tcW w:w="6698" w:type="dxa"/>
            <w:tcBorders>
              <w:top w:val="single" w:color="auto" w:sz="6" w:space="0"/>
              <w:left w:val="nil"/>
              <w:bottom w:val="single" w:color="auto" w:sz="6" w:space="0"/>
              <w:right w:val="single" w:color="auto" w:sz="6" w:space="0"/>
            </w:tcBorders>
            <w:vAlign w:val="center"/>
          </w:tcPr>
          <w:p w14:paraId="53D11E82">
            <w:pPr>
              <w:snapToGrid w:val="0"/>
              <w:spacing w:line="360" w:lineRule="auto"/>
              <w:rPr>
                <w:b/>
                <w:bCs/>
              </w:rPr>
            </w:pPr>
            <w:r>
              <w:rPr>
                <w:rFonts w:hint="eastAsia"/>
                <w:b/>
                <w:bCs/>
              </w:rPr>
              <w:t>★质保期：以合同设备验收合格之日起系统质保 1 年</w:t>
            </w:r>
          </w:p>
        </w:tc>
        <w:tc>
          <w:tcPr>
            <w:tcW w:w="1625" w:type="dxa"/>
            <w:tcBorders>
              <w:top w:val="single" w:color="auto" w:sz="6" w:space="0"/>
              <w:left w:val="nil"/>
              <w:bottom w:val="single" w:color="auto" w:sz="6" w:space="0"/>
              <w:right w:val="single" w:color="auto" w:sz="6" w:space="0"/>
            </w:tcBorders>
            <w:vAlign w:val="center"/>
          </w:tcPr>
          <w:p w14:paraId="188C4CFA">
            <w:pPr>
              <w:spacing w:line="360" w:lineRule="auto"/>
              <w:jc w:val="center"/>
              <w:rPr>
                <w:rFonts w:cs="宋体"/>
                <w:sz w:val="24"/>
              </w:rPr>
            </w:pPr>
          </w:p>
        </w:tc>
      </w:tr>
      <w:tr w14:paraId="20987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7DF65616">
            <w:pPr>
              <w:spacing w:line="360" w:lineRule="auto"/>
              <w:ind w:left="69"/>
              <w:jc w:val="center"/>
              <w:rPr>
                <w:rFonts w:cs="宋体"/>
                <w:b/>
                <w:bCs/>
                <w:sz w:val="24"/>
              </w:rPr>
            </w:pPr>
            <w:r>
              <w:rPr>
                <w:rFonts w:hint="eastAsia" w:cs="宋体"/>
                <w:b/>
                <w:bCs/>
                <w:sz w:val="24"/>
              </w:rPr>
              <w:t>2</w:t>
            </w:r>
          </w:p>
        </w:tc>
        <w:tc>
          <w:tcPr>
            <w:tcW w:w="6698" w:type="dxa"/>
            <w:tcBorders>
              <w:top w:val="single" w:color="auto" w:sz="6" w:space="0"/>
              <w:left w:val="nil"/>
              <w:bottom w:val="single" w:color="auto" w:sz="6" w:space="0"/>
              <w:right w:val="single" w:color="auto" w:sz="6" w:space="0"/>
            </w:tcBorders>
            <w:vAlign w:val="center"/>
          </w:tcPr>
          <w:p w14:paraId="6E518B64">
            <w:pPr>
              <w:snapToGrid w:val="0"/>
              <w:spacing w:line="360" w:lineRule="auto"/>
              <w:rPr>
                <w:b/>
                <w:bCs/>
              </w:rPr>
            </w:pPr>
            <w:r>
              <w:rPr>
                <w:rFonts w:hint="eastAsia" w:cs="宋体"/>
                <w:b/>
                <w:bCs/>
                <w:szCs w:val="21"/>
              </w:rPr>
              <w:t>★供应范围：本次招标为交钥匙工程，设备所需物料、服务等均须按招标文件技术要求由投标方负责全部提供</w:t>
            </w:r>
          </w:p>
        </w:tc>
        <w:tc>
          <w:tcPr>
            <w:tcW w:w="1625" w:type="dxa"/>
            <w:tcBorders>
              <w:top w:val="single" w:color="auto" w:sz="6" w:space="0"/>
              <w:left w:val="nil"/>
              <w:bottom w:val="single" w:color="auto" w:sz="6" w:space="0"/>
              <w:right w:val="single" w:color="auto" w:sz="6" w:space="0"/>
            </w:tcBorders>
            <w:vAlign w:val="center"/>
          </w:tcPr>
          <w:p w14:paraId="495D6FD7">
            <w:pPr>
              <w:spacing w:line="360" w:lineRule="auto"/>
              <w:jc w:val="center"/>
              <w:rPr>
                <w:rFonts w:cs="宋体"/>
                <w:sz w:val="24"/>
              </w:rPr>
            </w:pPr>
          </w:p>
        </w:tc>
      </w:tr>
      <w:tr w14:paraId="565F4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14004B96">
            <w:pPr>
              <w:spacing w:line="360" w:lineRule="auto"/>
              <w:ind w:left="69"/>
              <w:jc w:val="center"/>
              <w:rPr>
                <w:rFonts w:cs="宋体"/>
                <w:b/>
                <w:bCs/>
                <w:sz w:val="24"/>
              </w:rPr>
            </w:pPr>
            <w:r>
              <w:rPr>
                <w:rFonts w:hint="eastAsia" w:cs="宋体"/>
                <w:b/>
                <w:bCs/>
                <w:sz w:val="24"/>
              </w:rPr>
              <w:t>3</w:t>
            </w:r>
          </w:p>
        </w:tc>
        <w:tc>
          <w:tcPr>
            <w:tcW w:w="6698" w:type="dxa"/>
            <w:tcBorders>
              <w:top w:val="single" w:color="auto" w:sz="6" w:space="0"/>
              <w:left w:val="nil"/>
              <w:bottom w:val="single" w:color="auto" w:sz="6" w:space="0"/>
              <w:right w:val="single" w:color="auto" w:sz="6" w:space="0"/>
            </w:tcBorders>
            <w:vAlign w:val="center"/>
          </w:tcPr>
          <w:p w14:paraId="6A606F83">
            <w:pPr>
              <w:snapToGrid w:val="0"/>
              <w:spacing w:line="360" w:lineRule="auto"/>
              <w:rPr>
                <w:b/>
                <w:bCs/>
              </w:rPr>
            </w:pPr>
            <w:r>
              <w:rPr>
                <w:rFonts w:hint="eastAsia" w:cs="宋体"/>
                <w:b/>
                <w:bCs/>
                <w:szCs w:val="21"/>
              </w:rPr>
              <w:t>★</w:t>
            </w:r>
            <w:r>
              <w:rPr>
                <w:rFonts w:hint="eastAsia" w:cs="宋体"/>
                <w:b/>
                <w:szCs w:val="21"/>
              </w:rPr>
              <w:t>合同签订后  个月内完成整套系统部署上线，保证系统平稳稳定运行，  个月内全面完成项目交付及竣工验收工作。</w:t>
            </w:r>
          </w:p>
        </w:tc>
        <w:tc>
          <w:tcPr>
            <w:tcW w:w="1625" w:type="dxa"/>
            <w:tcBorders>
              <w:top w:val="single" w:color="auto" w:sz="6" w:space="0"/>
              <w:left w:val="nil"/>
              <w:bottom w:val="single" w:color="auto" w:sz="6" w:space="0"/>
              <w:right w:val="single" w:color="auto" w:sz="6" w:space="0"/>
            </w:tcBorders>
            <w:vAlign w:val="center"/>
          </w:tcPr>
          <w:p w14:paraId="10A2F35F">
            <w:pPr>
              <w:spacing w:line="360" w:lineRule="auto"/>
              <w:jc w:val="center"/>
              <w:rPr>
                <w:rFonts w:cs="宋体"/>
                <w:sz w:val="24"/>
              </w:rPr>
            </w:pPr>
          </w:p>
        </w:tc>
      </w:tr>
      <w:tr w14:paraId="7D60B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1FBBC357">
            <w:pPr>
              <w:spacing w:line="360" w:lineRule="auto"/>
              <w:ind w:left="69"/>
              <w:jc w:val="center"/>
              <w:rPr>
                <w:rFonts w:cs="宋体"/>
                <w:b/>
                <w:bCs/>
                <w:sz w:val="24"/>
              </w:rPr>
            </w:pPr>
            <w:r>
              <w:rPr>
                <w:rFonts w:hint="eastAsia" w:cs="宋体"/>
                <w:b/>
                <w:bCs/>
                <w:sz w:val="24"/>
              </w:rPr>
              <w:t>4</w:t>
            </w:r>
          </w:p>
        </w:tc>
        <w:tc>
          <w:tcPr>
            <w:tcW w:w="6698" w:type="dxa"/>
            <w:tcBorders>
              <w:top w:val="single" w:color="auto" w:sz="6" w:space="0"/>
              <w:left w:val="nil"/>
              <w:bottom w:val="single" w:color="auto" w:sz="6" w:space="0"/>
              <w:right w:val="single" w:color="auto" w:sz="6" w:space="0"/>
            </w:tcBorders>
            <w:vAlign w:val="center"/>
          </w:tcPr>
          <w:p w14:paraId="0141A7B7">
            <w:pPr>
              <w:adjustRightInd w:val="0"/>
              <w:snapToGrid w:val="0"/>
              <w:spacing w:line="360" w:lineRule="auto"/>
              <w:rPr>
                <w:b/>
                <w:bCs/>
              </w:rPr>
            </w:pPr>
            <w:r>
              <w:rPr>
                <w:rFonts w:hint="eastAsia" w:cs="宋体"/>
                <w:b/>
                <w:bCs/>
                <w:szCs w:val="21"/>
              </w:rPr>
              <w:t>★付款方式（详见“第四章招标内容及要求”中“五、付款方式”中的要求）</w:t>
            </w:r>
          </w:p>
        </w:tc>
        <w:tc>
          <w:tcPr>
            <w:tcW w:w="1625" w:type="dxa"/>
            <w:tcBorders>
              <w:top w:val="single" w:color="auto" w:sz="6" w:space="0"/>
              <w:left w:val="nil"/>
              <w:bottom w:val="single" w:color="auto" w:sz="6" w:space="0"/>
              <w:right w:val="single" w:color="auto" w:sz="6" w:space="0"/>
            </w:tcBorders>
            <w:vAlign w:val="center"/>
          </w:tcPr>
          <w:p w14:paraId="4ECBD96B">
            <w:pPr>
              <w:spacing w:line="360" w:lineRule="auto"/>
              <w:jc w:val="center"/>
              <w:rPr>
                <w:rFonts w:cs="宋体"/>
                <w:sz w:val="24"/>
              </w:rPr>
            </w:pPr>
          </w:p>
        </w:tc>
      </w:tr>
      <w:tr w14:paraId="1C939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018EA89A">
            <w:pPr>
              <w:spacing w:line="360" w:lineRule="auto"/>
              <w:ind w:left="69"/>
              <w:jc w:val="center"/>
              <w:rPr>
                <w:rFonts w:cs="宋体"/>
                <w:b/>
                <w:bCs/>
                <w:sz w:val="24"/>
              </w:rPr>
            </w:pPr>
            <w:r>
              <w:rPr>
                <w:rFonts w:hint="eastAsia" w:cs="宋体"/>
                <w:b/>
                <w:bCs/>
                <w:sz w:val="24"/>
              </w:rPr>
              <w:t>5</w:t>
            </w:r>
          </w:p>
        </w:tc>
        <w:tc>
          <w:tcPr>
            <w:tcW w:w="6698" w:type="dxa"/>
            <w:tcBorders>
              <w:top w:val="single" w:color="auto" w:sz="6" w:space="0"/>
              <w:left w:val="nil"/>
              <w:bottom w:val="single" w:color="auto" w:sz="6" w:space="0"/>
              <w:right w:val="single" w:color="auto" w:sz="6" w:space="0"/>
            </w:tcBorders>
            <w:vAlign w:val="center"/>
          </w:tcPr>
          <w:p w14:paraId="58E6DDCE">
            <w:pPr>
              <w:snapToGrid w:val="0"/>
              <w:spacing w:line="320" w:lineRule="exact"/>
              <w:rPr>
                <w:b/>
                <w:bCs/>
              </w:rPr>
            </w:pPr>
            <w:r>
              <w:rPr>
                <w:rFonts w:hint="eastAsia"/>
                <w:b/>
                <w:bCs/>
              </w:rPr>
              <w:t>……</w:t>
            </w:r>
          </w:p>
        </w:tc>
        <w:tc>
          <w:tcPr>
            <w:tcW w:w="1625" w:type="dxa"/>
            <w:tcBorders>
              <w:top w:val="single" w:color="auto" w:sz="6" w:space="0"/>
              <w:left w:val="nil"/>
              <w:bottom w:val="single" w:color="auto" w:sz="6" w:space="0"/>
              <w:right w:val="single" w:color="auto" w:sz="6" w:space="0"/>
            </w:tcBorders>
            <w:vAlign w:val="center"/>
          </w:tcPr>
          <w:p w14:paraId="2BD81B14">
            <w:pPr>
              <w:spacing w:line="360" w:lineRule="auto"/>
              <w:jc w:val="center"/>
              <w:rPr>
                <w:rFonts w:cs="宋体"/>
                <w:sz w:val="24"/>
              </w:rPr>
            </w:pPr>
          </w:p>
        </w:tc>
      </w:tr>
    </w:tbl>
    <w:p w14:paraId="65B39BDA">
      <w:pPr>
        <w:ind w:firstLine="482" w:firstLineChars="200"/>
        <w:jc w:val="right"/>
        <w:rPr>
          <w:rFonts w:cs="宋体"/>
          <w:b/>
          <w:bCs/>
          <w:sz w:val="24"/>
        </w:rPr>
      </w:pPr>
    </w:p>
    <w:p w14:paraId="366EE9FD">
      <w:pPr>
        <w:spacing w:line="360" w:lineRule="auto"/>
        <w:ind w:firstLine="482" w:firstLineChars="200"/>
        <w:jc w:val="right"/>
        <w:rPr>
          <w:rFonts w:cs="宋体"/>
          <w:sz w:val="24"/>
          <w:szCs w:val="24"/>
        </w:rPr>
      </w:pP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5813690C">
      <w:pPr>
        <w:autoSpaceDE w:val="0"/>
        <w:autoSpaceDN w:val="0"/>
        <w:adjustRightInd w:val="0"/>
        <w:spacing w:line="36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7BB1DEE7">
      <w:pPr>
        <w:autoSpaceDE w:val="0"/>
        <w:autoSpaceDN w:val="0"/>
        <w:adjustRightInd w:val="0"/>
        <w:spacing w:line="36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71C1332F">
      <w:pPr>
        <w:keepNext/>
        <w:keepLines/>
        <w:adjustRightInd w:val="0"/>
        <w:spacing w:before="260" w:after="260" w:line="416" w:lineRule="atLeast"/>
        <w:textAlignment w:val="baseline"/>
        <w:rPr>
          <w:rFonts w:cs="宋体"/>
          <w:b/>
          <w:bCs/>
          <w:kern w:val="0"/>
          <w:sz w:val="28"/>
          <w:szCs w:val="28"/>
        </w:rPr>
        <w:sectPr>
          <w:headerReference r:id="rId7" w:type="default"/>
          <w:footerReference r:id="rId8" w:type="default"/>
          <w:pgSz w:w="12240" w:h="15840"/>
          <w:pgMar w:top="1418" w:right="1418" w:bottom="1418" w:left="1588" w:header="567" w:footer="839" w:gutter="0"/>
          <w:cols w:space="720" w:num="1"/>
          <w:docGrid w:linePitch="299" w:charSpace="0"/>
        </w:sectPr>
      </w:pPr>
    </w:p>
    <w:p w14:paraId="1BD5883D">
      <w:pPr>
        <w:keepNext/>
        <w:keepLines/>
        <w:adjustRightInd w:val="0"/>
        <w:spacing w:before="260" w:after="260" w:line="416" w:lineRule="atLeast"/>
        <w:jc w:val="center"/>
        <w:textAlignment w:val="baseline"/>
        <w:rPr>
          <w:kern w:val="0"/>
          <w:sz w:val="28"/>
          <w:szCs w:val="28"/>
          <w:lang w:val="zh-CN"/>
        </w:rPr>
      </w:pPr>
      <w:r>
        <w:rPr>
          <w:rFonts w:hint="eastAsia" w:cs="宋体"/>
          <w:b/>
          <w:bCs/>
          <w:kern w:val="0"/>
          <w:sz w:val="28"/>
          <w:szCs w:val="28"/>
        </w:rPr>
        <w:t>六、法定代表人资格证明书</w:t>
      </w:r>
    </w:p>
    <w:p w14:paraId="69D850DE">
      <w:pPr>
        <w:autoSpaceDE w:val="0"/>
        <w:autoSpaceDN w:val="0"/>
        <w:spacing w:line="300" w:lineRule="auto"/>
        <w:jc w:val="left"/>
        <w:rPr>
          <w:rFonts w:cs="宋体"/>
          <w:kern w:val="0"/>
          <w:sz w:val="24"/>
          <w:szCs w:val="24"/>
          <w:lang w:val="zh-CN" w:bidi="zh-CN"/>
        </w:rPr>
      </w:pPr>
    </w:p>
    <w:p w14:paraId="2AA34425">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投标人名称：</w:t>
      </w:r>
      <w:r>
        <w:rPr>
          <w:rFonts w:hint="eastAsia" w:cs="宋体"/>
          <w:sz w:val="24"/>
          <w:szCs w:val="24"/>
          <w:u w:val="single"/>
          <w:lang w:val="zh-CN" w:bidi="zh-CN"/>
        </w:rPr>
        <w:t xml:space="preserve">                                                       </w:t>
      </w:r>
    </w:p>
    <w:p w14:paraId="5479FDB5">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地址：</w:t>
      </w:r>
      <w:r>
        <w:rPr>
          <w:rFonts w:hint="eastAsia" w:cs="宋体"/>
          <w:sz w:val="24"/>
          <w:szCs w:val="24"/>
          <w:u w:val="single"/>
          <w:lang w:val="zh-CN" w:bidi="zh-CN"/>
        </w:rPr>
        <w:t xml:space="preserve">                                                             </w:t>
      </w:r>
    </w:p>
    <w:p w14:paraId="6706E06B">
      <w:pPr>
        <w:autoSpaceDE w:val="0"/>
        <w:autoSpaceDN w:val="0"/>
        <w:snapToGrid w:val="0"/>
        <w:spacing w:line="480" w:lineRule="auto"/>
        <w:ind w:firstLine="240" w:firstLineChars="100"/>
        <w:jc w:val="left"/>
        <w:rPr>
          <w:rFonts w:cs="宋体"/>
          <w:sz w:val="24"/>
          <w:szCs w:val="24"/>
          <w:u w:val="single"/>
          <w:lang w:val="zh-CN" w:bidi="zh-CN"/>
        </w:rPr>
      </w:pPr>
      <w:r>
        <w:rPr>
          <w:rFonts w:hint="eastAsia" w:cs="宋体"/>
          <w:sz w:val="24"/>
          <w:szCs w:val="24"/>
          <w:lang w:val="zh-CN" w:bidi="zh-CN"/>
        </w:rPr>
        <w:t>姓名：</w:t>
      </w:r>
      <w:r>
        <w:rPr>
          <w:rFonts w:hint="eastAsia" w:cs="宋体"/>
          <w:sz w:val="24"/>
          <w:szCs w:val="24"/>
          <w:u w:val="single"/>
          <w:lang w:val="zh-CN" w:bidi="zh-CN"/>
        </w:rPr>
        <w:t xml:space="preserve">               </w:t>
      </w:r>
      <w:r>
        <w:rPr>
          <w:rFonts w:hint="eastAsia" w:cs="宋体"/>
          <w:sz w:val="24"/>
          <w:szCs w:val="24"/>
          <w:lang w:val="zh-CN" w:bidi="zh-CN"/>
        </w:rPr>
        <w:t>性别：</w:t>
      </w:r>
      <w:r>
        <w:rPr>
          <w:rFonts w:hint="eastAsia" w:cs="宋体"/>
          <w:sz w:val="24"/>
          <w:szCs w:val="24"/>
          <w:u w:val="single"/>
          <w:lang w:val="zh-CN" w:bidi="zh-CN"/>
        </w:rPr>
        <w:t xml:space="preserve">        </w:t>
      </w:r>
      <w:r>
        <w:rPr>
          <w:rFonts w:hint="eastAsia" w:cs="宋体"/>
          <w:sz w:val="24"/>
          <w:szCs w:val="24"/>
          <w:lang w:val="zh-CN" w:bidi="zh-CN"/>
        </w:rPr>
        <w:t>身份证号码：</w:t>
      </w:r>
      <w:r>
        <w:rPr>
          <w:rFonts w:hint="eastAsia" w:cs="宋体"/>
          <w:sz w:val="24"/>
          <w:szCs w:val="24"/>
          <w:u w:val="single"/>
          <w:lang w:val="zh-CN" w:bidi="zh-CN"/>
        </w:rPr>
        <w:t xml:space="preserve">                    </w:t>
      </w:r>
    </w:p>
    <w:p w14:paraId="0DDC56A5">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职务：</w:t>
      </w:r>
      <w:r>
        <w:rPr>
          <w:rFonts w:hint="eastAsia" w:cs="宋体"/>
          <w:sz w:val="24"/>
          <w:szCs w:val="24"/>
          <w:u w:val="single"/>
          <w:lang w:val="zh-CN" w:bidi="zh-CN"/>
        </w:rPr>
        <w:t xml:space="preserve">               </w:t>
      </w:r>
      <w:r>
        <w:rPr>
          <w:rFonts w:hint="eastAsia" w:cs="宋体"/>
          <w:sz w:val="24"/>
          <w:szCs w:val="24"/>
          <w:lang w:val="zh-CN" w:bidi="zh-CN"/>
        </w:rPr>
        <w:t>联系电话：</w:t>
      </w:r>
      <w:r>
        <w:rPr>
          <w:rFonts w:hint="eastAsia" w:cs="宋体"/>
          <w:sz w:val="24"/>
          <w:szCs w:val="24"/>
          <w:u w:val="single"/>
          <w:lang w:val="zh-CN" w:bidi="zh-CN"/>
        </w:rPr>
        <w:t xml:space="preserve">               </w:t>
      </w:r>
    </w:p>
    <w:p w14:paraId="58F4AF63">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系</w:t>
      </w:r>
      <w:r>
        <w:rPr>
          <w:rFonts w:hint="eastAsia" w:cs="宋体"/>
          <w:sz w:val="24"/>
          <w:szCs w:val="24"/>
          <w:u w:val="single"/>
          <w:lang w:val="zh-CN" w:bidi="zh-CN"/>
        </w:rPr>
        <w:t xml:space="preserve">                               （投标人名称）</w:t>
      </w:r>
      <w:r>
        <w:rPr>
          <w:rFonts w:hint="eastAsia" w:cs="宋体"/>
          <w:sz w:val="24"/>
          <w:szCs w:val="24"/>
          <w:lang w:val="zh-CN" w:bidi="zh-CN"/>
        </w:rPr>
        <w:t>的法定代表人。</w:t>
      </w:r>
    </w:p>
    <w:p w14:paraId="3DF952B0">
      <w:pPr>
        <w:autoSpaceDE w:val="0"/>
        <w:autoSpaceDN w:val="0"/>
        <w:snapToGrid w:val="0"/>
        <w:spacing w:line="480" w:lineRule="auto"/>
        <w:ind w:firstLine="960" w:firstLineChars="400"/>
        <w:jc w:val="left"/>
        <w:rPr>
          <w:rFonts w:cs="宋体"/>
          <w:sz w:val="24"/>
          <w:szCs w:val="24"/>
          <w:lang w:val="zh-CN" w:bidi="zh-CN"/>
        </w:rPr>
      </w:pPr>
      <w:r>
        <w:rPr>
          <w:rFonts w:hint="eastAsia" w:cs="宋体"/>
          <w:sz w:val="24"/>
          <w:szCs w:val="24"/>
          <w:lang w:val="zh-CN" w:bidi="zh-CN"/>
        </w:rPr>
        <w:t>特此证明。</w:t>
      </w:r>
    </w:p>
    <w:p w14:paraId="20E60F18">
      <w:pPr>
        <w:adjustRightInd w:val="0"/>
        <w:snapToGrid w:val="0"/>
        <w:spacing w:line="480" w:lineRule="auto"/>
        <w:ind w:firstLine="480" w:firstLineChars="200"/>
        <w:textAlignment w:val="baseline"/>
        <w:rPr>
          <w:rFonts w:cs="宋体"/>
          <w:sz w:val="24"/>
          <w:szCs w:val="24"/>
          <w:lang w:val="zh-CN"/>
        </w:rPr>
      </w:pPr>
      <w:r>
        <w:rPr>
          <w:rFonts w:hint="eastAsia" w:cs="宋体"/>
          <w:sz w:val="24"/>
          <w:szCs w:val="24"/>
          <w:lang w:val="zh-CN"/>
        </w:rPr>
        <w:t>附：法定代表人身份证复印件</w:t>
      </w:r>
    </w:p>
    <w:p w14:paraId="34DDC770">
      <w:pPr>
        <w:tabs>
          <w:tab w:val="left" w:pos="0"/>
          <w:tab w:val="left" w:pos="993"/>
          <w:tab w:val="left" w:pos="1134"/>
        </w:tabs>
        <w:autoSpaceDE w:val="0"/>
        <w:autoSpaceDN w:val="0"/>
        <w:spacing w:after="120"/>
        <w:ind w:left="420" w:leftChars="200" w:firstLine="480" w:firstLineChars="200"/>
        <w:jc w:val="left"/>
        <w:rPr>
          <w:rFonts w:cs="宋体"/>
          <w:sz w:val="24"/>
          <w:szCs w:val="24"/>
          <w:lang w:val="zh-CN" w:bidi="zh-CN"/>
        </w:rPr>
      </w:pPr>
    </w:p>
    <w:p w14:paraId="3B38E49C">
      <w:pPr>
        <w:tabs>
          <w:tab w:val="left" w:pos="6661"/>
        </w:tabs>
        <w:autoSpaceDE w:val="0"/>
        <w:autoSpaceDN w:val="0"/>
        <w:spacing w:line="720" w:lineRule="auto"/>
        <w:ind w:firstLine="3600" w:firstLineChars="1500"/>
        <w:rPr>
          <w:rFonts w:cs="宋体"/>
          <w:sz w:val="24"/>
          <w:szCs w:val="24"/>
          <w:lang w:val="zh-CN" w:bidi="zh-CN"/>
        </w:rPr>
      </w:pPr>
    </w:p>
    <w:p w14:paraId="10A7151C">
      <w:pPr>
        <w:tabs>
          <w:tab w:val="left" w:pos="6661"/>
        </w:tabs>
        <w:autoSpaceDE w:val="0"/>
        <w:autoSpaceDN w:val="0"/>
        <w:spacing w:line="480" w:lineRule="auto"/>
        <w:ind w:firstLine="3600" w:firstLineChars="1500"/>
        <w:rPr>
          <w:rFonts w:cs="宋体"/>
          <w:sz w:val="24"/>
          <w:szCs w:val="24"/>
          <w:lang w:val="zh-CN" w:bidi="zh-CN"/>
        </w:rPr>
      </w:pPr>
      <w:r>
        <w:rPr>
          <w:rFonts w:hint="eastAsia" w:cs="宋体"/>
          <w:sz w:val="24"/>
          <w:szCs w:val="24"/>
          <w:lang w:val="zh-CN" w:bidi="zh-CN"/>
        </w:rPr>
        <w:t>投标人：</w:t>
      </w:r>
      <w:r>
        <w:rPr>
          <w:rFonts w:hint="eastAsia" w:cs="宋体"/>
          <w:sz w:val="24"/>
          <w:szCs w:val="24"/>
          <w:u w:val="single"/>
          <w:lang w:val="zh-CN" w:bidi="zh-CN"/>
        </w:rPr>
        <w:t xml:space="preserve">                        </w:t>
      </w:r>
      <w:r>
        <w:rPr>
          <w:rFonts w:hint="eastAsia" w:cs="宋体"/>
          <w:sz w:val="24"/>
          <w:szCs w:val="24"/>
          <w:lang w:val="zh-CN" w:bidi="zh-CN"/>
        </w:rPr>
        <w:t>(盖单位公章)</w:t>
      </w:r>
    </w:p>
    <w:p w14:paraId="74E17DE1">
      <w:pPr>
        <w:tabs>
          <w:tab w:val="left" w:pos="5730"/>
          <w:tab w:val="left" w:pos="6332"/>
          <w:tab w:val="left" w:pos="7530"/>
        </w:tabs>
        <w:autoSpaceDE w:val="0"/>
        <w:autoSpaceDN w:val="0"/>
        <w:spacing w:line="480" w:lineRule="auto"/>
        <w:ind w:left="4861"/>
        <w:sectPr>
          <w:pgSz w:w="12240" w:h="15840"/>
          <w:pgMar w:top="1418" w:right="1418" w:bottom="1418" w:left="1588" w:header="567" w:footer="839" w:gutter="0"/>
          <w:cols w:space="720" w:num="1"/>
          <w:docGrid w:linePitch="299" w:charSpace="0"/>
        </w:sectPr>
      </w:pP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ab/>
      </w:r>
      <w:r>
        <w:rPr>
          <w:rFonts w:hint="eastAsia" w:cs="宋体"/>
          <w:sz w:val="24"/>
          <w:szCs w:val="24"/>
          <w:u w:val="single"/>
          <w:lang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u w:val="single"/>
          <w:lang w:val="zh-CN" w:bidi="zh-CN"/>
        </w:rPr>
        <w:tab/>
      </w:r>
      <w:r>
        <w:rPr>
          <w:rFonts w:hint="eastAsia" w:cs="宋体"/>
          <w:sz w:val="24"/>
          <w:szCs w:val="24"/>
          <w:u w:val="single"/>
          <w:lang w:bidi="zh-CN"/>
        </w:rPr>
        <w:t xml:space="preserve">     </w:t>
      </w:r>
      <w:r>
        <w:rPr>
          <w:rFonts w:hint="eastAsia" w:cs="宋体"/>
          <w:sz w:val="24"/>
          <w:szCs w:val="24"/>
          <w:lang w:val="zh-CN" w:bidi="zh-CN"/>
        </w:rPr>
        <w:t>日</w:t>
      </w:r>
    </w:p>
    <w:p w14:paraId="09A70F1C">
      <w:pPr>
        <w:keepNext/>
        <w:keepLines/>
        <w:adjustRightInd w:val="0"/>
        <w:spacing w:before="260" w:after="260" w:line="416" w:lineRule="atLeast"/>
        <w:jc w:val="center"/>
        <w:textAlignment w:val="baseline"/>
        <w:rPr>
          <w:rFonts w:cs="宋体"/>
          <w:b/>
          <w:bCs/>
          <w:kern w:val="0"/>
          <w:sz w:val="28"/>
          <w:szCs w:val="28"/>
        </w:rPr>
      </w:pPr>
      <w:r>
        <w:rPr>
          <w:rFonts w:hint="eastAsia" w:cs="宋体"/>
          <w:b/>
          <w:bCs/>
          <w:kern w:val="0"/>
          <w:sz w:val="28"/>
          <w:szCs w:val="28"/>
        </w:rPr>
        <w:t>七、授权委托书</w:t>
      </w:r>
    </w:p>
    <w:p w14:paraId="68FB6E13">
      <w:pPr>
        <w:snapToGrid w:val="0"/>
        <w:spacing w:line="360" w:lineRule="auto"/>
        <w:ind w:firstLine="480" w:firstLineChars="200"/>
        <w:rPr>
          <w:rFonts w:cs="宋体"/>
          <w:sz w:val="24"/>
        </w:rPr>
      </w:pPr>
      <w:r>
        <w:rPr>
          <w:rFonts w:hint="eastAsia" w:cs="宋体"/>
          <w:sz w:val="24"/>
        </w:rPr>
        <w:t>本人</w:t>
      </w:r>
      <w:r>
        <w:rPr>
          <w:rFonts w:hint="eastAsia" w:cs="宋体"/>
          <w:sz w:val="24"/>
          <w:u w:val="single"/>
        </w:rPr>
        <w:t xml:space="preserve">      （姓名）</w:t>
      </w:r>
      <w:r>
        <w:rPr>
          <w:rFonts w:hint="eastAsia" w:cs="宋体"/>
          <w:sz w:val="24"/>
        </w:rPr>
        <w:t>系</w:t>
      </w:r>
      <w:r>
        <w:rPr>
          <w:rFonts w:hint="eastAsia" w:cs="宋体"/>
          <w:sz w:val="24"/>
          <w:u w:val="single"/>
        </w:rPr>
        <w:t xml:space="preserve">      （投标人全称）</w:t>
      </w:r>
      <w:r>
        <w:rPr>
          <w:rFonts w:hint="eastAsia" w:cs="宋体"/>
          <w:sz w:val="24"/>
        </w:rPr>
        <w:t>的法定代表人，现授权委托</w:t>
      </w:r>
      <w:r>
        <w:rPr>
          <w:rFonts w:hint="eastAsia" w:cs="宋体"/>
          <w:sz w:val="24"/>
          <w:u w:val="single"/>
        </w:rPr>
        <w:t xml:space="preserve">      （投标人代表姓名）</w:t>
      </w:r>
      <w:r>
        <w:rPr>
          <w:rFonts w:hint="eastAsia" w:cs="宋体"/>
          <w:sz w:val="24"/>
        </w:rPr>
        <w:t>为投标人代表，代表我方参加</w:t>
      </w:r>
      <w:r>
        <w:rPr>
          <w:rFonts w:hint="eastAsia" w:cs="宋体"/>
          <w:sz w:val="24"/>
          <w:u w:val="single"/>
        </w:rPr>
        <w:t xml:space="preserve">     （项目名称）</w:t>
      </w:r>
      <w:r>
        <w:rPr>
          <w:rFonts w:hint="eastAsia" w:cs="宋体"/>
          <w:sz w:val="24"/>
        </w:rPr>
        <w:t>项目</w:t>
      </w:r>
      <w:r>
        <w:rPr>
          <w:rFonts w:hint="eastAsia" w:cs="宋体"/>
          <w:sz w:val="24"/>
          <w:u w:val="single"/>
        </w:rPr>
        <w:t>（招标编号：      ）</w:t>
      </w:r>
      <w:r>
        <w:rPr>
          <w:rFonts w:hint="eastAsia" w:cs="宋体"/>
          <w:sz w:val="24"/>
        </w:rPr>
        <w:t>招标活动，全权代表我方处理投标过程的一切事宜，包括但不限于：投标、参与开标、谈判、签约等。投标人代表在投标过程中所签署的一切文件和处理与之有关的一切事务，我方均予以认可并对此承担责任。投标人代表无转委权。</w:t>
      </w:r>
    </w:p>
    <w:p w14:paraId="10BAC4FE">
      <w:pPr>
        <w:snapToGrid w:val="0"/>
        <w:spacing w:line="360" w:lineRule="auto"/>
        <w:ind w:firstLine="480" w:firstLineChars="200"/>
        <w:rPr>
          <w:rFonts w:cs="宋体"/>
          <w:sz w:val="24"/>
        </w:rPr>
      </w:pPr>
      <w:r>
        <w:rPr>
          <w:rFonts w:hint="eastAsia" w:cs="宋体"/>
          <w:sz w:val="24"/>
        </w:rPr>
        <w:t>特此授权。</w:t>
      </w:r>
    </w:p>
    <w:p w14:paraId="682401F0">
      <w:pPr>
        <w:snapToGrid w:val="0"/>
        <w:spacing w:line="360" w:lineRule="auto"/>
        <w:ind w:firstLine="480" w:firstLineChars="200"/>
        <w:rPr>
          <w:rFonts w:cs="宋体"/>
          <w:sz w:val="24"/>
        </w:rPr>
      </w:pPr>
      <w:r>
        <w:rPr>
          <w:rFonts w:hint="eastAsia" w:cs="宋体"/>
          <w:sz w:val="24"/>
        </w:rPr>
        <w:t>本授权书自出具之日起生效。</w:t>
      </w:r>
    </w:p>
    <w:p w14:paraId="486B40D5">
      <w:pPr>
        <w:snapToGrid w:val="0"/>
        <w:spacing w:line="360" w:lineRule="auto"/>
        <w:ind w:firstLine="480" w:firstLineChars="200"/>
        <w:rPr>
          <w:rFonts w:cs="宋体"/>
          <w:sz w:val="24"/>
        </w:rPr>
      </w:pPr>
      <w:r>
        <w:rPr>
          <w:rFonts w:hint="eastAsia" w:cs="宋体"/>
          <w:sz w:val="24"/>
        </w:rPr>
        <w:t xml:space="preserve">投标人代表: </w:t>
      </w:r>
      <w:r>
        <w:rPr>
          <w:rFonts w:hint="eastAsia" w:cs="宋体"/>
          <w:sz w:val="24"/>
          <w:u w:val="single"/>
        </w:rPr>
        <w:t xml:space="preserve">                            </w:t>
      </w:r>
      <w:r>
        <w:rPr>
          <w:rFonts w:hint="eastAsia" w:cs="宋体"/>
          <w:sz w:val="24"/>
        </w:rPr>
        <w:t>性别：</w:t>
      </w:r>
      <w:r>
        <w:rPr>
          <w:rFonts w:hint="eastAsia" w:cs="宋体"/>
          <w:sz w:val="24"/>
          <w:u w:val="single"/>
        </w:rPr>
        <w:t xml:space="preserve">                   </w:t>
      </w:r>
    </w:p>
    <w:p w14:paraId="55A313C1">
      <w:pPr>
        <w:snapToGrid w:val="0"/>
        <w:spacing w:line="360" w:lineRule="auto"/>
        <w:ind w:firstLine="480" w:firstLineChars="200"/>
        <w:rPr>
          <w:rFonts w:cs="宋体"/>
          <w:sz w:val="24"/>
          <w:u w:val="single"/>
        </w:rPr>
      </w:pPr>
      <w:r>
        <w:rPr>
          <w:rFonts w:hint="eastAsia" w:cs="宋体"/>
          <w:sz w:val="24"/>
        </w:rPr>
        <w:t>身份证号：</w:t>
      </w:r>
      <w:r>
        <w:rPr>
          <w:rFonts w:hint="eastAsia" w:cs="宋体"/>
          <w:sz w:val="24"/>
          <w:u w:val="single"/>
        </w:rPr>
        <w:t xml:space="preserve">                              </w:t>
      </w:r>
      <w:r>
        <w:rPr>
          <w:rFonts w:hint="eastAsia" w:cs="宋体"/>
          <w:sz w:val="24"/>
        </w:rPr>
        <w:t>单位:</w:t>
      </w:r>
      <w:r>
        <w:rPr>
          <w:rFonts w:hint="eastAsia" w:cs="宋体"/>
          <w:sz w:val="24"/>
          <w:u w:val="single"/>
        </w:rPr>
        <w:t xml:space="preserve">                    </w:t>
      </w:r>
    </w:p>
    <w:p w14:paraId="6C39ADED">
      <w:pPr>
        <w:snapToGrid w:val="0"/>
        <w:spacing w:line="360" w:lineRule="auto"/>
        <w:ind w:firstLine="480" w:firstLineChars="200"/>
        <w:rPr>
          <w:rFonts w:cs="宋体"/>
          <w:sz w:val="24"/>
          <w:u w:val="single"/>
        </w:rPr>
      </w:pPr>
      <w:r>
        <w:rPr>
          <w:rFonts w:hint="eastAsia" w:cs="宋体"/>
          <w:sz w:val="24"/>
        </w:rPr>
        <w:t>详细通讯地址：</w:t>
      </w:r>
      <w:r>
        <w:rPr>
          <w:rFonts w:hint="eastAsia" w:cs="宋体"/>
          <w:sz w:val="24"/>
          <w:u w:val="single"/>
        </w:rPr>
        <w:t xml:space="preserve">                          </w:t>
      </w:r>
      <w:r>
        <w:rPr>
          <w:rFonts w:hint="eastAsia" w:cs="宋体"/>
          <w:sz w:val="24"/>
        </w:rPr>
        <w:t>电话：</w:t>
      </w:r>
      <w:r>
        <w:rPr>
          <w:rFonts w:hint="eastAsia" w:cs="宋体"/>
          <w:sz w:val="24"/>
          <w:u w:val="single"/>
        </w:rPr>
        <w:t xml:space="preserve">                   </w:t>
      </w:r>
    </w:p>
    <w:p w14:paraId="7BD23CA1">
      <w:pPr>
        <w:snapToGrid w:val="0"/>
        <w:spacing w:line="360" w:lineRule="auto"/>
        <w:ind w:firstLine="480" w:firstLineChars="200"/>
        <w:rPr>
          <w:rFonts w:cs="宋体"/>
          <w:sz w:val="24"/>
          <w:u w:val="single"/>
        </w:rPr>
      </w:pPr>
      <w:r>
        <w:rPr>
          <w:rFonts w:hint="eastAsia" w:cs="宋体"/>
          <w:sz w:val="24"/>
        </w:rPr>
        <w:t>邮箱：</w:t>
      </w:r>
      <w:r>
        <w:rPr>
          <w:rFonts w:hint="eastAsia" w:cs="宋体"/>
          <w:sz w:val="24"/>
          <w:u w:val="single"/>
        </w:rPr>
        <w:t xml:space="preserve">                                  </w:t>
      </w:r>
    </w:p>
    <w:p w14:paraId="4B6CDD1B">
      <w:pPr>
        <w:snapToGrid w:val="0"/>
        <w:spacing w:line="360" w:lineRule="auto"/>
        <w:ind w:firstLine="480" w:firstLineChars="200"/>
        <w:rPr>
          <w:rFonts w:cs="宋体"/>
          <w:sz w:val="24"/>
        </w:rPr>
      </w:pPr>
    </w:p>
    <w:p w14:paraId="2A6B2EF3">
      <w:pPr>
        <w:snapToGrid w:val="0"/>
        <w:spacing w:line="360" w:lineRule="auto"/>
        <w:ind w:firstLine="480" w:firstLineChars="200"/>
        <w:rPr>
          <w:rFonts w:cs="宋体"/>
          <w:sz w:val="24"/>
        </w:rPr>
      </w:pPr>
      <w:r>
        <w:rPr>
          <w:rFonts w:hint="eastAsia" w:cs="宋体"/>
          <w:sz w:val="24"/>
        </w:rPr>
        <w:t>授权方</w:t>
      </w:r>
    </w:p>
    <w:p w14:paraId="6CF4E775">
      <w:pPr>
        <w:snapToGrid w:val="0"/>
        <w:spacing w:line="360" w:lineRule="auto"/>
        <w:ind w:firstLine="480" w:firstLineChars="200"/>
        <w:rPr>
          <w:rFonts w:cs="宋体"/>
          <w:sz w:val="24"/>
        </w:rPr>
      </w:pPr>
      <w:r>
        <w:rPr>
          <w:rFonts w:hint="eastAsia" w:cs="宋体"/>
          <w:sz w:val="24"/>
        </w:rPr>
        <w:t>投标人全称（加盖公章）：</w:t>
      </w:r>
      <w:r>
        <w:rPr>
          <w:rFonts w:hint="eastAsia" w:cs="宋体"/>
          <w:sz w:val="24"/>
          <w:u w:val="single"/>
        </w:rPr>
        <w:t xml:space="preserve">                              </w:t>
      </w:r>
    </w:p>
    <w:p w14:paraId="0A6062C7">
      <w:pPr>
        <w:snapToGrid w:val="0"/>
        <w:spacing w:line="360" w:lineRule="auto"/>
        <w:ind w:firstLine="480" w:firstLineChars="200"/>
        <w:rPr>
          <w:rFonts w:cs="宋体"/>
          <w:sz w:val="24"/>
        </w:rPr>
      </w:pPr>
      <w:r>
        <w:rPr>
          <w:rFonts w:hint="eastAsia" w:cs="宋体"/>
          <w:sz w:val="24"/>
        </w:rPr>
        <w:t>法定代表人（单位负责人）签字（或签章）：______________</w:t>
      </w:r>
    </w:p>
    <w:p w14:paraId="2EBA15BB">
      <w:pPr>
        <w:snapToGrid w:val="0"/>
        <w:spacing w:line="360" w:lineRule="auto"/>
        <w:ind w:firstLine="480" w:firstLineChars="200"/>
        <w:rPr>
          <w:rFonts w:cs="宋体"/>
          <w:sz w:val="24"/>
        </w:rPr>
      </w:pPr>
    </w:p>
    <w:p w14:paraId="33E06B92">
      <w:pPr>
        <w:snapToGrid w:val="0"/>
        <w:spacing w:line="360" w:lineRule="auto"/>
        <w:ind w:firstLine="480" w:firstLineChars="200"/>
        <w:rPr>
          <w:rFonts w:cs="宋体"/>
          <w:sz w:val="24"/>
        </w:rPr>
      </w:pPr>
      <w:r>
        <w:rPr>
          <w:rFonts w:hint="eastAsia" w:cs="宋体"/>
          <w:sz w:val="24"/>
        </w:rPr>
        <w:t>接受授权方</w:t>
      </w:r>
    </w:p>
    <w:p w14:paraId="438B8233">
      <w:pPr>
        <w:snapToGrid w:val="0"/>
        <w:spacing w:line="360" w:lineRule="auto"/>
        <w:ind w:firstLine="480" w:firstLineChars="200"/>
        <w:rPr>
          <w:rFonts w:cs="宋体"/>
          <w:sz w:val="24"/>
        </w:rPr>
      </w:pPr>
      <w:r>
        <w:rPr>
          <w:rFonts w:hint="eastAsia" w:cs="宋体"/>
          <w:sz w:val="24"/>
        </w:rPr>
        <w:t>投标人代表签字（或签章）：_____________________________</w:t>
      </w:r>
    </w:p>
    <w:p w14:paraId="5A0EC747">
      <w:pPr>
        <w:snapToGrid w:val="0"/>
        <w:spacing w:line="360" w:lineRule="auto"/>
        <w:ind w:firstLine="480" w:firstLineChars="200"/>
        <w:rPr>
          <w:rFonts w:cs="宋体"/>
          <w:sz w:val="24"/>
        </w:rPr>
      </w:pPr>
      <w:r>
        <w:rPr>
          <w:rFonts w:hint="eastAsia" w:cs="宋体"/>
          <w:sz w:val="24"/>
        </w:rPr>
        <w:t>日 期：</w:t>
      </w:r>
      <w:r>
        <w:rPr>
          <w:rFonts w:hint="eastAsia" w:cs="宋体"/>
          <w:sz w:val="24"/>
          <w:u w:val="single"/>
        </w:rPr>
        <w:t xml:space="preserve">                                               </w:t>
      </w:r>
    </w:p>
    <w:p w14:paraId="03FFC617">
      <w:pPr>
        <w:snapToGrid w:val="0"/>
        <w:spacing w:line="360" w:lineRule="auto"/>
        <w:ind w:firstLine="480" w:firstLineChars="200"/>
        <w:rPr>
          <w:rFonts w:cs="宋体"/>
          <w:sz w:val="24"/>
          <w:szCs w:val="24"/>
        </w:rPr>
      </w:pPr>
    </w:p>
    <w:p w14:paraId="065F04ED">
      <w:pPr>
        <w:snapToGrid w:val="0"/>
        <w:spacing w:line="360" w:lineRule="auto"/>
        <w:ind w:firstLine="480" w:firstLineChars="200"/>
        <w:rPr>
          <w:rFonts w:cs="宋体"/>
          <w:b/>
          <w:bCs/>
          <w:sz w:val="36"/>
          <w:szCs w:val="36"/>
        </w:rPr>
      </w:pPr>
      <w:r>
        <w:rPr>
          <w:rFonts w:hint="eastAsia" w:cs="宋体"/>
          <w:sz w:val="24"/>
          <w:szCs w:val="24"/>
        </w:rPr>
        <w:t>后附：授权人和被授权人身份证复印件并加盖单位公章。</w:t>
      </w:r>
      <w:r>
        <w:rPr>
          <w:rFonts w:hint="eastAsia" w:cs="宋体"/>
          <w:sz w:val="23"/>
        </w:rPr>
        <w:br w:type="page"/>
      </w:r>
    </w:p>
    <w:p w14:paraId="064C9DCA">
      <w:pPr>
        <w:spacing w:line="360" w:lineRule="auto"/>
        <w:jc w:val="center"/>
        <w:rPr>
          <w:rFonts w:cs="宋体"/>
          <w:b/>
          <w:bCs/>
          <w:sz w:val="72"/>
          <w:szCs w:val="72"/>
        </w:rPr>
      </w:pPr>
      <w:r>
        <w:rPr>
          <w:sz w:val="72"/>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250825</wp:posOffset>
                </wp:positionV>
                <wp:extent cx="5379720" cy="2864485"/>
                <wp:effectExtent l="4445" t="4445" r="6985" b="7620"/>
                <wp:wrapNone/>
                <wp:docPr id="1" name="矩形 1"/>
                <wp:cNvGraphicFramePr/>
                <a:graphic xmlns:a="http://schemas.openxmlformats.org/drawingml/2006/main">
                  <a:graphicData uri="http://schemas.microsoft.com/office/word/2010/wordprocessingShape">
                    <wps:wsp>
                      <wps:cNvSpPr/>
                      <wps:spPr>
                        <a:xfrm>
                          <a:off x="0" y="0"/>
                          <a:ext cx="5379720" cy="2864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E9F178">
                            <w:pPr>
                              <w:jc w:val="left"/>
                            </w:pPr>
                            <w:r>
                              <w:rPr>
                                <w:rFonts w:hint="eastAsia" w:cs="宋体"/>
                                <w:b/>
                                <w:bCs/>
                                <w:sz w:val="23"/>
                              </w:rPr>
                              <w:t>授权人身份证复印件并加盖单位公章</w:t>
                            </w:r>
                          </w:p>
                        </w:txbxContent>
                      </wps:txbx>
                      <wps:bodyPr upright="1"/>
                    </wps:wsp>
                  </a:graphicData>
                </a:graphic>
              </wp:anchor>
            </w:drawing>
          </mc:Choice>
          <mc:Fallback>
            <w:pict>
              <v:rect id="_x0000_s1026" o:spid="_x0000_s1026" o:spt="1" style="position:absolute;left:0pt;margin-left:-4.75pt;margin-top:19.75pt;height:225.55pt;width:423.6pt;z-index:251659264;mso-width-relative:page;mso-height-relative:page;" fillcolor="#FFFFFF" filled="t" stroked="t" coordsize="21600,21600" o:gfxdata="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4+0abZAAAACQEAAA8AAAAAAAAAAQAgAAAAIgAA&#10;AGRycy9kb3ducmV2LnhtbFBLAQIUABQAAAAIAIdO4kDRmeEDBwIAADgEAAAOAAAAAAAAAAEAIAAA&#10;ACgBAABkcnMvZTJvRG9jLnhtbFBLBQYAAAAABgAGAFkBAAChBQAAAAA=&#10;">
                <v:fill on="t" focussize="0,0"/>
                <v:stroke color="#000000" joinstyle="miter"/>
                <v:imagedata o:title=""/>
                <o:lock v:ext="edit" aspectratio="f"/>
                <v:textbox>
                  <w:txbxContent>
                    <w:p w14:paraId="7DE9F178">
                      <w:pPr>
                        <w:jc w:val="left"/>
                      </w:pPr>
                      <w:r>
                        <w:rPr>
                          <w:rFonts w:hint="eastAsia" w:cs="宋体"/>
                          <w:b/>
                          <w:bCs/>
                          <w:sz w:val="23"/>
                        </w:rPr>
                        <w:t>授权人身份证复印件并加盖单位公章</w:t>
                      </w:r>
                    </w:p>
                  </w:txbxContent>
                </v:textbox>
              </v:rect>
            </w:pict>
          </mc:Fallback>
        </mc:AlternateContent>
      </w:r>
      <w:r>
        <w:rPr>
          <w:rFonts w:hint="eastAsia" w:cs="宋体"/>
          <w:b/>
          <w:bCs/>
          <w:sz w:val="72"/>
          <w:szCs w:val="72"/>
        </w:rPr>
        <w:t xml:space="preserve"> </w:t>
      </w:r>
    </w:p>
    <w:p w14:paraId="444E0FDF">
      <w:pPr>
        <w:autoSpaceDE w:val="0"/>
        <w:autoSpaceDN w:val="0"/>
        <w:adjustRightInd w:val="0"/>
        <w:jc w:val="left"/>
        <w:rPr>
          <w:rFonts w:cs="宋体"/>
          <w:b/>
          <w:bCs/>
          <w:kern w:val="0"/>
          <w:sz w:val="72"/>
          <w:szCs w:val="72"/>
        </w:rPr>
      </w:pPr>
    </w:p>
    <w:p w14:paraId="01C3AE6A">
      <w:pPr>
        <w:autoSpaceDE w:val="0"/>
        <w:autoSpaceDN w:val="0"/>
        <w:adjustRightInd w:val="0"/>
        <w:jc w:val="left"/>
        <w:rPr>
          <w:rFonts w:cs="宋体"/>
          <w:b/>
          <w:bCs/>
          <w:kern w:val="0"/>
          <w:sz w:val="72"/>
          <w:szCs w:val="72"/>
        </w:rPr>
      </w:pPr>
    </w:p>
    <w:p w14:paraId="4B06C829">
      <w:pPr>
        <w:autoSpaceDE w:val="0"/>
        <w:autoSpaceDN w:val="0"/>
        <w:adjustRightInd w:val="0"/>
        <w:jc w:val="left"/>
        <w:rPr>
          <w:rFonts w:cs="宋体"/>
          <w:b/>
          <w:bCs/>
          <w:kern w:val="0"/>
          <w:sz w:val="72"/>
          <w:szCs w:val="72"/>
        </w:rPr>
      </w:pPr>
    </w:p>
    <w:p w14:paraId="5E39BAD1">
      <w:pPr>
        <w:autoSpaceDE w:val="0"/>
        <w:autoSpaceDN w:val="0"/>
        <w:adjustRightInd w:val="0"/>
        <w:jc w:val="left"/>
        <w:rPr>
          <w:rFonts w:cs="宋体"/>
          <w:b/>
          <w:bCs/>
          <w:kern w:val="0"/>
          <w:sz w:val="72"/>
          <w:szCs w:val="72"/>
        </w:rPr>
      </w:pPr>
    </w:p>
    <w:p w14:paraId="67C0C04F">
      <w:pPr>
        <w:autoSpaceDE w:val="0"/>
        <w:autoSpaceDN w:val="0"/>
        <w:adjustRightInd w:val="0"/>
        <w:jc w:val="left"/>
        <w:rPr>
          <w:rFonts w:cs="宋体"/>
          <w:b/>
          <w:bCs/>
          <w:kern w:val="0"/>
          <w:sz w:val="72"/>
          <w:szCs w:val="72"/>
        </w:rPr>
      </w:pPr>
      <w:r>
        <w:rPr>
          <w:rFonts w:cs="宋体"/>
          <w:kern w:val="0"/>
          <w:sz w:val="72"/>
          <w:szCs w:val="24"/>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592455</wp:posOffset>
                </wp:positionV>
                <wp:extent cx="5381625" cy="3037840"/>
                <wp:effectExtent l="4445" t="4445" r="5080" b="5715"/>
                <wp:wrapNone/>
                <wp:docPr id="2" name="矩形 2"/>
                <wp:cNvGraphicFramePr/>
                <a:graphic xmlns:a="http://schemas.openxmlformats.org/drawingml/2006/main">
                  <a:graphicData uri="http://schemas.microsoft.com/office/word/2010/wordprocessingShape">
                    <wps:wsp>
                      <wps:cNvSpPr/>
                      <wps:spPr>
                        <a:xfrm>
                          <a:off x="0" y="0"/>
                          <a:ext cx="5381625" cy="3037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C2DD71">
                            <w:r>
                              <w:rPr>
                                <w:rFonts w:hint="eastAsia" w:cs="宋体"/>
                                <w:b/>
                                <w:bCs/>
                                <w:sz w:val="23"/>
                              </w:rPr>
                              <w:t>被授权人身份证复印件并加盖单位公章</w:t>
                            </w:r>
                          </w:p>
                          <w:p w14:paraId="21B62FCA"/>
                        </w:txbxContent>
                      </wps:txbx>
                      <wps:bodyPr upright="1"/>
                    </wps:wsp>
                  </a:graphicData>
                </a:graphic>
              </wp:anchor>
            </w:drawing>
          </mc:Choice>
          <mc:Fallback>
            <w:pict>
              <v:rect id="_x0000_s1026" o:spid="_x0000_s1026" o:spt="1" style="position:absolute;left:0pt;margin-left:-4.9pt;margin-top:46.65pt;height:239.2pt;width:423.75pt;z-index:251660288;mso-width-relative:page;mso-height-relative:page;" fillcolor="#FFFFFF" filled="t" stroked="t" coordsize="21600,21600" o:gfxdata="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BgLL2AAAAAkBAAAPAAAAAAAAAAEAIAAAACIA&#10;AABkcnMvZG93bnJldi54bWxQSwECFAAUAAAACACHTuJAFtYCoAkCAAA4BAAADgAAAAAAAAABACAA&#10;AAAnAQAAZHJzL2Uyb0RvYy54bWxQSwUGAAAAAAYABgBZAQAAogUAAAAA&#10;">
                <v:fill on="t" focussize="0,0"/>
                <v:stroke color="#000000" joinstyle="miter"/>
                <v:imagedata o:title=""/>
                <o:lock v:ext="edit" aspectratio="f"/>
                <v:textbox>
                  <w:txbxContent>
                    <w:p w14:paraId="6FC2DD71">
                      <w:r>
                        <w:rPr>
                          <w:rFonts w:hint="eastAsia" w:cs="宋体"/>
                          <w:b/>
                          <w:bCs/>
                          <w:sz w:val="23"/>
                        </w:rPr>
                        <w:t>被授权人身份证复印件并加盖单位公章</w:t>
                      </w:r>
                    </w:p>
                    <w:p w14:paraId="21B62FCA"/>
                  </w:txbxContent>
                </v:textbox>
              </v:rect>
            </w:pict>
          </mc:Fallback>
        </mc:AlternateContent>
      </w:r>
    </w:p>
    <w:p w14:paraId="689E957A">
      <w:pPr>
        <w:autoSpaceDE w:val="0"/>
        <w:autoSpaceDN w:val="0"/>
        <w:adjustRightInd w:val="0"/>
        <w:jc w:val="left"/>
        <w:rPr>
          <w:rFonts w:cs="宋体"/>
          <w:b/>
          <w:bCs/>
          <w:kern w:val="0"/>
          <w:sz w:val="72"/>
          <w:szCs w:val="72"/>
        </w:rPr>
      </w:pPr>
    </w:p>
    <w:p w14:paraId="26D9500D">
      <w:pPr>
        <w:autoSpaceDE w:val="0"/>
        <w:autoSpaceDN w:val="0"/>
        <w:adjustRightInd w:val="0"/>
        <w:jc w:val="left"/>
        <w:rPr>
          <w:rFonts w:cs="宋体"/>
          <w:b/>
          <w:bCs/>
          <w:kern w:val="0"/>
          <w:sz w:val="72"/>
          <w:szCs w:val="72"/>
        </w:rPr>
      </w:pPr>
    </w:p>
    <w:p w14:paraId="79E0B752">
      <w:pPr>
        <w:autoSpaceDE w:val="0"/>
        <w:autoSpaceDN w:val="0"/>
        <w:adjustRightInd w:val="0"/>
        <w:jc w:val="left"/>
        <w:rPr>
          <w:rFonts w:cs="宋体"/>
          <w:b/>
          <w:bCs/>
          <w:kern w:val="0"/>
          <w:sz w:val="72"/>
          <w:szCs w:val="72"/>
        </w:rPr>
      </w:pPr>
    </w:p>
    <w:p w14:paraId="3CE5B243">
      <w:pPr>
        <w:autoSpaceDE w:val="0"/>
        <w:autoSpaceDN w:val="0"/>
        <w:adjustRightInd w:val="0"/>
        <w:jc w:val="left"/>
        <w:rPr>
          <w:rFonts w:cs="宋体"/>
          <w:b/>
          <w:bCs/>
          <w:kern w:val="0"/>
          <w:sz w:val="72"/>
          <w:szCs w:val="72"/>
        </w:rPr>
      </w:pPr>
    </w:p>
    <w:p w14:paraId="52F4765A">
      <w:pPr>
        <w:autoSpaceDE w:val="0"/>
        <w:autoSpaceDN w:val="0"/>
        <w:adjustRightInd w:val="0"/>
        <w:jc w:val="left"/>
        <w:rPr>
          <w:rFonts w:cs="宋体"/>
          <w:b/>
          <w:bCs/>
          <w:kern w:val="0"/>
          <w:sz w:val="72"/>
          <w:szCs w:val="72"/>
        </w:rPr>
      </w:pPr>
    </w:p>
    <w:p w14:paraId="076D3583">
      <w:pPr>
        <w:autoSpaceDE w:val="0"/>
        <w:autoSpaceDN w:val="0"/>
        <w:adjustRightInd w:val="0"/>
        <w:jc w:val="left"/>
        <w:rPr>
          <w:rFonts w:cs="宋体"/>
          <w:b/>
          <w:bCs/>
          <w:kern w:val="0"/>
          <w:sz w:val="72"/>
          <w:szCs w:val="72"/>
        </w:rPr>
      </w:pPr>
    </w:p>
    <w:p w14:paraId="03AA9BC4">
      <w:pPr>
        <w:widowControl/>
        <w:spacing w:line="360" w:lineRule="auto"/>
        <w:jc w:val="center"/>
        <w:rPr>
          <w:sz w:val="28"/>
          <w:szCs w:val="28"/>
        </w:rPr>
      </w:pPr>
      <w:r>
        <w:rPr>
          <w:rFonts w:hint="eastAsia"/>
          <w:sz w:val="28"/>
          <w:szCs w:val="28"/>
        </w:rPr>
        <w:br w:type="page"/>
      </w:r>
      <w:r>
        <w:rPr>
          <w:rFonts w:hint="eastAsia" w:cs="宋体"/>
          <w:b/>
          <w:bCs/>
          <w:kern w:val="0"/>
          <w:sz w:val="28"/>
          <w:szCs w:val="28"/>
        </w:rPr>
        <w:t>八、投标保证金缴交凭证</w:t>
      </w:r>
    </w:p>
    <w:p w14:paraId="43265205">
      <w:pPr>
        <w:widowControl/>
        <w:spacing w:line="360" w:lineRule="auto"/>
        <w:jc w:val="center"/>
        <w:rPr>
          <w:sz w:val="28"/>
          <w:szCs w:val="28"/>
        </w:rPr>
      </w:pPr>
      <w:r>
        <w:rPr>
          <w:rFonts w:hint="eastAsia"/>
          <w:sz w:val="28"/>
          <w:szCs w:val="28"/>
        </w:rPr>
        <w:t xml:space="preserve"> </w:t>
      </w:r>
    </w:p>
    <w:p w14:paraId="30255CEA">
      <w:pPr>
        <w:widowControl/>
        <w:spacing w:line="360" w:lineRule="auto"/>
        <w:rPr>
          <w:sz w:val="24"/>
          <w:szCs w:val="24"/>
        </w:rPr>
      </w:pPr>
      <w:r>
        <w:rPr>
          <w:rFonts w:hint="eastAsia"/>
          <w:sz w:val="24"/>
          <w:szCs w:val="24"/>
        </w:rPr>
        <w:t>1、在此项下提交的“投标保证金”材料可使用转账凭证复印件。</w:t>
      </w:r>
    </w:p>
    <w:p w14:paraId="246A4158">
      <w:pPr>
        <w:widowControl/>
        <w:spacing w:line="360" w:lineRule="auto"/>
        <w:rPr>
          <w:sz w:val="24"/>
          <w:szCs w:val="24"/>
        </w:rPr>
      </w:pPr>
      <w:r>
        <w:rPr>
          <w:rFonts w:hint="eastAsia"/>
          <w:sz w:val="24"/>
          <w:szCs w:val="24"/>
        </w:rPr>
        <w:t>2、投标保证金是否已提交的认定按照招标文件第二章规定执行。</w:t>
      </w:r>
    </w:p>
    <w:p w14:paraId="1B59999F">
      <w:pPr>
        <w:widowControl/>
        <w:spacing w:line="360" w:lineRule="auto"/>
        <w:jc w:val="center"/>
        <w:rPr>
          <w:rFonts w:cs="宋体"/>
          <w:b/>
          <w:bCs/>
          <w:kern w:val="0"/>
          <w:sz w:val="28"/>
          <w:szCs w:val="28"/>
        </w:rPr>
      </w:pPr>
    </w:p>
    <w:p w14:paraId="57673BA2">
      <w:pPr>
        <w:widowControl/>
        <w:spacing w:line="360" w:lineRule="auto"/>
        <w:jc w:val="center"/>
        <w:rPr>
          <w:rFonts w:cs="宋体"/>
          <w:b/>
          <w:bCs/>
          <w:kern w:val="0"/>
          <w:sz w:val="28"/>
          <w:szCs w:val="28"/>
        </w:rPr>
      </w:pPr>
    </w:p>
    <w:p w14:paraId="2E678BA5">
      <w:pPr>
        <w:widowControl/>
        <w:spacing w:line="360" w:lineRule="auto"/>
        <w:jc w:val="center"/>
        <w:rPr>
          <w:rFonts w:cs="宋体"/>
          <w:b/>
          <w:bCs/>
          <w:kern w:val="0"/>
          <w:sz w:val="28"/>
          <w:szCs w:val="28"/>
        </w:rPr>
      </w:pPr>
    </w:p>
    <w:p w14:paraId="556511F5">
      <w:pPr>
        <w:widowControl/>
        <w:spacing w:line="360" w:lineRule="auto"/>
        <w:jc w:val="center"/>
        <w:rPr>
          <w:rFonts w:cs="宋体"/>
          <w:b/>
          <w:bCs/>
          <w:kern w:val="0"/>
          <w:sz w:val="28"/>
          <w:szCs w:val="28"/>
        </w:rPr>
      </w:pPr>
    </w:p>
    <w:p w14:paraId="216EB5C1">
      <w:pPr>
        <w:widowControl/>
        <w:spacing w:line="360" w:lineRule="auto"/>
        <w:jc w:val="center"/>
        <w:rPr>
          <w:rFonts w:cs="宋体"/>
          <w:b/>
          <w:bCs/>
          <w:kern w:val="0"/>
          <w:sz w:val="28"/>
          <w:szCs w:val="28"/>
        </w:rPr>
      </w:pPr>
    </w:p>
    <w:p w14:paraId="2F3F671C">
      <w:pPr>
        <w:widowControl/>
        <w:spacing w:line="360" w:lineRule="auto"/>
        <w:jc w:val="center"/>
        <w:rPr>
          <w:rFonts w:cs="宋体"/>
          <w:b/>
          <w:bCs/>
          <w:kern w:val="0"/>
          <w:sz w:val="28"/>
          <w:szCs w:val="28"/>
        </w:rPr>
      </w:pPr>
    </w:p>
    <w:p w14:paraId="2E636747">
      <w:pPr>
        <w:widowControl/>
        <w:spacing w:line="360" w:lineRule="auto"/>
        <w:jc w:val="center"/>
        <w:rPr>
          <w:rFonts w:cs="宋体"/>
          <w:b/>
          <w:bCs/>
          <w:kern w:val="0"/>
          <w:sz w:val="28"/>
          <w:szCs w:val="28"/>
        </w:rPr>
      </w:pPr>
    </w:p>
    <w:p w14:paraId="367DDAEC">
      <w:pPr>
        <w:widowControl/>
        <w:spacing w:line="360" w:lineRule="auto"/>
        <w:jc w:val="center"/>
        <w:rPr>
          <w:rFonts w:cs="宋体"/>
          <w:b/>
          <w:bCs/>
          <w:kern w:val="0"/>
          <w:sz w:val="28"/>
          <w:szCs w:val="28"/>
        </w:rPr>
      </w:pPr>
    </w:p>
    <w:p w14:paraId="15445831">
      <w:pPr>
        <w:widowControl/>
        <w:spacing w:line="360" w:lineRule="auto"/>
        <w:jc w:val="center"/>
        <w:rPr>
          <w:rFonts w:cs="宋体"/>
          <w:b/>
          <w:bCs/>
          <w:kern w:val="0"/>
          <w:sz w:val="28"/>
          <w:szCs w:val="28"/>
        </w:rPr>
      </w:pPr>
    </w:p>
    <w:p w14:paraId="79F81C13">
      <w:pPr>
        <w:widowControl/>
        <w:spacing w:line="360" w:lineRule="auto"/>
        <w:jc w:val="center"/>
        <w:rPr>
          <w:rFonts w:cs="宋体"/>
          <w:b/>
          <w:bCs/>
          <w:kern w:val="0"/>
          <w:sz w:val="28"/>
          <w:szCs w:val="28"/>
        </w:rPr>
      </w:pPr>
    </w:p>
    <w:p w14:paraId="3E5A01A9">
      <w:pPr>
        <w:widowControl/>
        <w:spacing w:line="360" w:lineRule="auto"/>
        <w:jc w:val="center"/>
        <w:rPr>
          <w:rFonts w:cs="宋体"/>
          <w:b/>
          <w:bCs/>
          <w:kern w:val="0"/>
          <w:sz w:val="28"/>
          <w:szCs w:val="28"/>
        </w:rPr>
      </w:pPr>
    </w:p>
    <w:p w14:paraId="1DFE7482">
      <w:pPr>
        <w:widowControl/>
        <w:spacing w:line="360" w:lineRule="auto"/>
        <w:jc w:val="center"/>
        <w:rPr>
          <w:rFonts w:cs="宋体"/>
          <w:b/>
          <w:bCs/>
          <w:kern w:val="0"/>
          <w:sz w:val="28"/>
          <w:szCs w:val="28"/>
        </w:rPr>
      </w:pPr>
    </w:p>
    <w:p w14:paraId="45C856F9">
      <w:pPr>
        <w:widowControl/>
        <w:spacing w:line="360" w:lineRule="auto"/>
        <w:jc w:val="center"/>
        <w:rPr>
          <w:rFonts w:cs="宋体"/>
          <w:b/>
          <w:bCs/>
          <w:kern w:val="0"/>
          <w:sz w:val="28"/>
          <w:szCs w:val="28"/>
        </w:rPr>
      </w:pPr>
    </w:p>
    <w:p w14:paraId="31BD6DB1">
      <w:pPr>
        <w:widowControl/>
        <w:spacing w:line="360" w:lineRule="auto"/>
        <w:jc w:val="center"/>
        <w:rPr>
          <w:rFonts w:cs="宋体"/>
          <w:b/>
          <w:bCs/>
          <w:kern w:val="0"/>
          <w:sz w:val="28"/>
          <w:szCs w:val="28"/>
        </w:rPr>
      </w:pPr>
    </w:p>
    <w:p w14:paraId="4B25F3F8">
      <w:pPr>
        <w:widowControl/>
        <w:spacing w:line="360" w:lineRule="auto"/>
        <w:jc w:val="center"/>
        <w:rPr>
          <w:rFonts w:cs="宋体"/>
          <w:b/>
          <w:bCs/>
          <w:kern w:val="0"/>
          <w:sz w:val="28"/>
          <w:szCs w:val="28"/>
        </w:rPr>
      </w:pPr>
      <w:r>
        <w:rPr>
          <w:rFonts w:hint="eastAsia" w:cs="宋体"/>
          <w:b/>
          <w:bCs/>
          <w:kern w:val="0"/>
          <w:sz w:val="28"/>
          <w:szCs w:val="28"/>
        </w:rPr>
        <w:t>九、投标人基本账户信息</w:t>
      </w:r>
    </w:p>
    <w:tbl>
      <w:tblPr>
        <w:tblStyle w:val="28"/>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49"/>
        <w:gridCol w:w="3163"/>
      </w:tblGrid>
      <w:tr w14:paraId="0EB8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restart"/>
            <w:vAlign w:val="center"/>
          </w:tcPr>
          <w:p w14:paraId="0A0D54AD">
            <w:pPr>
              <w:autoSpaceDE w:val="0"/>
              <w:autoSpaceDN w:val="0"/>
              <w:spacing w:line="300" w:lineRule="auto"/>
              <w:jc w:val="center"/>
              <w:rPr>
                <w:rFonts w:cs="宋体"/>
                <w:kern w:val="0"/>
                <w:sz w:val="24"/>
                <w:szCs w:val="24"/>
                <w:lang w:val="zh-CN" w:bidi="zh-CN"/>
              </w:rPr>
            </w:pPr>
            <w:r>
              <w:rPr>
                <w:rFonts w:hint="eastAsia" w:cs="宋体"/>
                <w:kern w:val="0"/>
                <w:sz w:val="24"/>
                <w:szCs w:val="24"/>
                <w:lang w:val="zh-CN" w:bidi="zh-CN"/>
              </w:rPr>
              <w:t>基本账户</w:t>
            </w:r>
          </w:p>
          <w:p w14:paraId="3C7633AF">
            <w:pPr>
              <w:autoSpaceDE w:val="0"/>
              <w:autoSpaceDN w:val="0"/>
              <w:spacing w:line="300" w:lineRule="auto"/>
              <w:jc w:val="center"/>
              <w:rPr>
                <w:rFonts w:cs="宋体"/>
                <w:kern w:val="0"/>
                <w:sz w:val="24"/>
                <w:szCs w:val="24"/>
                <w:lang w:val="zh-CN" w:bidi="zh-CN"/>
              </w:rPr>
            </w:pPr>
            <w:r>
              <w:rPr>
                <w:rFonts w:hint="eastAsia" w:cs="宋体"/>
                <w:kern w:val="0"/>
                <w:sz w:val="24"/>
                <w:szCs w:val="24"/>
                <w:lang w:val="zh-CN" w:bidi="zh-CN"/>
              </w:rPr>
              <w:t>开户银行</w:t>
            </w:r>
          </w:p>
        </w:tc>
        <w:tc>
          <w:tcPr>
            <w:tcW w:w="6912" w:type="dxa"/>
            <w:gridSpan w:val="2"/>
            <w:vAlign w:val="center"/>
          </w:tcPr>
          <w:p w14:paraId="1DA99B51">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名称：</w:t>
            </w:r>
          </w:p>
        </w:tc>
      </w:tr>
      <w:tr w14:paraId="56B6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496202CA">
            <w:pPr>
              <w:autoSpaceDE w:val="0"/>
              <w:autoSpaceDN w:val="0"/>
              <w:jc w:val="left"/>
              <w:rPr>
                <w:rFonts w:cs="宋体"/>
                <w:kern w:val="0"/>
                <w:sz w:val="22"/>
                <w:lang w:val="zh-CN" w:bidi="zh-CN"/>
              </w:rPr>
            </w:pPr>
          </w:p>
        </w:tc>
        <w:tc>
          <w:tcPr>
            <w:tcW w:w="6912" w:type="dxa"/>
            <w:gridSpan w:val="2"/>
            <w:vAlign w:val="center"/>
          </w:tcPr>
          <w:p w14:paraId="5011D21A">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地址：</w:t>
            </w:r>
          </w:p>
        </w:tc>
      </w:tr>
      <w:tr w14:paraId="5933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239CE404">
            <w:pPr>
              <w:autoSpaceDE w:val="0"/>
              <w:autoSpaceDN w:val="0"/>
              <w:jc w:val="left"/>
              <w:rPr>
                <w:rFonts w:cs="宋体"/>
                <w:kern w:val="0"/>
                <w:sz w:val="22"/>
                <w:lang w:val="zh-CN" w:bidi="zh-CN"/>
              </w:rPr>
            </w:pPr>
          </w:p>
        </w:tc>
        <w:tc>
          <w:tcPr>
            <w:tcW w:w="3749" w:type="dxa"/>
            <w:vAlign w:val="center"/>
          </w:tcPr>
          <w:p w14:paraId="54E43E73">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电话：</w:t>
            </w:r>
          </w:p>
        </w:tc>
        <w:tc>
          <w:tcPr>
            <w:tcW w:w="3163" w:type="dxa"/>
            <w:vAlign w:val="center"/>
          </w:tcPr>
          <w:p w14:paraId="533CA92D">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传真：</w:t>
            </w:r>
          </w:p>
        </w:tc>
      </w:tr>
      <w:tr w14:paraId="39E4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17F94024">
            <w:pPr>
              <w:autoSpaceDE w:val="0"/>
              <w:autoSpaceDN w:val="0"/>
              <w:jc w:val="left"/>
              <w:rPr>
                <w:rFonts w:cs="宋体"/>
                <w:kern w:val="0"/>
                <w:sz w:val="22"/>
                <w:lang w:val="zh-CN" w:bidi="zh-CN"/>
              </w:rPr>
            </w:pPr>
          </w:p>
        </w:tc>
        <w:tc>
          <w:tcPr>
            <w:tcW w:w="6912" w:type="dxa"/>
            <w:gridSpan w:val="2"/>
            <w:vAlign w:val="center"/>
          </w:tcPr>
          <w:p w14:paraId="501E6A63">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联系人及职务：</w:t>
            </w:r>
          </w:p>
        </w:tc>
      </w:tr>
      <w:tr w14:paraId="1103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restart"/>
            <w:vAlign w:val="center"/>
          </w:tcPr>
          <w:p w14:paraId="02715C59">
            <w:pPr>
              <w:autoSpaceDE w:val="0"/>
              <w:autoSpaceDN w:val="0"/>
              <w:spacing w:line="300" w:lineRule="auto"/>
              <w:jc w:val="center"/>
              <w:rPr>
                <w:rFonts w:cs="宋体"/>
                <w:kern w:val="0"/>
                <w:sz w:val="24"/>
                <w:szCs w:val="24"/>
                <w:lang w:val="zh-CN" w:bidi="zh-CN"/>
              </w:rPr>
            </w:pPr>
            <w:r>
              <w:rPr>
                <w:rFonts w:hint="eastAsia" w:cs="宋体"/>
                <w:kern w:val="0"/>
                <w:sz w:val="24"/>
                <w:szCs w:val="24"/>
                <w:lang w:val="zh-CN" w:bidi="zh-CN"/>
              </w:rPr>
              <w:t>基本账户</w:t>
            </w:r>
          </w:p>
        </w:tc>
        <w:tc>
          <w:tcPr>
            <w:tcW w:w="6912" w:type="dxa"/>
            <w:gridSpan w:val="2"/>
            <w:vAlign w:val="center"/>
          </w:tcPr>
          <w:p w14:paraId="51F076A2">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开户名称：</w:t>
            </w:r>
          </w:p>
        </w:tc>
      </w:tr>
      <w:tr w14:paraId="55C5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60128333">
            <w:pPr>
              <w:autoSpaceDE w:val="0"/>
              <w:autoSpaceDN w:val="0"/>
              <w:jc w:val="left"/>
              <w:rPr>
                <w:rFonts w:cs="宋体"/>
                <w:kern w:val="0"/>
                <w:sz w:val="22"/>
                <w:lang w:val="zh-CN" w:bidi="zh-CN"/>
              </w:rPr>
            </w:pPr>
          </w:p>
        </w:tc>
        <w:tc>
          <w:tcPr>
            <w:tcW w:w="6912" w:type="dxa"/>
            <w:gridSpan w:val="2"/>
            <w:vAlign w:val="center"/>
          </w:tcPr>
          <w:p w14:paraId="41402B2C">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账号：</w:t>
            </w:r>
          </w:p>
        </w:tc>
      </w:tr>
    </w:tbl>
    <w:p w14:paraId="021817DE">
      <w:pPr>
        <w:autoSpaceDE w:val="0"/>
        <w:autoSpaceDN w:val="0"/>
        <w:spacing w:line="300" w:lineRule="auto"/>
        <w:ind w:firstLine="6090"/>
        <w:jc w:val="left"/>
        <w:rPr>
          <w:rFonts w:cs="宋体"/>
          <w:kern w:val="0"/>
          <w:sz w:val="24"/>
          <w:szCs w:val="24"/>
          <w:lang w:val="zh-CN" w:bidi="zh-CN"/>
        </w:rPr>
      </w:pPr>
    </w:p>
    <w:p w14:paraId="71584170">
      <w:pPr>
        <w:adjustRightInd w:val="0"/>
        <w:spacing w:line="300" w:lineRule="auto"/>
        <w:textAlignment w:val="baseline"/>
        <w:rPr>
          <w:sz w:val="24"/>
          <w:szCs w:val="24"/>
          <w:lang w:val="zh-CN"/>
        </w:rPr>
      </w:pPr>
      <w:r>
        <w:rPr>
          <w:rFonts w:hint="eastAsia"/>
          <w:sz w:val="24"/>
          <w:szCs w:val="24"/>
          <w:lang w:val="zh-CN"/>
        </w:rPr>
        <w:t xml:space="preserve">                               投标人：</w:t>
      </w:r>
      <w:r>
        <w:rPr>
          <w:rFonts w:hint="eastAsia"/>
          <w:sz w:val="24"/>
          <w:szCs w:val="24"/>
          <w:u w:val="single"/>
          <w:lang w:val="zh-CN"/>
        </w:rPr>
        <w:t xml:space="preserve">                   </w:t>
      </w:r>
      <w:r>
        <w:rPr>
          <w:rFonts w:hint="eastAsia"/>
          <w:sz w:val="24"/>
          <w:szCs w:val="24"/>
          <w:lang w:val="zh-CN"/>
        </w:rPr>
        <w:t>(盖单位公章)</w:t>
      </w:r>
    </w:p>
    <w:p w14:paraId="61D362D1">
      <w:pPr>
        <w:autoSpaceDE w:val="0"/>
        <w:autoSpaceDN w:val="0"/>
        <w:spacing w:line="300" w:lineRule="auto"/>
        <w:ind w:firstLine="6090"/>
        <w:jc w:val="left"/>
        <w:rPr>
          <w:rFonts w:cs="宋体"/>
          <w:kern w:val="0"/>
          <w:sz w:val="24"/>
          <w:szCs w:val="24"/>
          <w:lang w:val="zh-CN" w:bidi="zh-CN"/>
        </w:rPr>
      </w:pPr>
    </w:p>
    <w:p w14:paraId="0582E9E2">
      <w:pPr>
        <w:autoSpaceDE w:val="0"/>
        <w:autoSpaceDN w:val="0"/>
        <w:adjustRightInd w:val="0"/>
        <w:snapToGrid w:val="0"/>
        <w:spacing w:line="300" w:lineRule="auto"/>
        <w:ind w:firstLine="480" w:firstLineChars="200"/>
        <w:jc w:val="left"/>
        <w:rPr>
          <w:rFonts w:cs="宋体"/>
          <w:bCs/>
          <w:kern w:val="0"/>
          <w:sz w:val="24"/>
          <w:szCs w:val="24"/>
          <w:lang w:val="zh-CN" w:bidi="zh-CN"/>
        </w:rPr>
      </w:pPr>
      <w:r>
        <w:rPr>
          <w:rFonts w:hint="eastAsia" w:cs="宋体"/>
          <w:bCs/>
          <w:kern w:val="0"/>
          <w:sz w:val="24"/>
          <w:szCs w:val="24"/>
          <w:lang w:bidi="zh-CN"/>
        </w:rPr>
        <w:t>后附</w:t>
      </w:r>
      <w:r>
        <w:rPr>
          <w:rFonts w:hint="eastAsia" w:cs="宋体"/>
          <w:bCs/>
          <w:kern w:val="0"/>
          <w:sz w:val="24"/>
          <w:szCs w:val="24"/>
          <w:lang w:val="zh-CN" w:bidi="zh-CN"/>
        </w:rPr>
        <w:t>：投标人应附上中国人民银行发出的投标人企业基本账户许可证复印件或基本存款账户开户银行开具的《基本存款账户信息》复印件</w:t>
      </w:r>
      <w:r>
        <w:rPr>
          <w:rFonts w:hint="eastAsia" w:cs="宋体"/>
          <w:bCs/>
          <w:kern w:val="0"/>
          <w:sz w:val="24"/>
          <w:szCs w:val="24"/>
          <w:lang w:bidi="zh-CN"/>
        </w:rPr>
        <w:t>或开户许可证复印件并</w:t>
      </w:r>
      <w:r>
        <w:rPr>
          <w:rFonts w:hint="eastAsia" w:cs="宋体"/>
          <w:bCs/>
          <w:kern w:val="0"/>
          <w:sz w:val="24"/>
          <w:szCs w:val="24"/>
          <w:lang w:val="zh-CN" w:bidi="zh-CN"/>
        </w:rPr>
        <w:t>加盖投标人单位公章。</w:t>
      </w:r>
    </w:p>
    <w:p w14:paraId="0A53438B">
      <w:pPr>
        <w:widowControl/>
        <w:spacing w:line="360" w:lineRule="auto"/>
        <w:jc w:val="center"/>
        <w:rPr>
          <w:rFonts w:cs="宋体"/>
          <w:b/>
          <w:bCs/>
          <w:kern w:val="0"/>
          <w:sz w:val="28"/>
          <w:szCs w:val="28"/>
        </w:rPr>
      </w:pPr>
    </w:p>
    <w:p w14:paraId="3752E711">
      <w:pPr>
        <w:widowControl/>
        <w:spacing w:line="360" w:lineRule="auto"/>
        <w:jc w:val="center"/>
        <w:rPr>
          <w:rFonts w:cs="宋体"/>
          <w:b/>
          <w:bCs/>
          <w:kern w:val="0"/>
          <w:sz w:val="28"/>
          <w:szCs w:val="28"/>
        </w:rPr>
      </w:pPr>
    </w:p>
    <w:p w14:paraId="02773A2A">
      <w:pPr>
        <w:widowControl/>
        <w:spacing w:line="360" w:lineRule="auto"/>
        <w:jc w:val="center"/>
        <w:rPr>
          <w:rFonts w:cs="宋体"/>
          <w:b/>
          <w:bCs/>
          <w:kern w:val="0"/>
          <w:sz w:val="28"/>
          <w:szCs w:val="28"/>
        </w:rPr>
      </w:pPr>
    </w:p>
    <w:p w14:paraId="32FF1F92">
      <w:pPr>
        <w:widowControl/>
        <w:spacing w:line="360" w:lineRule="auto"/>
        <w:jc w:val="center"/>
        <w:rPr>
          <w:rFonts w:cs="宋体"/>
          <w:b/>
          <w:bCs/>
          <w:kern w:val="0"/>
          <w:sz w:val="28"/>
          <w:szCs w:val="28"/>
        </w:rPr>
      </w:pPr>
    </w:p>
    <w:p w14:paraId="006AF45E">
      <w:pPr>
        <w:widowControl/>
        <w:spacing w:line="360" w:lineRule="auto"/>
        <w:jc w:val="center"/>
        <w:rPr>
          <w:rFonts w:cs="宋体"/>
          <w:b/>
          <w:bCs/>
          <w:kern w:val="0"/>
          <w:sz w:val="28"/>
          <w:szCs w:val="28"/>
        </w:rPr>
      </w:pPr>
      <w:r>
        <w:rPr>
          <w:rFonts w:hint="eastAsia" w:cs="宋体"/>
          <w:b/>
          <w:bCs/>
          <w:kern w:val="0"/>
          <w:sz w:val="28"/>
          <w:szCs w:val="28"/>
        </w:rPr>
        <w:t>十、</w:t>
      </w:r>
      <w:bookmarkStart w:id="282" w:name="_Toc148459151"/>
      <w:r>
        <w:rPr>
          <w:rFonts w:hint="eastAsia" w:cs="宋体"/>
          <w:b/>
          <w:bCs/>
          <w:kern w:val="0"/>
          <w:sz w:val="28"/>
          <w:szCs w:val="28"/>
        </w:rPr>
        <w:t>投标人提交的其它资料</w:t>
      </w:r>
      <w:bookmarkEnd w:id="282"/>
    </w:p>
    <w:p w14:paraId="222D79D7">
      <w:pPr>
        <w:rPr>
          <w:rFonts w:cs="宋体"/>
          <w:sz w:val="24"/>
        </w:rPr>
      </w:pPr>
      <w:r>
        <w:rPr>
          <w:rFonts w:hint="eastAsia" w:cs="宋体"/>
          <w:sz w:val="24"/>
        </w:rPr>
        <w:t xml:space="preserve"> </w:t>
      </w:r>
    </w:p>
    <w:p w14:paraId="45A7EFB8">
      <w:pPr>
        <w:spacing w:line="360" w:lineRule="auto"/>
        <w:ind w:firstLine="480" w:firstLineChars="200"/>
        <w:rPr>
          <w:rFonts w:cs="宋体"/>
          <w:b/>
          <w:bCs/>
          <w:sz w:val="36"/>
          <w:szCs w:val="36"/>
        </w:rPr>
      </w:pPr>
      <w:r>
        <w:rPr>
          <w:rFonts w:hint="eastAsia" w:cs="宋体"/>
          <w:sz w:val="24"/>
        </w:rPr>
        <w:t>投标人认为应提交的其他材料，可在此附件中提交。</w:t>
      </w:r>
    </w:p>
    <w:p w14:paraId="56A4372D">
      <w:pPr>
        <w:rPr>
          <w:rFonts w:cs="宋体"/>
          <w:sz w:val="28"/>
          <w:szCs w:val="28"/>
        </w:rPr>
      </w:pPr>
      <w:r>
        <w:rPr>
          <w:rFonts w:hint="eastAsia" w:cs="宋体"/>
          <w:sz w:val="28"/>
          <w:szCs w:val="28"/>
        </w:rPr>
        <w:t xml:space="preserve"> </w:t>
      </w:r>
    </w:p>
    <w:p w14:paraId="74E5ACE2">
      <w:pPr>
        <w:autoSpaceDE w:val="0"/>
        <w:autoSpaceDN w:val="0"/>
        <w:adjustRightInd w:val="0"/>
        <w:jc w:val="left"/>
        <w:rPr>
          <w:rFonts w:cs="宋体"/>
          <w:kern w:val="0"/>
          <w:sz w:val="28"/>
          <w:szCs w:val="28"/>
        </w:rPr>
      </w:pPr>
    </w:p>
    <w:p w14:paraId="2A265DC1">
      <w:pPr>
        <w:autoSpaceDE w:val="0"/>
        <w:autoSpaceDN w:val="0"/>
        <w:adjustRightInd w:val="0"/>
        <w:jc w:val="left"/>
        <w:rPr>
          <w:rFonts w:cs="宋体"/>
          <w:kern w:val="0"/>
          <w:sz w:val="28"/>
          <w:szCs w:val="28"/>
        </w:rPr>
      </w:pPr>
    </w:p>
    <w:p w14:paraId="1CE76E23">
      <w:pPr>
        <w:spacing w:line="480" w:lineRule="auto"/>
        <w:ind w:firstLine="420" w:firstLineChars="200"/>
        <w:jc w:val="right"/>
        <w:rPr>
          <w:rFonts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7578F0F4">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3BC0C258">
      <w:pPr>
        <w:autoSpaceDE w:val="0"/>
        <w:autoSpaceDN w:val="0"/>
        <w:adjustRightIn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6CEC6DA0">
      <w:pPr>
        <w:spacing w:line="380" w:lineRule="exact"/>
        <w:rPr>
          <w:rFonts w:cs="宋体"/>
          <w:b/>
          <w:bCs/>
          <w:szCs w:val="21"/>
          <w:u w:val="single"/>
        </w:rPr>
      </w:pPr>
    </w:p>
    <w:p w14:paraId="45369427">
      <w:pPr>
        <w:rPr>
          <w:rFonts w:cs="宋体"/>
        </w:rPr>
      </w:pPr>
      <w:r>
        <w:rPr>
          <w:rFonts w:hint="eastAsia" w:cs="宋体"/>
        </w:rPr>
        <w:t xml:space="preserve"> </w:t>
      </w:r>
    </w:p>
    <w:p w14:paraId="59DE6DEA">
      <w:pPr>
        <w:ind w:firstLine="643" w:firstLineChars="201"/>
        <w:rPr>
          <w:rFonts w:cs="宋体"/>
          <w:sz w:val="32"/>
          <w:szCs w:val="32"/>
        </w:rPr>
      </w:pPr>
    </w:p>
    <w:p w14:paraId="452B8A5E">
      <w:pPr>
        <w:rPr>
          <w:rFonts w:cs="宋体"/>
        </w:rPr>
      </w:pPr>
    </w:p>
    <w:p w14:paraId="32680241">
      <w:pPr>
        <w:rPr>
          <w:rFonts w:cs="宋体"/>
        </w:rPr>
      </w:pPr>
    </w:p>
    <w:p w14:paraId="5B2B43BD"/>
    <w:p w14:paraId="25D2987B"/>
    <w:p w14:paraId="1B3072F7"/>
    <w:p w14:paraId="2CB71DC3"/>
    <w:p w14:paraId="07FD85E1"/>
    <w:p w14:paraId="2405B985"/>
    <w:p w14:paraId="0AAAE050">
      <w:pPr>
        <w:autoSpaceDE w:val="0"/>
        <w:autoSpaceDN w:val="0"/>
        <w:adjustRightInd w:val="0"/>
        <w:jc w:val="left"/>
        <w:rPr>
          <w:rFonts w:cs="宋体"/>
          <w:kern w:val="0"/>
          <w:sz w:val="24"/>
          <w:szCs w:val="24"/>
        </w:rPr>
      </w:pPr>
    </w:p>
    <w:p w14:paraId="586C0AFE">
      <w:pPr>
        <w:autoSpaceDE w:val="0"/>
        <w:autoSpaceDN w:val="0"/>
        <w:adjustRightInd w:val="0"/>
        <w:jc w:val="left"/>
        <w:rPr>
          <w:rFonts w:cs="宋体"/>
          <w:kern w:val="0"/>
          <w:sz w:val="24"/>
          <w:szCs w:val="24"/>
        </w:rPr>
      </w:pPr>
    </w:p>
    <w:p w14:paraId="43EE9960">
      <w:pPr>
        <w:spacing w:line="360" w:lineRule="auto"/>
        <w:ind w:firstLine="420"/>
        <w:jc w:val="right"/>
        <w:rPr>
          <w:rFonts w:cs="宋体"/>
          <w:b/>
          <w:bCs/>
          <w:kern w:val="0"/>
          <w:sz w:val="72"/>
          <w:szCs w:val="72"/>
        </w:rPr>
      </w:pPr>
      <w:r>
        <w:rPr>
          <w:rFonts w:hint="eastAsia" w:cs="宋体"/>
          <w:b/>
          <w:bCs/>
          <w:kern w:val="0"/>
          <w:sz w:val="36"/>
          <w:szCs w:val="36"/>
        </w:rPr>
        <w:t xml:space="preserve"> （正/副本）</w:t>
      </w:r>
    </w:p>
    <w:p w14:paraId="337ECF51">
      <w:pPr>
        <w:spacing w:line="360" w:lineRule="auto"/>
        <w:jc w:val="center"/>
        <w:rPr>
          <w:rFonts w:cs="宋体"/>
          <w:b/>
          <w:bCs/>
          <w:sz w:val="72"/>
          <w:szCs w:val="72"/>
        </w:rPr>
      </w:pPr>
      <w:r>
        <w:rPr>
          <w:rFonts w:hint="eastAsia" w:cs="宋体"/>
          <w:b/>
          <w:bCs/>
          <w:sz w:val="72"/>
          <w:szCs w:val="72"/>
        </w:rPr>
        <w:t xml:space="preserve"> </w:t>
      </w:r>
    </w:p>
    <w:p w14:paraId="22E42F4B">
      <w:pPr>
        <w:spacing w:line="360" w:lineRule="auto"/>
        <w:jc w:val="center"/>
        <w:outlineLvl w:val="1"/>
        <w:rPr>
          <w:rFonts w:cs="宋体"/>
          <w:b/>
          <w:bCs/>
          <w:sz w:val="72"/>
          <w:szCs w:val="72"/>
        </w:rPr>
      </w:pPr>
      <w:bookmarkStart w:id="283" w:name="_Toc12103"/>
      <w:bookmarkStart w:id="284" w:name="_Toc31229"/>
      <w:r>
        <w:rPr>
          <w:rFonts w:hint="eastAsia" w:cs="宋体"/>
          <w:b/>
          <w:bCs/>
          <w:sz w:val="72"/>
          <w:szCs w:val="72"/>
        </w:rPr>
        <w:t>投  标  文  件</w:t>
      </w:r>
      <w:bookmarkEnd w:id="283"/>
      <w:bookmarkEnd w:id="284"/>
    </w:p>
    <w:p w14:paraId="26F7140F">
      <w:pPr>
        <w:spacing w:line="360" w:lineRule="auto"/>
        <w:jc w:val="center"/>
        <w:outlineLvl w:val="1"/>
        <w:rPr>
          <w:rFonts w:cs="宋体"/>
          <w:b/>
          <w:bCs/>
          <w:sz w:val="36"/>
          <w:szCs w:val="36"/>
        </w:rPr>
      </w:pPr>
      <w:bookmarkStart w:id="285" w:name="_Toc11639"/>
      <w:bookmarkStart w:id="286" w:name="_Toc30331"/>
      <w:r>
        <w:rPr>
          <w:rFonts w:hint="eastAsia" w:cs="宋体"/>
          <w:b/>
          <w:bCs/>
          <w:sz w:val="36"/>
          <w:szCs w:val="36"/>
        </w:rPr>
        <w:t>（技术文件）</w:t>
      </w:r>
      <w:bookmarkEnd w:id="285"/>
      <w:bookmarkEnd w:id="286"/>
    </w:p>
    <w:p w14:paraId="6FC945AF">
      <w:pPr>
        <w:spacing w:line="360" w:lineRule="auto"/>
        <w:jc w:val="center"/>
        <w:rPr>
          <w:rFonts w:cs="宋体"/>
          <w:b/>
          <w:bCs/>
          <w:sz w:val="36"/>
          <w:szCs w:val="36"/>
        </w:rPr>
      </w:pPr>
    </w:p>
    <w:p w14:paraId="17833A4C">
      <w:pPr>
        <w:spacing w:line="360" w:lineRule="auto"/>
        <w:jc w:val="center"/>
        <w:rPr>
          <w:rFonts w:cs="宋体"/>
          <w:b/>
          <w:bCs/>
          <w:sz w:val="36"/>
          <w:szCs w:val="36"/>
        </w:rPr>
      </w:pPr>
      <w:r>
        <w:rPr>
          <w:rFonts w:hint="eastAsia" w:cs="宋体"/>
          <w:b/>
          <w:bCs/>
          <w:sz w:val="36"/>
          <w:szCs w:val="36"/>
        </w:rPr>
        <w:t xml:space="preserve"> </w:t>
      </w:r>
    </w:p>
    <w:p w14:paraId="2060227E">
      <w:pPr>
        <w:spacing w:line="360" w:lineRule="auto"/>
        <w:ind w:firstLine="1084" w:firstLineChars="300"/>
        <w:rPr>
          <w:rFonts w:cs="宋体"/>
          <w:b/>
          <w:bCs/>
          <w:sz w:val="36"/>
          <w:szCs w:val="36"/>
        </w:rPr>
      </w:pPr>
      <w:r>
        <w:rPr>
          <w:rFonts w:hint="eastAsia" w:cs="宋体"/>
          <w:b/>
          <w:bCs/>
          <w:sz w:val="36"/>
          <w:szCs w:val="36"/>
        </w:rPr>
        <w:t>项 目 名 称：</w:t>
      </w:r>
      <w:r>
        <w:rPr>
          <w:rFonts w:hint="eastAsia" w:cs="宋体"/>
          <w:b/>
          <w:bCs/>
          <w:sz w:val="36"/>
          <w:szCs w:val="36"/>
          <w:u w:val="single"/>
        </w:rPr>
        <w:t xml:space="preserve">               </w:t>
      </w:r>
    </w:p>
    <w:p w14:paraId="23180E0C">
      <w:pPr>
        <w:spacing w:line="360" w:lineRule="auto"/>
        <w:ind w:firstLine="1084" w:firstLineChars="300"/>
        <w:rPr>
          <w:rFonts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14:paraId="6CDFA6C4">
      <w:pPr>
        <w:spacing w:line="360" w:lineRule="auto"/>
        <w:rPr>
          <w:rFonts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14:paraId="5B0DA72F">
      <w:pPr>
        <w:spacing w:line="360" w:lineRule="auto"/>
        <w:rPr>
          <w:rFonts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14:paraId="35D3AB30">
      <w:pPr>
        <w:spacing w:line="360" w:lineRule="auto"/>
        <w:rPr>
          <w:rFonts w:cs="宋体"/>
          <w:sz w:val="24"/>
        </w:rPr>
      </w:pPr>
      <w:r>
        <w:rPr>
          <w:rFonts w:hint="eastAsia" w:cs="宋体"/>
          <w:sz w:val="24"/>
        </w:rPr>
        <w:t xml:space="preserve"> </w:t>
      </w:r>
    </w:p>
    <w:p w14:paraId="145B269C">
      <w:pPr>
        <w:keepNext/>
        <w:keepLines/>
        <w:spacing w:before="156" w:beforeLines="50" w:after="156" w:afterLines="50" w:line="415" w:lineRule="auto"/>
        <w:jc w:val="center"/>
        <w:rPr>
          <w:rFonts w:cs="宋体"/>
          <w:kern w:val="0"/>
          <w:sz w:val="36"/>
          <w:szCs w:val="36"/>
        </w:rPr>
      </w:pPr>
      <w:r>
        <w:rPr>
          <w:rFonts w:hint="eastAsia" w:cs="宋体"/>
          <w:b/>
          <w:bCs/>
          <w:kern w:val="0"/>
          <w:sz w:val="32"/>
          <w:szCs w:val="32"/>
        </w:rPr>
        <w:br w:type="page"/>
      </w:r>
      <w:bookmarkStart w:id="287" w:name="_Toc148459152"/>
      <w:r>
        <w:rPr>
          <w:rFonts w:hint="eastAsia" w:cs="宋体"/>
          <w:kern w:val="0"/>
          <w:sz w:val="36"/>
          <w:szCs w:val="36"/>
        </w:rPr>
        <w:t>目 录</w:t>
      </w:r>
      <w:bookmarkEnd w:id="287"/>
    </w:p>
    <w:p w14:paraId="07E4DDCE">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一、技术评分索引表</w:t>
      </w:r>
    </w:p>
    <w:p w14:paraId="721DE4FA">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二、技术和商务偏离表</w:t>
      </w:r>
    </w:p>
    <w:p w14:paraId="7FE62D0C">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三、系统技术方案</w:t>
      </w:r>
    </w:p>
    <w:p w14:paraId="3C5B2AA8">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四、系统供货组织方案</w:t>
      </w:r>
    </w:p>
    <w:p w14:paraId="10804E45">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五、系统售后服务方案</w:t>
      </w:r>
    </w:p>
    <w:p w14:paraId="25475B60">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六、其他</w:t>
      </w:r>
    </w:p>
    <w:p w14:paraId="3D892F18">
      <w:pPr>
        <w:autoSpaceDE w:val="0"/>
        <w:autoSpaceDN w:val="0"/>
        <w:adjustRightInd w:val="0"/>
        <w:snapToGrid w:val="0"/>
        <w:spacing w:line="480" w:lineRule="auto"/>
        <w:jc w:val="left"/>
        <w:rPr>
          <w:rFonts w:cs="宋体"/>
          <w:kern w:val="0"/>
          <w:sz w:val="28"/>
          <w:szCs w:val="28"/>
        </w:rPr>
      </w:pPr>
    </w:p>
    <w:p w14:paraId="52E06E8E">
      <w:pPr>
        <w:autoSpaceDE w:val="0"/>
        <w:autoSpaceDN w:val="0"/>
        <w:adjustRightInd w:val="0"/>
        <w:snapToGrid w:val="0"/>
        <w:spacing w:line="480" w:lineRule="auto"/>
        <w:jc w:val="left"/>
        <w:rPr>
          <w:rFonts w:cs="宋体"/>
          <w:kern w:val="0"/>
          <w:sz w:val="28"/>
          <w:szCs w:val="28"/>
        </w:rPr>
      </w:pPr>
    </w:p>
    <w:p w14:paraId="06FE1854">
      <w:pPr>
        <w:autoSpaceDE w:val="0"/>
        <w:autoSpaceDN w:val="0"/>
        <w:adjustRightInd w:val="0"/>
        <w:snapToGrid w:val="0"/>
        <w:spacing w:line="480" w:lineRule="auto"/>
        <w:jc w:val="left"/>
        <w:rPr>
          <w:rFonts w:cs="宋体"/>
          <w:kern w:val="0"/>
          <w:sz w:val="28"/>
          <w:szCs w:val="28"/>
        </w:rPr>
      </w:pPr>
    </w:p>
    <w:p w14:paraId="5CF800B7">
      <w:pPr>
        <w:autoSpaceDE w:val="0"/>
        <w:autoSpaceDN w:val="0"/>
        <w:adjustRightInd w:val="0"/>
        <w:snapToGrid w:val="0"/>
        <w:spacing w:line="480" w:lineRule="auto"/>
        <w:jc w:val="left"/>
        <w:rPr>
          <w:rFonts w:cs="宋体"/>
          <w:kern w:val="0"/>
          <w:sz w:val="28"/>
          <w:szCs w:val="28"/>
        </w:rPr>
      </w:pPr>
    </w:p>
    <w:p w14:paraId="31406125">
      <w:pPr>
        <w:autoSpaceDE w:val="0"/>
        <w:autoSpaceDN w:val="0"/>
        <w:adjustRightInd w:val="0"/>
        <w:snapToGrid w:val="0"/>
        <w:spacing w:line="480" w:lineRule="auto"/>
        <w:jc w:val="left"/>
        <w:rPr>
          <w:rFonts w:cs="宋体"/>
          <w:kern w:val="0"/>
          <w:sz w:val="28"/>
          <w:szCs w:val="28"/>
        </w:rPr>
      </w:pPr>
    </w:p>
    <w:p w14:paraId="0DDB9B2A">
      <w:pPr>
        <w:autoSpaceDE w:val="0"/>
        <w:autoSpaceDN w:val="0"/>
        <w:adjustRightInd w:val="0"/>
        <w:snapToGrid w:val="0"/>
        <w:spacing w:line="480" w:lineRule="auto"/>
        <w:jc w:val="left"/>
        <w:rPr>
          <w:rFonts w:cs="宋体"/>
          <w:kern w:val="0"/>
          <w:sz w:val="28"/>
          <w:szCs w:val="28"/>
        </w:rPr>
      </w:pPr>
    </w:p>
    <w:p w14:paraId="3CDC621D">
      <w:pPr>
        <w:autoSpaceDE w:val="0"/>
        <w:autoSpaceDN w:val="0"/>
        <w:adjustRightInd w:val="0"/>
        <w:snapToGrid w:val="0"/>
        <w:spacing w:line="480" w:lineRule="auto"/>
        <w:jc w:val="left"/>
        <w:rPr>
          <w:rFonts w:cs="宋体"/>
          <w:kern w:val="0"/>
          <w:sz w:val="28"/>
          <w:szCs w:val="28"/>
        </w:rPr>
      </w:pPr>
    </w:p>
    <w:p w14:paraId="6DACD3CA">
      <w:pPr>
        <w:autoSpaceDE w:val="0"/>
        <w:autoSpaceDN w:val="0"/>
        <w:adjustRightInd w:val="0"/>
        <w:snapToGrid w:val="0"/>
        <w:spacing w:line="480" w:lineRule="auto"/>
        <w:jc w:val="left"/>
        <w:rPr>
          <w:rFonts w:cs="宋体"/>
          <w:kern w:val="0"/>
          <w:sz w:val="28"/>
          <w:szCs w:val="28"/>
        </w:rPr>
      </w:pPr>
    </w:p>
    <w:p w14:paraId="1A45E3BF">
      <w:pPr>
        <w:autoSpaceDE w:val="0"/>
        <w:autoSpaceDN w:val="0"/>
        <w:adjustRightInd w:val="0"/>
        <w:snapToGrid w:val="0"/>
        <w:spacing w:line="480" w:lineRule="auto"/>
        <w:jc w:val="left"/>
        <w:rPr>
          <w:rFonts w:cs="宋体"/>
          <w:kern w:val="0"/>
          <w:sz w:val="28"/>
          <w:szCs w:val="28"/>
        </w:rPr>
      </w:pPr>
    </w:p>
    <w:p w14:paraId="063ED781">
      <w:pPr>
        <w:autoSpaceDE w:val="0"/>
        <w:autoSpaceDN w:val="0"/>
        <w:adjustRightInd w:val="0"/>
        <w:snapToGrid w:val="0"/>
        <w:spacing w:line="480" w:lineRule="auto"/>
        <w:jc w:val="center"/>
        <w:rPr>
          <w:rFonts w:cs="宋体"/>
          <w:b/>
          <w:bCs/>
          <w:kern w:val="0"/>
          <w:sz w:val="28"/>
          <w:szCs w:val="28"/>
        </w:rPr>
      </w:pPr>
      <w:r>
        <w:rPr>
          <w:rFonts w:hint="eastAsia" w:cs="宋体"/>
          <w:b/>
          <w:bCs/>
          <w:kern w:val="0"/>
          <w:sz w:val="28"/>
          <w:szCs w:val="28"/>
        </w:rPr>
        <w:t>一、技术评分索引表</w:t>
      </w:r>
    </w:p>
    <w:p w14:paraId="33DE1D6C">
      <w:pPr>
        <w:autoSpaceDE w:val="0"/>
        <w:autoSpaceDN w:val="0"/>
        <w:adjustRightInd w:val="0"/>
        <w:snapToGrid w:val="0"/>
        <w:spacing w:line="480" w:lineRule="auto"/>
        <w:rPr>
          <w:rFonts w:cs="宋体"/>
          <w:b/>
          <w:bCs/>
          <w:kern w:val="0"/>
          <w:sz w:val="28"/>
          <w:szCs w:val="28"/>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032"/>
        <w:gridCol w:w="885"/>
      </w:tblGrid>
      <w:tr w14:paraId="0BAA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6B1B7C7E">
            <w:pPr>
              <w:spacing w:line="360" w:lineRule="auto"/>
              <w:jc w:val="center"/>
              <w:rPr>
                <w:rFonts w:cs="宋体"/>
                <w:sz w:val="24"/>
              </w:rPr>
            </w:pPr>
            <w:r>
              <w:rPr>
                <w:rFonts w:hint="eastAsia" w:cs="宋体"/>
                <w:sz w:val="24"/>
              </w:rPr>
              <w:t>序号</w:t>
            </w:r>
          </w:p>
        </w:tc>
        <w:tc>
          <w:tcPr>
            <w:tcW w:w="7032" w:type="dxa"/>
            <w:tcBorders>
              <w:top w:val="single" w:color="auto" w:sz="4" w:space="0"/>
              <w:left w:val="nil"/>
              <w:bottom w:val="single" w:color="auto" w:sz="4" w:space="0"/>
              <w:right w:val="single" w:color="auto" w:sz="4" w:space="0"/>
            </w:tcBorders>
            <w:vAlign w:val="center"/>
          </w:tcPr>
          <w:p w14:paraId="1883D9D3">
            <w:pPr>
              <w:spacing w:line="360" w:lineRule="auto"/>
              <w:jc w:val="center"/>
              <w:rPr>
                <w:rFonts w:cs="宋体"/>
                <w:sz w:val="24"/>
              </w:rPr>
            </w:pPr>
            <w:r>
              <w:rPr>
                <w:rFonts w:hint="eastAsia" w:cs="宋体"/>
                <w:sz w:val="24"/>
              </w:rPr>
              <w:t>评审项目</w:t>
            </w:r>
          </w:p>
        </w:tc>
        <w:tc>
          <w:tcPr>
            <w:tcW w:w="885" w:type="dxa"/>
            <w:tcBorders>
              <w:top w:val="single" w:color="auto" w:sz="4" w:space="0"/>
              <w:left w:val="nil"/>
              <w:bottom w:val="single" w:color="auto" w:sz="4" w:space="0"/>
              <w:right w:val="single" w:color="auto" w:sz="4" w:space="0"/>
            </w:tcBorders>
            <w:vAlign w:val="center"/>
          </w:tcPr>
          <w:p w14:paraId="1548246F">
            <w:pPr>
              <w:jc w:val="center"/>
              <w:rPr>
                <w:rFonts w:cs="宋体"/>
                <w:sz w:val="24"/>
              </w:rPr>
            </w:pPr>
            <w:r>
              <w:rPr>
                <w:rFonts w:hint="eastAsia" w:cs="宋体"/>
                <w:sz w:val="24"/>
              </w:rPr>
              <w:t>对应页码</w:t>
            </w:r>
          </w:p>
        </w:tc>
      </w:tr>
      <w:tr w14:paraId="2C25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2516BEB9">
            <w:pPr>
              <w:spacing w:line="360" w:lineRule="auto"/>
              <w:jc w:val="center"/>
              <w:rPr>
                <w:rFonts w:cs="宋体"/>
                <w:sz w:val="24"/>
              </w:rPr>
            </w:pPr>
            <w:r>
              <w:rPr>
                <w:rFonts w:hint="eastAsia" w:cs="Arial"/>
                <w:kern w:val="10"/>
                <w:sz w:val="24"/>
                <w:szCs w:val="24"/>
              </w:rPr>
              <w:t>1-1业务功能匹配度</w:t>
            </w:r>
          </w:p>
        </w:tc>
        <w:tc>
          <w:tcPr>
            <w:tcW w:w="7032" w:type="dxa"/>
            <w:tcBorders>
              <w:top w:val="single" w:color="auto" w:sz="4" w:space="0"/>
              <w:left w:val="nil"/>
              <w:bottom w:val="single" w:color="auto" w:sz="4" w:space="0"/>
              <w:right w:val="single" w:color="auto" w:sz="4" w:space="0"/>
            </w:tcBorders>
            <w:vAlign w:val="center"/>
          </w:tcPr>
          <w:p w14:paraId="749F7FF1">
            <w:pPr>
              <w:numPr>
                <w:ilvl w:val="255"/>
                <w:numId w:val="0"/>
              </w:numPr>
              <w:adjustRightInd w:val="0"/>
              <w:snapToGrid w:val="0"/>
              <w:spacing w:line="360" w:lineRule="auto"/>
              <w:rPr>
                <w:rFonts w:cs="仿宋"/>
                <w:sz w:val="24"/>
                <w:szCs w:val="24"/>
              </w:rPr>
            </w:pPr>
            <w:r>
              <w:rPr>
                <w:rFonts w:hint="eastAsia" w:cs="仿宋"/>
                <w:sz w:val="24"/>
                <w:szCs w:val="24"/>
              </w:rPr>
              <w:t>（1）根据图纸管理的功能方案评分，优3-4分，良1-2分，差0-1分；</w:t>
            </w:r>
          </w:p>
          <w:p w14:paraId="25FC3E5B">
            <w:pPr>
              <w:numPr>
                <w:ilvl w:val="255"/>
                <w:numId w:val="0"/>
              </w:numPr>
              <w:adjustRightInd w:val="0"/>
              <w:snapToGrid w:val="0"/>
              <w:spacing w:line="360" w:lineRule="auto"/>
              <w:rPr>
                <w:rFonts w:cs="仿宋"/>
                <w:sz w:val="24"/>
                <w:szCs w:val="24"/>
              </w:rPr>
            </w:pPr>
            <w:r>
              <w:rPr>
                <w:rFonts w:hint="eastAsia" w:cs="仿宋"/>
                <w:sz w:val="24"/>
                <w:szCs w:val="24"/>
              </w:rPr>
              <w:t>（2）根据库存管理的功能评分，优2-3分，良1-2分，差0-1分；</w:t>
            </w:r>
          </w:p>
          <w:p w14:paraId="58F101FF">
            <w:pPr>
              <w:numPr>
                <w:ilvl w:val="255"/>
                <w:numId w:val="0"/>
              </w:numPr>
              <w:adjustRightInd w:val="0"/>
              <w:snapToGrid w:val="0"/>
              <w:spacing w:line="360" w:lineRule="auto"/>
              <w:rPr>
                <w:rFonts w:cs="仿宋"/>
                <w:sz w:val="24"/>
                <w:szCs w:val="24"/>
              </w:rPr>
            </w:pPr>
            <w:r>
              <w:rPr>
                <w:rFonts w:hint="eastAsia" w:cs="仿宋"/>
                <w:sz w:val="24"/>
                <w:szCs w:val="24"/>
              </w:rPr>
              <w:t>（3）根据智能排产的功能评分，优4-6分，良2-3分，差0-1分；</w:t>
            </w:r>
          </w:p>
          <w:p w14:paraId="30E684C8">
            <w:pPr>
              <w:numPr>
                <w:ilvl w:val="255"/>
                <w:numId w:val="0"/>
              </w:numPr>
              <w:adjustRightInd w:val="0"/>
              <w:snapToGrid w:val="0"/>
              <w:spacing w:line="360" w:lineRule="auto"/>
              <w:rPr>
                <w:rFonts w:cs="仿宋"/>
                <w:sz w:val="24"/>
                <w:szCs w:val="24"/>
              </w:rPr>
            </w:pPr>
            <w:r>
              <w:rPr>
                <w:rFonts w:hint="eastAsia" w:cs="仿宋"/>
                <w:sz w:val="24"/>
                <w:szCs w:val="24"/>
              </w:rPr>
              <w:t>（4）根据车间管理的功能评分，优4-5分，良2-3分，差0-1分；</w:t>
            </w:r>
          </w:p>
          <w:p w14:paraId="1680AAC6">
            <w:pPr>
              <w:numPr>
                <w:ilvl w:val="255"/>
                <w:numId w:val="0"/>
              </w:numPr>
              <w:adjustRightInd w:val="0"/>
              <w:snapToGrid w:val="0"/>
              <w:spacing w:line="360" w:lineRule="auto"/>
              <w:rPr>
                <w:rFonts w:cs="仿宋"/>
                <w:sz w:val="24"/>
                <w:szCs w:val="24"/>
              </w:rPr>
            </w:pPr>
            <w:r>
              <w:rPr>
                <w:rFonts w:hint="eastAsia" w:cs="仿宋"/>
                <w:sz w:val="24"/>
                <w:szCs w:val="24"/>
              </w:rPr>
              <w:t>（5）根据生产过程追踪的功能评分，优3-4分，良2-3分，差0-1分；</w:t>
            </w:r>
          </w:p>
          <w:p w14:paraId="612437A8">
            <w:pPr>
              <w:numPr>
                <w:ilvl w:val="255"/>
                <w:numId w:val="0"/>
              </w:numPr>
              <w:adjustRightInd w:val="0"/>
              <w:snapToGrid w:val="0"/>
              <w:spacing w:line="360" w:lineRule="auto"/>
              <w:rPr>
                <w:rFonts w:cs="宋体"/>
                <w:sz w:val="24"/>
                <w:szCs w:val="24"/>
              </w:rPr>
            </w:pPr>
            <w:r>
              <w:rPr>
                <w:rFonts w:hint="eastAsia" w:cs="仿宋"/>
                <w:sz w:val="24"/>
                <w:szCs w:val="24"/>
              </w:rPr>
              <w:t>（6）根据统计分析的功能评分，优2-3分，良1-2分，差0-1分；</w:t>
            </w:r>
          </w:p>
        </w:tc>
        <w:tc>
          <w:tcPr>
            <w:tcW w:w="885" w:type="dxa"/>
            <w:tcBorders>
              <w:top w:val="single" w:color="auto" w:sz="4" w:space="0"/>
              <w:left w:val="nil"/>
              <w:bottom w:val="single" w:color="auto" w:sz="4" w:space="0"/>
              <w:right w:val="single" w:color="auto" w:sz="4" w:space="0"/>
            </w:tcBorders>
            <w:vAlign w:val="center"/>
          </w:tcPr>
          <w:p w14:paraId="45781E0B">
            <w:pPr>
              <w:spacing w:line="360" w:lineRule="auto"/>
              <w:jc w:val="center"/>
              <w:rPr>
                <w:rFonts w:cs="宋体"/>
                <w:sz w:val="24"/>
              </w:rPr>
            </w:pPr>
          </w:p>
        </w:tc>
      </w:tr>
      <w:tr w14:paraId="7AE7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323C2EDB">
            <w:pPr>
              <w:spacing w:line="360" w:lineRule="auto"/>
              <w:jc w:val="center"/>
              <w:rPr>
                <w:rFonts w:cs="宋体"/>
                <w:sz w:val="24"/>
              </w:rPr>
            </w:pPr>
            <w:r>
              <w:rPr>
                <w:rFonts w:hint="eastAsia" w:ascii="宋体" w:hAnsi="宋体" w:cs="宋体"/>
                <w:kern w:val="0"/>
                <w:sz w:val="24"/>
                <w:szCs w:val="24"/>
                <w:lang w:bidi="ar"/>
              </w:rPr>
              <w:t>1-2技术架构先进性</w:t>
            </w:r>
          </w:p>
        </w:tc>
        <w:tc>
          <w:tcPr>
            <w:tcW w:w="7032" w:type="dxa"/>
            <w:tcBorders>
              <w:top w:val="single" w:color="auto" w:sz="4" w:space="0"/>
              <w:left w:val="nil"/>
              <w:bottom w:val="single" w:color="auto" w:sz="4" w:space="0"/>
              <w:right w:val="single" w:color="auto" w:sz="4" w:space="0"/>
            </w:tcBorders>
            <w:vAlign w:val="center"/>
          </w:tcPr>
          <w:p w14:paraId="49DE4932">
            <w:pPr>
              <w:pStyle w:val="53"/>
              <w:numPr>
                <w:ilvl w:val="255"/>
                <w:numId w:val="0"/>
              </w:numPr>
              <w:spacing w:before="78" w:line="331" w:lineRule="auto"/>
              <w:ind w:right="40"/>
              <w:rPr>
                <w:rFonts w:hint="eastAsia"/>
                <w:sz w:val="24"/>
                <w:szCs w:val="24"/>
                <w:lang w:bidi="ar"/>
              </w:rPr>
            </w:pPr>
            <w:r>
              <w:rPr>
                <w:rFonts w:hint="eastAsia" w:cs="仿宋"/>
                <w:sz w:val="24"/>
                <w:szCs w:val="24"/>
              </w:rPr>
              <w:t>（1）根据平台与架构的先进性评分，优4-5分，良2-3分，差0-1分；</w:t>
            </w:r>
          </w:p>
          <w:p w14:paraId="6FAAE17F">
            <w:pPr>
              <w:pStyle w:val="53"/>
              <w:numPr>
                <w:ilvl w:val="255"/>
                <w:numId w:val="0"/>
              </w:numPr>
              <w:spacing w:before="78" w:line="331" w:lineRule="auto"/>
              <w:ind w:right="40"/>
              <w:rPr>
                <w:rFonts w:hint="eastAsia"/>
                <w:sz w:val="24"/>
                <w:szCs w:val="24"/>
                <w:lang w:bidi="ar"/>
              </w:rPr>
            </w:pPr>
            <w:r>
              <w:rPr>
                <w:rFonts w:hint="eastAsia" w:cs="仿宋"/>
                <w:sz w:val="24"/>
                <w:szCs w:val="24"/>
              </w:rPr>
              <w:t>（2）根据平台的自主可控性与成熟度评分，优3-5分，良2-3分，差0-1分；</w:t>
            </w:r>
          </w:p>
          <w:p w14:paraId="0999B947">
            <w:pPr>
              <w:pStyle w:val="53"/>
              <w:spacing w:before="78" w:line="331" w:lineRule="auto"/>
              <w:ind w:right="40"/>
              <w:jc w:val="both"/>
              <w:rPr>
                <w:rFonts w:hint="eastAsia"/>
                <w:sz w:val="24"/>
              </w:rPr>
            </w:pPr>
            <w:r>
              <w:rPr>
                <w:rFonts w:hint="eastAsia" w:cs="仿宋"/>
                <w:sz w:val="24"/>
                <w:szCs w:val="24"/>
              </w:rPr>
              <w:t>（3）根据平台的系统集成性评分，优3-5分，良1-3分，差0-1分；</w:t>
            </w:r>
          </w:p>
        </w:tc>
        <w:tc>
          <w:tcPr>
            <w:tcW w:w="885" w:type="dxa"/>
            <w:tcBorders>
              <w:top w:val="single" w:color="auto" w:sz="4" w:space="0"/>
              <w:left w:val="nil"/>
              <w:bottom w:val="single" w:color="auto" w:sz="4" w:space="0"/>
              <w:right w:val="single" w:color="auto" w:sz="4" w:space="0"/>
            </w:tcBorders>
            <w:vAlign w:val="center"/>
          </w:tcPr>
          <w:p w14:paraId="6965A13F">
            <w:pPr>
              <w:spacing w:line="360" w:lineRule="auto"/>
              <w:jc w:val="center"/>
              <w:rPr>
                <w:rFonts w:cs="宋体"/>
                <w:sz w:val="24"/>
              </w:rPr>
            </w:pPr>
          </w:p>
        </w:tc>
      </w:tr>
      <w:tr w14:paraId="7246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2C9D7170">
            <w:pPr>
              <w:spacing w:line="360" w:lineRule="auto"/>
              <w:jc w:val="center"/>
              <w:rPr>
                <w:rFonts w:cs="宋体"/>
                <w:sz w:val="24"/>
              </w:rPr>
            </w:pPr>
            <w:r>
              <w:rPr>
                <w:rFonts w:hint="eastAsia" w:cs="Arial"/>
                <w:kern w:val="10"/>
                <w:sz w:val="24"/>
                <w:szCs w:val="24"/>
              </w:rPr>
              <w:t>1-3实施与服务能力</w:t>
            </w:r>
          </w:p>
        </w:tc>
        <w:tc>
          <w:tcPr>
            <w:tcW w:w="7032" w:type="dxa"/>
            <w:tcBorders>
              <w:top w:val="single" w:color="auto" w:sz="4" w:space="0"/>
              <w:left w:val="nil"/>
              <w:bottom w:val="single" w:color="auto" w:sz="4" w:space="0"/>
              <w:right w:val="single" w:color="auto" w:sz="4" w:space="0"/>
            </w:tcBorders>
            <w:vAlign w:val="center"/>
          </w:tcPr>
          <w:p w14:paraId="2F1599CC">
            <w:pPr>
              <w:pStyle w:val="53"/>
              <w:numPr>
                <w:ilvl w:val="255"/>
                <w:numId w:val="0"/>
              </w:numPr>
              <w:spacing w:before="78" w:line="331" w:lineRule="auto"/>
              <w:ind w:right="40"/>
              <w:rPr>
                <w:rFonts w:hint="eastAsia"/>
                <w:sz w:val="24"/>
                <w:szCs w:val="24"/>
                <w:lang w:bidi="ar"/>
              </w:rPr>
            </w:pPr>
            <w:r>
              <w:rPr>
                <w:rFonts w:hint="eastAsia" w:cs="仿宋"/>
                <w:sz w:val="24"/>
                <w:szCs w:val="24"/>
              </w:rPr>
              <w:t>（1）根据项目的实施方案评分，优6-8分，良2-5分，差0-1分；</w:t>
            </w:r>
          </w:p>
          <w:p w14:paraId="6ABA0538">
            <w:pPr>
              <w:pStyle w:val="53"/>
              <w:numPr>
                <w:ilvl w:val="255"/>
                <w:numId w:val="0"/>
              </w:numPr>
              <w:spacing w:before="78" w:line="331" w:lineRule="auto"/>
              <w:ind w:right="40"/>
              <w:rPr>
                <w:rFonts w:hint="eastAsia"/>
                <w:sz w:val="24"/>
                <w:szCs w:val="24"/>
                <w:lang w:bidi="ar"/>
              </w:rPr>
            </w:pPr>
            <w:r>
              <w:rPr>
                <w:rFonts w:hint="eastAsia" w:cs="仿宋"/>
                <w:sz w:val="24"/>
                <w:szCs w:val="24"/>
              </w:rPr>
              <w:t>（2）根据项目团队进行评分，优3-4分，良2-3分，差0-1分；</w:t>
            </w:r>
          </w:p>
          <w:p w14:paraId="7D671493">
            <w:pPr>
              <w:pStyle w:val="53"/>
              <w:numPr>
                <w:ilvl w:val="255"/>
                <w:numId w:val="0"/>
              </w:numPr>
              <w:spacing w:before="78" w:line="331" w:lineRule="auto"/>
              <w:ind w:right="40"/>
              <w:rPr>
                <w:rFonts w:hint="eastAsia"/>
                <w:sz w:val="24"/>
                <w:szCs w:val="24"/>
                <w:lang w:bidi="ar"/>
              </w:rPr>
            </w:pPr>
            <w:r>
              <w:rPr>
                <w:rFonts w:hint="eastAsia" w:cs="仿宋"/>
                <w:sz w:val="24"/>
                <w:szCs w:val="24"/>
              </w:rPr>
              <w:t>（3）根据项目过程管理进行评分，优3-4分，良1-2分，差0-1分；</w:t>
            </w:r>
          </w:p>
          <w:p w14:paraId="768D466E">
            <w:pPr>
              <w:pStyle w:val="53"/>
              <w:spacing w:before="78" w:line="331" w:lineRule="auto"/>
              <w:ind w:right="40"/>
              <w:rPr>
                <w:rFonts w:hint="eastAsia"/>
                <w:sz w:val="24"/>
              </w:rPr>
            </w:pPr>
            <w:r>
              <w:rPr>
                <w:rFonts w:hint="eastAsia" w:cs="仿宋"/>
                <w:sz w:val="24"/>
                <w:szCs w:val="24"/>
              </w:rPr>
              <w:t>（4）根据服务与培训方案评分，优3-4分，良2-3分，差0-1分；</w:t>
            </w:r>
          </w:p>
        </w:tc>
        <w:tc>
          <w:tcPr>
            <w:tcW w:w="885" w:type="dxa"/>
            <w:tcBorders>
              <w:top w:val="single" w:color="auto" w:sz="4" w:space="0"/>
              <w:left w:val="nil"/>
              <w:bottom w:val="single" w:color="auto" w:sz="4" w:space="0"/>
              <w:right w:val="single" w:color="auto" w:sz="4" w:space="0"/>
            </w:tcBorders>
            <w:vAlign w:val="center"/>
          </w:tcPr>
          <w:p w14:paraId="24D3F40E">
            <w:pPr>
              <w:spacing w:line="360" w:lineRule="auto"/>
              <w:jc w:val="center"/>
              <w:rPr>
                <w:rFonts w:cs="宋体"/>
                <w:sz w:val="24"/>
              </w:rPr>
            </w:pPr>
          </w:p>
        </w:tc>
      </w:tr>
    </w:tbl>
    <w:p w14:paraId="17BFE34B">
      <w:pPr>
        <w:autoSpaceDE w:val="0"/>
        <w:autoSpaceDN w:val="0"/>
        <w:adjustRightInd w:val="0"/>
        <w:spacing w:line="480" w:lineRule="auto"/>
        <w:jc w:val="right"/>
        <w:rPr>
          <w:rFonts w:cs="宋体"/>
          <w:sz w:val="24"/>
          <w:szCs w:val="24"/>
        </w:rPr>
      </w:pPr>
    </w:p>
    <w:p w14:paraId="377F633A">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2D0E7DA4">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1FF6C0B1">
      <w:pPr>
        <w:autoSpaceDE w:val="0"/>
        <w:autoSpaceDN w:val="0"/>
        <w:adjustRightInd w:val="0"/>
        <w:snapToGrid w:val="0"/>
        <w:spacing w:line="480" w:lineRule="auto"/>
        <w:jc w:val="center"/>
        <w:rPr>
          <w:rFonts w:cs="宋体"/>
          <w:b/>
          <w:bCs/>
          <w:kern w:val="0"/>
          <w:sz w:val="28"/>
          <w:szCs w:val="28"/>
          <w:lang w:bidi="zh-CN"/>
        </w:rPr>
        <w:sectPr>
          <w:pgSz w:w="11906" w:h="16838"/>
          <w:pgMar w:top="1440" w:right="1800" w:bottom="1440" w:left="1800" w:header="851" w:footer="992" w:gutter="0"/>
          <w:cols w:space="720" w:num="1"/>
          <w:docGrid w:type="lines" w:linePitch="312" w:charSpace="0"/>
        </w:sectPr>
      </w:pPr>
    </w:p>
    <w:p w14:paraId="584AFE0C">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二、技术和商务</w:t>
      </w:r>
      <w:r>
        <w:rPr>
          <w:rFonts w:cs="宋体"/>
          <w:b/>
          <w:bCs/>
          <w:kern w:val="0"/>
          <w:sz w:val="28"/>
          <w:szCs w:val="28"/>
          <w:lang w:bidi="zh-CN"/>
        </w:rPr>
        <w:t>偏离表</w:t>
      </w:r>
    </w:p>
    <w:p w14:paraId="5000F198">
      <w:pPr>
        <w:autoSpaceDE w:val="0"/>
        <w:autoSpaceDN w:val="0"/>
        <w:adjustRightInd w:val="0"/>
        <w:snapToGrid w:val="0"/>
        <w:spacing w:line="480" w:lineRule="auto"/>
        <w:rPr>
          <w:rFonts w:cs="宋体"/>
          <w:b/>
          <w:bCs/>
          <w:kern w:val="0"/>
          <w:sz w:val="28"/>
          <w:szCs w:val="28"/>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12"/>
        <w:gridCol w:w="1670"/>
        <w:gridCol w:w="1808"/>
        <w:gridCol w:w="1551"/>
        <w:gridCol w:w="1175"/>
      </w:tblGrid>
      <w:tr w14:paraId="13CF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F4128E3">
            <w:pPr>
              <w:jc w:val="center"/>
              <w:rPr>
                <w:rFonts w:cs="宋体"/>
                <w:sz w:val="24"/>
              </w:rPr>
            </w:pPr>
            <w:r>
              <w:rPr>
                <w:rFonts w:hint="eastAsia" w:cs="宋体"/>
                <w:sz w:val="24"/>
              </w:rPr>
              <w:t>序号</w:t>
            </w:r>
          </w:p>
        </w:tc>
        <w:tc>
          <w:tcPr>
            <w:tcW w:w="1712" w:type="dxa"/>
            <w:tcBorders>
              <w:top w:val="single" w:color="auto" w:sz="4" w:space="0"/>
              <w:left w:val="nil"/>
              <w:bottom w:val="single" w:color="auto" w:sz="4" w:space="0"/>
              <w:right w:val="single" w:color="auto" w:sz="4" w:space="0"/>
            </w:tcBorders>
            <w:vAlign w:val="center"/>
          </w:tcPr>
          <w:p w14:paraId="11CA700C">
            <w:pPr>
              <w:jc w:val="center"/>
              <w:rPr>
                <w:rFonts w:cs="宋体"/>
                <w:sz w:val="24"/>
              </w:rPr>
            </w:pPr>
            <w:r>
              <w:rPr>
                <w:rFonts w:hint="eastAsia" w:cs="宋体"/>
                <w:sz w:val="24"/>
              </w:rPr>
              <w:t>招标规格</w:t>
            </w:r>
          </w:p>
        </w:tc>
        <w:tc>
          <w:tcPr>
            <w:tcW w:w="1670" w:type="dxa"/>
            <w:tcBorders>
              <w:top w:val="single" w:color="auto" w:sz="4" w:space="0"/>
              <w:left w:val="nil"/>
              <w:bottom w:val="single" w:color="auto" w:sz="4" w:space="0"/>
              <w:right w:val="single" w:color="auto" w:sz="4" w:space="0"/>
            </w:tcBorders>
            <w:vAlign w:val="center"/>
          </w:tcPr>
          <w:p w14:paraId="1E393F33">
            <w:pPr>
              <w:jc w:val="center"/>
              <w:rPr>
                <w:rFonts w:cs="宋体"/>
                <w:sz w:val="24"/>
              </w:rPr>
            </w:pPr>
            <w:r>
              <w:rPr>
                <w:rFonts w:hint="eastAsia" w:cs="宋体"/>
                <w:sz w:val="24"/>
              </w:rPr>
              <w:t>投标规格</w:t>
            </w:r>
          </w:p>
        </w:tc>
        <w:tc>
          <w:tcPr>
            <w:tcW w:w="1808" w:type="dxa"/>
            <w:tcBorders>
              <w:top w:val="single" w:color="auto" w:sz="4" w:space="0"/>
              <w:left w:val="nil"/>
              <w:bottom w:val="single" w:color="auto" w:sz="4" w:space="0"/>
              <w:right w:val="single" w:color="auto" w:sz="4" w:space="0"/>
            </w:tcBorders>
            <w:vAlign w:val="center"/>
          </w:tcPr>
          <w:p w14:paraId="153A3BE8">
            <w:pPr>
              <w:ind w:left="-63" w:leftChars="-30" w:right="-80" w:rightChars="-38"/>
              <w:jc w:val="center"/>
              <w:rPr>
                <w:rFonts w:cs="宋体"/>
                <w:sz w:val="24"/>
              </w:rPr>
            </w:pPr>
            <w:r>
              <w:rPr>
                <w:rFonts w:hint="eastAsia" w:cs="宋体"/>
                <w:sz w:val="24"/>
              </w:rPr>
              <w:t>偏离情况说明</w:t>
            </w:r>
          </w:p>
        </w:tc>
        <w:tc>
          <w:tcPr>
            <w:tcW w:w="1551" w:type="dxa"/>
            <w:tcBorders>
              <w:top w:val="single" w:color="auto" w:sz="4" w:space="0"/>
              <w:left w:val="nil"/>
              <w:bottom w:val="single" w:color="auto" w:sz="4" w:space="0"/>
              <w:right w:val="single" w:color="auto" w:sz="4" w:space="0"/>
            </w:tcBorders>
            <w:vAlign w:val="center"/>
          </w:tcPr>
          <w:p w14:paraId="7618E57B">
            <w:pPr>
              <w:jc w:val="center"/>
              <w:rPr>
                <w:rFonts w:cs="宋体"/>
                <w:sz w:val="24"/>
              </w:rPr>
            </w:pPr>
            <w:r>
              <w:rPr>
                <w:rFonts w:hint="eastAsia" w:cs="宋体"/>
                <w:sz w:val="24"/>
              </w:rPr>
              <w:t>对应页码</w:t>
            </w:r>
          </w:p>
        </w:tc>
        <w:tc>
          <w:tcPr>
            <w:tcW w:w="1175" w:type="dxa"/>
            <w:tcBorders>
              <w:top w:val="single" w:color="auto" w:sz="4" w:space="0"/>
              <w:left w:val="nil"/>
              <w:bottom w:val="single" w:color="auto" w:sz="4" w:space="0"/>
              <w:right w:val="single" w:color="auto" w:sz="4" w:space="0"/>
            </w:tcBorders>
            <w:vAlign w:val="center"/>
          </w:tcPr>
          <w:p w14:paraId="34289459">
            <w:pPr>
              <w:jc w:val="center"/>
              <w:rPr>
                <w:rFonts w:cs="宋体"/>
                <w:sz w:val="24"/>
              </w:rPr>
            </w:pPr>
            <w:r>
              <w:rPr>
                <w:rFonts w:hint="eastAsia" w:cs="宋体"/>
                <w:sz w:val="24"/>
              </w:rPr>
              <w:t>备注</w:t>
            </w:r>
          </w:p>
        </w:tc>
      </w:tr>
      <w:tr w14:paraId="3F2F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AC8D9D1">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7658DDB2">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4A3DED66">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44C94616">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78928046">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274FE5CE">
            <w:pPr>
              <w:spacing w:before="79" w:beforeLines="25" w:after="79" w:afterLines="25"/>
              <w:jc w:val="center"/>
              <w:rPr>
                <w:rFonts w:cs="宋体"/>
                <w:sz w:val="24"/>
              </w:rPr>
            </w:pPr>
          </w:p>
        </w:tc>
      </w:tr>
      <w:tr w14:paraId="7856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C4CA1B6">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12E4892E">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646F56D1">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1E62771B">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427FFEDB">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4360EC4D">
            <w:pPr>
              <w:spacing w:before="79" w:beforeLines="25" w:after="79" w:afterLines="25"/>
              <w:jc w:val="center"/>
              <w:rPr>
                <w:rFonts w:cs="宋体"/>
                <w:sz w:val="24"/>
              </w:rPr>
            </w:pPr>
          </w:p>
        </w:tc>
      </w:tr>
      <w:tr w14:paraId="2FDF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D904366">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427654E1">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50A317C0">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1BD2FCB1">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0834C0E9">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6AD95D5E">
            <w:pPr>
              <w:spacing w:before="79" w:beforeLines="25" w:after="79" w:afterLines="25"/>
              <w:jc w:val="center"/>
              <w:rPr>
                <w:rFonts w:cs="宋体"/>
                <w:sz w:val="24"/>
              </w:rPr>
            </w:pPr>
          </w:p>
        </w:tc>
      </w:tr>
      <w:tr w14:paraId="0E52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A5D334F">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2486282E">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49C03551">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6DCA3EA3">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02D1E7BB">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49B3B5CB">
            <w:pPr>
              <w:spacing w:before="79" w:beforeLines="25" w:after="79" w:afterLines="25"/>
              <w:jc w:val="center"/>
              <w:rPr>
                <w:rFonts w:cs="宋体"/>
                <w:sz w:val="24"/>
              </w:rPr>
            </w:pPr>
          </w:p>
        </w:tc>
      </w:tr>
    </w:tbl>
    <w:p w14:paraId="7B6935F3">
      <w:pPr>
        <w:autoSpaceDE w:val="0"/>
        <w:autoSpaceDN w:val="0"/>
        <w:adjustRightInd w:val="0"/>
        <w:spacing w:line="360" w:lineRule="auto"/>
        <w:ind w:firstLine="480" w:firstLineChars="200"/>
        <w:jc w:val="left"/>
        <w:rPr>
          <w:rFonts w:cs="宋体"/>
          <w:sz w:val="24"/>
        </w:rPr>
      </w:pPr>
      <w:r>
        <w:rPr>
          <w:rFonts w:hint="eastAsia" w:cs="宋体"/>
          <w:sz w:val="24"/>
        </w:rPr>
        <w:t>注：投标人须对照招标文件</w:t>
      </w:r>
      <w:r>
        <w:rPr>
          <w:rFonts w:hint="eastAsia" w:cs="宋体"/>
          <w:b/>
          <w:bCs/>
          <w:sz w:val="24"/>
        </w:rPr>
        <w:t>“第四章招标内容及要求”</w:t>
      </w:r>
      <w:r>
        <w:rPr>
          <w:rFonts w:hint="eastAsia" w:cs="宋体"/>
          <w:sz w:val="24"/>
        </w:rPr>
        <w:t>的</w:t>
      </w:r>
      <w:r>
        <w:rPr>
          <w:rFonts w:hint="eastAsia" w:cs="宋体"/>
          <w:b/>
          <w:sz w:val="24"/>
        </w:rPr>
        <w:t>全部内容及要求</w:t>
      </w:r>
      <w:r>
        <w:rPr>
          <w:rFonts w:hint="eastAsia" w:cs="宋体"/>
          <w:sz w:val="24"/>
        </w:rPr>
        <w:t>，按以下方式填写：</w:t>
      </w:r>
    </w:p>
    <w:p w14:paraId="0E47A0FE">
      <w:pPr>
        <w:autoSpaceDE w:val="0"/>
        <w:autoSpaceDN w:val="0"/>
        <w:adjustRightInd w:val="0"/>
        <w:spacing w:line="360" w:lineRule="auto"/>
        <w:ind w:firstLine="480" w:firstLineChars="200"/>
        <w:jc w:val="left"/>
        <w:rPr>
          <w:rFonts w:cs="宋体"/>
          <w:sz w:val="24"/>
        </w:rPr>
      </w:pPr>
      <w:r>
        <w:rPr>
          <w:rFonts w:hint="eastAsia" w:cs="宋体"/>
          <w:sz w:val="24"/>
        </w:rPr>
        <w:t>①完全响应招标文件</w:t>
      </w:r>
      <w:r>
        <w:rPr>
          <w:rFonts w:hint="eastAsia" w:cs="宋体"/>
          <w:b/>
          <w:bCs/>
          <w:sz w:val="24"/>
        </w:rPr>
        <w:t>“第四章招标内容及要求”</w:t>
      </w:r>
      <w:r>
        <w:rPr>
          <w:rFonts w:hint="eastAsia" w:cs="宋体"/>
          <w:sz w:val="24"/>
        </w:rPr>
        <w:t>的，在上述表格中写明</w:t>
      </w:r>
      <w:r>
        <w:rPr>
          <w:rFonts w:hint="eastAsia" w:cs="宋体"/>
          <w:b/>
          <w:bCs/>
          <w:sz w:val="24"/>
        </w:rPr>
        <w:t>“我司完全响应招标文件第四章招标内容及要求的规格要求”</w:t>
      </w:r>
      <w:r>
        <w:rPr>
          <w:rFonts w:hint="eastAsia" w:cs="宋体"/>
          <w:sz w:val="24"/>
        </w:rPr>
        <w:t>；</w:t>
      </w:r>
    </w:p>
    <w:p w14:paraId="6CF7F189">
      <w:pPr>
        <w:autoSpaceDE w:val="0"/>
        <w:autoSpaceDN w:val="0"/>
        <w:adjustRightInd w:val="0"/>
        <w:spacing w:line="360" w:lineRule="auto"/>
        <w:ind w:firstLine="480" w:firstLineChars="200"/>
        <w:jc w:val="left"/>
        <w:rPr>
          <w:rFonts w:cs="宋体"/>
          <w:sz w:val="24"/>
        </w:rPr>
      </w:pPr>
      <w:r>
        <w:rPr>
          <w:rFonts w:hint="eastAsia" w:cs="宋体"/>
          <w:sz w:val="24"/>
        </w:rPr>
        <w:t>②若投标规格和招标文件有偏离的，详细列明偏离的招标规格和投标规格，说明偏离情况，指明偏离内容对应的页码，并在最后加上</w:t>
      </w:r>
      <w:r>
        <w:rPr>
          <w:rFonts w:hint="eastAsia" w:cs="宋体"/>
          <w:b/>
          <w:bCs/>
          <w:sz w:val="24"/>
        </w:rPr>
        <w:t>“除上述偏离外我司完全响应招标文件第四章招标内容及要求的规格要求”。</w:t>
      </w:r>
    </w:p>
    <w:p w14:paraId="7EF9F69F">
      <w:pPr>
        <w:autoSpaceDE w:val="0"/>
        <w:autoSpaceDN w:val="0"/>
        <w:adjustRightInd w:val="0"/>
        <w:spacing w:line="360" w:lineRule="auto"/>
        <w:ind w:firstLine="480" w:firstLineChars="200"/>
        <w:jc w:val="left"/>
        <w:rPr>
          <w:rFonts w:cs="宋体"/>
          <w:kern w:val="0"/>
          <w:sz w:val="24"/>
          <w:szCs w:val="24"/>
        </w:rPr>
      </w:pPr>
      <w:r>
        <w:rPr>
          <w:rFonts w:hint="eastAsia" w:cs="宋体"/>
          <w:sz w:val="24"/>
        </w:rPr>
        <w:t>投标人存在弄虚作假行为的，将依法承担相应的法律责任。</w:t>
      </w:r>
    </w:p>
    <w:p w14:paraId="56773AA8">
      <w:pPr>
        <w:autoSpaceDE w:val="0"/>
        <w:autoSpaceDN w:val="0"/>
        <w:adjustRightInd w:val="0"/>
        <w:spacing w:line="480" w:lineRule="auto"/>
        <w:jc w:val="right"/>
        <w:rPr>
          <w:rFonts w:cs="宋体"/>
          <w:sz w:val="24"/>
          <w:szCs w:val="24"/>
        </w:rPr>
      </w:pPr>
    </w:p>
    <w:p w14:paraId="3712137A">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4B81FDFF">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54F9EED6">
      <w:pPr>
        <w:pStyle w:val="66"/>
        <w:rPr>
          <w:rFonts w:hint="eastAsia"/>
          <w:color w:val="auto"/>
        </w:rPr>
        <w:sectPr>
          <w:pgSz w:w="11906" w:h="16838"/>
          <w:pgMar w:top="1440" w:right="1803" w:bottom="1440" w:left="1803" w:header="851" w:footer="992" w:gutter="0"/>
          <w:cols w:space="720" w:num="1"/>
          <w:docGrid w:type="lines" w:linePitch="319" w:charSpace="0"/>
        </w:sectPr>
      </w:pPr>
    </w:p>
    <w:p w14:paraId="134C615C">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三、系统技术方案</w:t>
      </w:r>
    </w:p>
    <w:p w14:paraId="743FC330">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4D2FEE31">
      <w:pPr>
        <w:spacing w:line="360" w:lineRule="auto"/>
        <w:ind w:firstLine="480"/>
        <w:jc w:val="center"/>
        <w:rPr>
          <w:rFonts w:cs="宋体"/>
          <w:sz w:val="24"/>
        </w:rPr>
      </w:pPr>
      <w:r>
        <w:rPr>
          <w:rFonts w:hint="eastAsia" w:cs="宋体"/>
          <w:sz w:val="24"/>
        </w:rPr>
        <w:t xml:space="preserve"> </w:t>
      </w:r>
    </w:p>
    <w:p w14:paraId="42D19B0D">
      <w:pPr>
        <w:spacing w:line="360" w:lineRule="auto"/>
        <w:jc w:val="left"/>
        <w:rPr>
          <w:rFonts w:cs="宋体"/>
          <w:sz w:val="24"/>
        </w:rPr>
      </w:pPr>
      <w:r>
        <w:rPr>
          <w:rFonts w:hint="eastAsia" w:cs="宋体"/>
          <w:sz w:val="24"/>
        </w:rPr>
        <w:t>注：1、技术方案格式自拟，技术方案应包含按照“</w:t>
      </w:r>
      <w:r>
        <w:rPr>
          <w:rFonts w:hint="eastAsia" w:cs="宋体"/>
          <w:b/>
          <w:sz w:val="24"/>
        </w:rPr>
        <w:t>第四章招标内容及要求</w:t>
      </w:r>
      <w:r>
        <w:rPr>
          <w:rFonts w:hint="eastAsia" w:cs="宋体"/>
          <w:sz w:val="24"/>
        </w:rPr>
        <w:t>”确认的</w:t>
      </w:r>
      <w:r>
        <w:rPr>
          <w:rFonts w:hint="eastAsia" w:cs="宋体"/>
          <w:b/>
          <w:sz w:val="24"/>
        </w:rPr>
        <w:t>零部件配置及相关技术要求</w:t>
      </w:r>
      <w:r>
        <w:rPr>
          <w:rFonts w:hint="eastAsia" w:cs="宋体"/>
          <w:sz w:val="24"/>
        </w:rPr>
        <w:t>；</w:t>
      </w:r>
    </w:p>
    <w:p w14:paraId="7E3625F9">
      <w:pPr>
        <w:spacing w:line="360" w:lineRule="auto"/>
        <w:jc w:val="left"/>
        <w:rPr>
          <w:rFonts w:cs="宋体"/>
          <w:sz w:val="24"/>
          <w:szCs w:val="24"/>
        </w:rPr>
      </w:pPr>
    </w:p>
    <w:p w14:paraId="7E5BC301">
      <w:pPr>
        <w:autoSpaceDE w:val="0"/>
        <w:autoSpaceDN w:val="0"/>
        <w:adjustRightInd w:val="0"/>
        <w:spacing w:line="480" w:lineRule="auto"/>
        <w:jc w:val="right"/>
        <w:rPr>
          <w:rFonts w:cs="宋体"/>
          <w:sz w:val="24"/>
          <w:szCs w:val="24"/>
        </w:rPr>
      </w:pPr>
    </w:p>
    <w:p w14:paraId="2154FFD1">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54E6B18B">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3135F950">
      <w:pPr>
        <w:spacing w:line="360" w:lineRule="auto"/>
        <w:jc w:val="center"/>
        <w:rPr>
          <w:rFonts w:cs="宋体"/>
          <w:b/>
          <w:bCs/>
          <w:sz w:val="24"/>
        </w:rPr>
      </w:pPr>
      <w:r>
        <w:rPr>
          <w:rFonts w:hint="eastAsia" w:cs="宋体"/>
          <w:b/>
          <w:bCs/>
          <w:sz w:val="24"/>
        </w:rPr>
        <w:t xml:space="preserve"> </w:t>
      </w:r>
    </w:p>
    <w:p w14:paraId="7EAA4767">
      <w:pPr>
        <w:autoSpaceDE w:val="0"/>
        <w:autoSpaceDN w:val="0"/>
        <w:adjustRightInd w:val="0"/>
        <w:snapToGrid w:val="0"/>
        <w:spacing w:line="480" w:lineRule="auto"/>
        <w:rPr>
          <w:rFonts w:cs="宋体"/>
          <w:b/>
          <w:bCs/>
          <w:kern w:val="0"/>
          <w:sz w:val="28"/>
          <w:szCs w:val="28"/>
          <w:lang w:bidi="zh-CN"/>
        </w:rPr>
      </w:pPr>
    </w:p>
    <w:p w14:paraId="65823659">
      <w:pPr>
        <w:autoSpaceDE w:val="0"/>
        <w:autoSpaceDN w:val="0"/>
        <w:adjustRightInd w:val="0"/>
        <w:snapToGrid w:val="0"/>
        <w:spacing w:line="480" w:lineRule="auto"/>
        <w:rPr>
          <w:rFonts w:cs="宋体"/>
          <w:b/>
          <w:bCs/>
          <w:kern w:val="0"/>
          <w:sz w:val="28"/>
          <w:szCs w:val="28"/>
          <w:lang w:bidi="zh-CN"/>
        </w:rPr>
      </w:pPr>
    </w:p>
    <w:p w14:paraId="4F6BDEF4">
      <w:pPr>
        <w:autoSpaceDE w:val="0"/>
        <w:autoSpaceDN w:val="0"/>
        <w:adjustRightInd w:val="0"/>
        <w:snapToGrid w:val="0"/>
        <w:spacing w:line="480" w:lineRule="auto"/>
        <w:rPr>
          <w:rFonts w:cs="宋体"/>
          <w:b/>
          <w:bCs/>
          <w:kern w:val="0"/>
          <w:sz w:val="28"/>
          <w:szCs w:val="28"/>
          <w:lang w:bidi="zh-CN"/>
        </w:rPr>
      </w:pPr>
    </w:p>
    <w:p w14:paraId="785522AF">
      <w:pPr>
        <w:autoSpaceDE w:val="0"/>
        <w:autoSpaceDN w:val="0"/>
        <w:adjustRightInd w:val="0"/>
        <w:snapToGrid w:val="0"/>
        <w:spacing w:line="480" w:lineRule="auto"/>
        <w:rPr>
          <w:rFonts w:cs="宋体"/>
          <w:b/>
          <w:bCs/>
          <w:kern w:val="0"/>
          <w:sz w:val="28"/>
          <w:szCs w:val="28"/>
          <w:lang w:bidi="zh-CN"/>
        </w:rPr>
      </w:pPr>
    </w:p>
    <w:p w14:paraId="752090ED">
      <w:pPr>
        <w:pStyle w:val="66"/>
        <w:rPr>
          <w:rFonts w:hint="eastAsia"/>
          <w:color w:val="auto"/>
          <w:lang w:bidi="zh-CN"/>
        </w:rPr>
      </w:pPr>
    </w:p>
    <w:p w14:paraId="7D64CFF3">
      <w:pPr>
        <w:pStyle w:val="66"/>
        <w:rPr>
          <w:rFonts w:hint="eastAsia"/>
          <w:color w:val="auto"/>
          <w:lang w:bidi="zh-CN"/>
        </w:rPr>
      </w:pPr>
    </w:p>
    <w:p w14:paraId="1F8AA739">
      <w:pPr>
        <w:pStyle w:val="66"/>
        <w:rPr>
          <w:rFonts w:hint="eastAsia"/>
          <w:color w:val="auto"/>
          <w:lang w:bidi="zh-CN"/>
        </w:rPr>
      </w:pPr>
    </w:p>
    <w:p w14:paraId="253DF89F">
      <w:pPr>
        <w:pStyle w:val="66"/>
        <w:rPr>
          <w:rFonts w:hint="eastAsia"/>
          <w:color w:val="auto"/>
          <w:lang w:bidi="zh-CN"/>
        </w:rPr>
      </w:pPr>
    </w:p>
    <w:p w14:paraId="5577A71B">
      <w:pPr>
        <w:pStyle w:val="66"/>
        <w:rPr>
          <w:rFonts w:hint="eastAsia"/>
          <w:color w:val="auto"/>
          <w:lang w:bidi="zh-CN"/>
        </w:rPr>
      </w:pPr>
    </w:p>
    <w:p w14:paraId="6A528B40">
      <w:pPr>
        <w:pStyle w:val="66"/>
        <w:rPr>
          <w:rFonts w:hint="eastAsia"/>
          <w:color w:val="auto"/>
          <w:lang w:bidi="zh-CN"/>
        </w:rPr>
      </w:pPr>
    </w:p>
    <w:p w14:paraId="7BB50B49">
      <w:pPr>
        <w:pStyle w:val="66"/>
        <w:rPr>
          <w:rFonts w:hint="eastAsia"/>
          <w:color w:val="auto"/>
          <w:lang w:bidi="zh-CN"/>
        </w:rPr>
      </w:pPr>
    </w:p>
    <w:p w14:paraId="6B7EE514">
      <w:pPr>
        <w:autoSpaceDE w:val="0"/>
        <w:autoSpaceDN w:val="0"/>
        <w:adjustRightInd w:val="0"/>
        <w:snapToGrid w:val="0"/>
        <w:spacing w:line="480" w:lineRule="auto"/>
        <w:jc w:val="center"/>
        <w:rPr>
          <w:rFonts w:cs="宋体"/>
          <w:b/>
          <w:bCs/>
          <w:kern w:val="0"/>
          <w:sz w:val="28"/>
          <w:szCs w:val="28"/>
          <w:lang w:bidi="zh-CN"/>
        </w:rPr>
      </w:pPr>
      <w:r>
        <w:rPr>
          <w:rFonts w:cs="宋体"/>
          <w:b/>
          <w:bCs/>
          <w:kern w:val="0"/>
          <w:sz w:val="28"/>
          <w:szCs w:val="28"/>
          <w:lang w:bidi="zh-CN"/>
        </w:rPr>
        <w:t>四、</w:t>
      </w:r>
      <w:r>
        <w:rPr>
          <w:rFonts w:hint="eastAsia" w:cs="宋体"/>
          <w:b/>
          <w:bCs/>
          <w:kern w:val="0"/>
          <w:sz w:val="28"/>
          <w:szCs w:val="28"/>
          <w:lang w:bidi="zh-CN"/>
        </w:rPr>
        <w:t>系统</w:t>
      </w:r>
      <w:r>
        <w:rPr>
          <w:rFonts w:cs="宋体"/>
          <w:b/>
          <w:bCs/>
          <w:kern w:val="0"/>
          <w:sz w:val="28"/>
          <w:szCs w:val="28"/>
          <w:lang w:bidi="zh-CN"/>
        </w:rPr>
        <w:t>供货组织方案</w:t>
      </w:r>
    </w:p>
    <w:p w14:paraId="7E273051">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40757D99">
      <w:pPr>
        <w:spacing w:line="360" w:lineRule="auto"/>
        <w:ind w:firstLine="480"/>
        <w:jc w:val="center"/>
        <w:rPr>
          <w:rFonts w:cs="宋体"/>
          <w:sz w:val="24"/>
        </w:rPr>
      </w:pPr>
      <w:r>
        <w:rPr>
          <w:rFonts w:hint="eastAsia" w:cs="宋体"/>
          <w:sz w:val="24"/>
        </w:rPr>
        <w:t xml:space="preserve"> </w:t>
      </w:r>
    </w:p>
    <w:p w14:paraId="76603F41">
      <w:pPr>
        <w:spacing w:line="360" w:lineRule="auto"/>
        <w:jc w:val="left"/>
        <w:rPr>
          <w:rFonts w:cs="宋体"/>
          <w:sz w:val="24"/>
        </w:rPr>
      </w:pPr>
      <w:r>
        <w:rPr>
          <w:rFonts w:hint="eastAsia" w:cs="宋体"/>
          <w:sz w:val="24"/>
        </w:rPr>
        <w:t>注：1、方案格式自拟；</w:t>
      </w:r>
    </w:p>
    <w:p w14:paraId="6567974C">
      <w:pPr>
        <w:autoSpaceDE w:val="0"/>
        <w:autoSpaceDN w:val="0"/>
        <w:adjustRightInd w:val="0"/>
        <w:spacing w:line="480" w:lineRule="auto"/>
        <w:jc w:val="right"/>
        <w:rPr>
          <w:rFonts w:cs="宋体"/>
          <w:sz w:val="24"/>
          <w:szCs w:val="24"/>
        </w:rPr>
      </w:pPr>
    </w:p>
    <w:p w14:paraId="52243405">
      <w:pPr>
        <w:autoSpaceDE w:val="0"/>
        <w:autoSpaceDN w:val="0"/>
        <w:adjustRightInd w:val="0"/>
        <w:spacing w:line="480" w:lineRule="auto"/>
        <w:jc w:val="right"/>
        <w:rPr>
          <w:rFonts w:cs="宋体"/>
          <w:sz w:val="24"/>
          <w:szCs w:val="24"/>
        </w:rPr>
      </w:pPr>
    </w:p>
    <w:p w14:paraId="51EC95DB">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7C3DDDED">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6C77D876">
      <w:pPr>
        <w:autoSpaceDE w:val="0"/>
        <w:autoSpaceDN w:val="0"/>
        <w:adjustRightInd w:val="0"/>
        <w:snapToGrid w:val="0"/>
        <w:spacing w:line="480" w:lineRule="auto"/>
        <w:jc w:val="center"/>
        <w:rPr>
          <w:rFonts w:cs="宋体"/>
          <w:b/>
          <w:bCs/>
          <w:kern w:val="0"/>
          <w:sz w:val="28"/>
          <w:szCs w:val="28"/>
          <w:lang w:bidi="zh-CN"/>
        </w:rPr>
      </w:pPr>
    </w:p>
    <w:p w14:paraId="4CB82160">
      <w:pPr>
        <w:autoSpaceDE w:val="0"/>
        <w:autoSpaceDN w:val="0"/>
        <w:adjustRightInd w:val="0"/>
        <w:snapToGrid w:val="0"/>
        <w:spacing w:line="480" w:lineRule="auto"/>
        <w:jc w:val="center"/>
        <w:rPr>
          <w:rFonts w:cs="宋体"/>
          <w:b/>
          <w:bCs/>
          <w:kern w:val="0"/>
          <w:sz w:val="28"/>
          <w:szCs w:val="28"/>
          <w:lang w:bidi="zh-CN"/>
        </w:rPr>
      </w:pPr>
    </w:p>
    <w:p w14:paraId="4EE5391D">
      <w:pPr>
        <w:autoSpaceDE w:val="0"/>
        <w:autoSpaceDN w:val="0"/>
        <w:adjustRightInd w:val="0"/>
        <w:snapToGrid w:val="0"/>
        <w:spacing w:line="480" w:lineRule="auto"/>
        <w:jc w:val="center"/>
        <w:rPr>
          <w:rFonts w:cs="宋体"/>
          <w:b/>
          <w:bCs/>
          <w:kern w:val="0"/>
          <w:sz w:val="28"/>
          <w:szCs w:val="28"/>
          <w:lang w:bidi="zh-CN"/>
        </w:rPr>
      </w:pPr>
    </w:p>
    <w:p w14:paraId="4ACCF430">
      <w:pPr>
        <w:pStyle w:val="3"/>
        <w:rPr>
          <w:rFonts w:hint="eastAsia"/>
          <w:lang w:bidi="zh-CN"/>
        </w:rPr>
      </w:pPr>
    </w:p>
    <w:p w14:paraId="33C0A96F">
      <w:pPr>
        <w:rPr>
          <w:lang w:bidi="zh-CN"/>
        </w:rPr>
      </w:pPr>
    </w:p>
    <w:p w14:paraId="0130D28E">
      <w:pPr>
        <w:pStyle w:val="3"/>
        <w:rPr>
          <w:rFonts w:hint="eastAsia"/>
          <w:lang w:bidi="zh-CN"/>
        </w:rPr>
      </w:pPr>
    </w:p>
    <w:p w14:paraId="490A5326">
      <w:pPr>
        <w:rPr>
          <w:lang w:bidi="zh-CN"/>
        </w:rPr>
      </w:pPr>
    </w:p>
    <w:p w14:paraId="2C24B02C">
      <w:pPr>
        <w:pStyle w:val="3"/>
        <w:rPr>
          <w:rFonts w:hint="eastAsia"/>
          <w:lang w:bidi="zh-CN"/>
        </w:rPr>
      </w:pPr>
    </w:p>
    <w:p w14:paraId="16876559">
      <w:pPr>
        <w:rPr>
          <w:lang w:bidi="zh-CN"/>
        </w:rPr>
      </w:pPr>
    </w:p>
    <w:p w14:paraId="6347C73E">
      <w:pPr>
        <w:rPr>
          <w:rFonts w:cs="宋体"/>
          <w:b/>
          <w:bCs/>
          <w:kern w:val="0"/>
          <w:sz w:val="28"/>
          <w:szCs w:val="28"/>
          <w:lang w:bidi="zh-CN"/>
        </w:rPr>
      </w:pPr>
      <w:r>
        <w:rPr>
          <w:rFonts w:hint="eastAsia" w:cs="宋体"/>
          <w:b/>
          <w:bCs/>
          <w:kern w:val="0"/>
          <w:sz w:val="28"/>
          <w:szCs w:val="28"/>
          <w:lang w:bidi="zh-CN"/>
        </w:rPr>
        <w:br w:type="page"/>
      </w:r>
    </w:p>
    <w:p w14:paraId="53B39367">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五、系统</w:t>
      </w:r>
      <w:r>
        <w:rPr>
          <w:rFonts w:cs="宋体"/>
          <w:b/>
          <w:bCs/>
          <w:kern w:val="0"/>
          <w:sz w:val="28"/>
          <w:szCs w:val="28"/>
          <w:lang w:bidi="zh-CN"/>
        </w:rPr>
        <w:t>售后服务方案</w:t>
      </w:r>
    </w:p>
    <w:p w14:paraId="2B2AB641">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209E9B4E">
      <w:pPr>
        <w:spacing w:line="360" w:lineRule="auto"/>
        <w:ind w:firstLine="480"/>
        <w:jc w:val="center"/>
        <w:rPr>
          <w:rFonts w:cs="宋体"/>
          <w:sz w:val="24"/>
        </w:rPr>
      </w:pPr>
      <w:r>
        <w:rPr>
          <w:rFonts w:hint="eastAsia" w:cs="宋体"/>
          <w:sz w:val="24"/>
        </w:rPr>
        <w:t xml:space="preserve"> </w:t>
      </w:r>
    </w:p>
    <w:p w14:paraId="7FB8C1F2">
      <w:pPr>
        <w:spacing w:line="360" w:lineRule="auto"/>
        <w:jc w:val="left"/>
        <w:rPr>
          <w:rFonts w:cs="宋体"/>
          <w:sz w:val="24"/>
        </w:rPr>
      </w:pPr>
      <w:r>
        <w:rPr>
          <w:rFonts w:hint="eastAsia" w:cs="宋体"/>
          <w:sz w:val="24"/>
        </w:rPr>
        <w:t>注：1、方案格式自拟；</w:t>
      </w:r>
    </w:p>
    <w:p w14:paraId="6DF54D1C">
      <w:pPr>
        <w:autoSpaceDE w:val="0"/>
        <w:autoSpaceDN w:val="0"/>
        <w:adjustRightInd w:val="0"/>
        <w:spacing w:line="480" w:lineRule="auto"/>
        <w:jc w:val="right"/>
        <w:rPr>
          <w:rFonts w:cs="宋体"/>
          <w:sz w:val="24"/>
          <w:szCs w:val="24"/>
        </w:rPr>
      </w:pPr>
    </w:p>
    <w:p w14:paraId="769C1019">
      <w:pPr>
        <w:autoSpaceDE w:val="0"/>
        <w:autoSpaceDN w:val="0"/>
        <w:adjustRightInd w:val="0"/>
        <w:spacing w:line="480" w:lineRule="auto"/>
        <w:jc w:val="right"/>
        <w:rPr>
          <w:rFonts w:cs="宋体"/>
          <w:sz w:val="24"/>
          <w:szCs w:val="24"/>
        </w:rPr>
      </w:pPr>
    </w:p>
    <w:p w14:paraId="5C2282B2">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32FCCAFF">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2704546E">
      <w:pPr>
        <w:autoSpaceDE w:val="0"/>
        <w:autoSpaceDN w:val="0"/>
        <w:adjustRightInd w:val="0"/>
        <w:snapToGrid w:val="0"/>
        <w:spacing w:line="480" w:lineRule="auto"/>
        <w:jc w:val="center"/>
        <w:rPr>
          <w:rFonts w:cs="宋体"/>
          <w:b/>
          <w:bCs/>
          <w:kern w:val="0"/>
          <w:sz w:val="28"/>
          <w:szCs w:val="28"/>
          <w:lang w:bidi="zh-CN"/>
        </w:rPr>
      </w:pPr>
    </w:p>
    <w:p w14:paraId="6C27D7D9">
      <w:pPr>
        <w:autoSpaceDE w:val="0"/>
        <w:autoSpaceDN w:val="0"/>
        <w:adjustRightInd w:val="0"/>
        <w:snapToGrid w:val="0"/>
        <w:spacing w:line="480" w:lineRule="auto"/>
        <w:jc w:val="center"/>
        <w:rPr>
          <w:rFonts w:cs="宋体"/>
          <w:b/>
          <w:bCs/>
          <w:kern w:val="0"/>
          <w:sz w:val="28"/>
          <w:szCs w:val="28"/>
          <w:lang w:bidi="zh-CN"/>
        </w:rPr>
      </w:pPr>
    </w:p>
    <w:p w14:paraId="4F90A282">
      <w:pPr>
        <w:autoSpaceDE w:val="0"/>
        <w:autoSpaceDN w:val="0"/>
        <w:adjustRightInd w:val="0"/>
        <w:snapToGrid w:val="0"/>
        <w:spacing w:line="480" w:lineRule="auto"/>
        <w:jc w:val="center"/>
        <w:rPr>
          <w:rFonts w:cs="宋体"/>
          <w:b/>
          <w:bCs/>
          <w:kern w:val="0"/>
          <w:sz w:val="28"/>
          <w:szCs w:val="28"/>
          <w:lang w:bidi="zh-CN"/>
        </w:rPr>
      </w:pPr>
    </w:p>
    <w:p w14:paraId="7AB726AC">
      <w:pPr>
        <w:autoSpaceDE w:val="0"/>
        <w:autoSpaceDN w:val="0"/>
        <w:adjustRightInd w:val="0"/>
        <w:snapToGrid w:val="0"/>
        <w:spacing w:line="480" w:lineRule="auto"/>
        <w:jc w:val="center"/>
        <w:rPr>
          <w:rFonts w:cs="宋体"/>
          <w:b/>
          <w:bCs/>
          <w:kern w:val="0"/>
          <w:sz w:val="28"/>
          <w:szCs w:val="28"/>
          <w:lang w:bidi="zh-CN"/>
        </w:rPr>
      </w:pPr>
    </w:p>
    <w:p w14:paraId="5F537F55">
      <w:pPr>
        <w:autoSpaceDE w:val="0"/>
        <w:autoSpaceDN w:val="0"/>
        <w:adjustRightInd w:val="0"/>
        <w:snapToGrid w:val="0"/>
        <w:spacing w:line="480" w:lineRule="auto"/>
        <w:jc w:val="center"/>
        <w:rPr>
          <w:rFonts w:cs="宋体"/>
          <w:b/>
          <w:bCs/>
          <w:kern w:val="0"/>
          <w:sz w:val="28"/>
          <w:szCs w:val="28"/>
          <w:lang w:bidi="zh-CN"/>
        </w:rPr>
      </w:pPr>
    </w:p>
    <w:p w14:paraId="2148BA9F">
      <w:pPr>
        <w:autoSpaceDE w:val="0"/>
        <w:autoSpaceDN w:val="0"/>
        <w:adjustRightInd w:val="0"/>
        <w:snapToGrid w:val="0"/>
        <w:spacing w:line="480" w:lineRule="auto"/>
        <w:jc w:val="center"/>
        <w:rPr>
          <w:rFonts w:cs="宋体"/>
          <w:b/>
          <w:bCs/>
          <w:kern w:val="0"/>
          <w:sz w:val="28"/>
          <w:szCs w:val="28"/>
          <w:lang w:bidi="zh-CN"/>
        </w:rPr>
      </w:pPr>
    </w:p>
    <w:p w14:paraId="7E2C17F6">
      <w:pPr>
        <w:autoSpaceDE w:val="0"/>
        <w:autoSpaceDN w:val="0"/>
        <w:adjustRightInd w:val="0"/>
        <w:snapToGrid w:val="0"/>
        <w:spacing w:line="480" w:lineRule="auto"/>
        <w:jc w:val="center"/>
        <w:rPr>
          <w:rFonts w:cs="宋体"/>
          <w:b/>
          <w:bCs/>
          <w:kern w:val="0"/>
          <w:sz w:val="28"/>
          <w:szCs w:val="28"/>
          <w:lang w:bidi="zh-CN"/>
        </w:rPr>
      </w:pPr>
    </w:p>
    <w:p w14:paraId="7CA02D07">
      <w:pPr>
        <w:autoSpaceDE w:val="0"/>
        <w:autoSpaceDN w:val="0"/>
        <w:adjustRightInd w:val="0"/>
        <w:snapToGrid w:val="0"/>
        <w:spacing w:line="480" w:lineRule="auto"/>
        <w:jc w:val="center"/>
        <w:rPr>
          <w:rFonts w:cs="宋体"/>
          <w:b/>
          <w:bCs/>
          <w:kern w:val="0"/>
          <w:sz w:val="28"/>
          <w:szCs w:val="28"/>
          <w:lang w:bidi="zh-CN"/>
        </w:rPr>
      </w:pPr>
    </w:p>
    <w:p w14:paraId="27EC5EB4">
      <w:pPr>
        <w:autoSpaceDE w:val="0"/>
        <w:autoSpaceDN w:val="0"/>
        <w:adjustRightInd w:val="0"/>
        <w:snapToGrid w:val="0"/>
        <w:spacing w:line="480" w:lineRule="auto"/>
        <w:jc w:val="center"/>
        <w:rPr>
          <w:rFonts w:cs="宋体"/>
          <w:b/>
          <w:bCs/>
          <w:kern w:val="0"/>
          <w:sz w:val="28"/>
          <w:szCs w:val="28"/>
          <w:lang w:bidi="zh-CN"/>
        </w:rPr>
      </w:pPr>
    </w:p>
    <w:p w14:paraId="31F9EE4B">
      <w:pPr>
        <w:rPr>
          <w:rFonts w:cs="宋体"/>
          <w:b/>
          <w:bCs/>
          <w:sz w:val="28"/>
          <w:szCs w:val="28"/>
          <w:lang w:bidi="zh-CN"/>
        </w:rPr>
      </w:pPr>
      <w:r>
        <w:rPr>
          <w:rFonts w:hint="eastAsia" w:cs="宋体"/>
          <w:b/>
          <w:bCs/>
          <w:sz w:val="28"/>
          <w:szCs w:val="28"/>
          <w:lang w:bidi="zh-CN"/>
        </w:rPr>
        <w:br w:type="page"/>
      </w:r>
    </w:p>
    <w:p w14:paraId="5C3770FC">
      <w:pPr>
        <w:spacing w:line="360" w:lineRule="auto"/>
        <w:jc w:val="center"/>
        <w:rPr>
          <w:rFonts w:cs="宋体"/>
          <w:b/>
          <w:bCs/>
          <w:sz w:val="28"/>
          <w:szCs w:val="28"/>
          <w:lang w:bidi="zh-CN"/>
        </w:rPr>
      </w:pPr>
      <w:r>
        <w:rPr>
          <w:rFonts w:hint="eastAsia" w:cs="宋体"/>
          <w:b/>
          <w:bCs/>
          <w:sz w:val="28"/>
          <w:szCs w:val="28"/>
          <w:lang w:bidi="zh-CN"/>
        </w:rPr>
        <w:t>六、其他</w:t>
      </w:r>
    </w:p>
    <w:p w14:paraId="55F66729">
      <w:pPr>
        <w:spacing w:line="360" w:lineRule="auto"/>
        <w:ind w:firstLine="480" w:firstLineChars="200"/>
        <w:rPr>
          <w:rFonts w:cs="宋体"/>
          <w:sz w:val="24"/>
        </w:rPr>
      </w:pPr>
    </w:p>
    <w:p w14:paraId="68E07425">
      <w:pPr>
        <w:spacing w:line="360" w:lineRule="auto"/>
        <w:ind w:firstLine="480" w:firstLineChars="200"/>
        <w:rPr>
          <w:rFonts w:cs="宋体"/>
          <w:b/>
          <w:bCs/>
          <w:sz w:val="36"/>
          <w:szCs w:val="36"/>
        </w:rPr>
      </w:pPr>
      <w:r>
        <w:rPr>
          <w:rFonts w:hint="eastAsia" w:cs="宋体"/>
          <w:sz w:val="24"/>
        </w:rPr>
        <w:t>投标人认为应提交的其他材料，可在此附件中提交。</w:t>
      </w:r>
    </w:p>
    <w:p w14:paraId="05D4B0FF">
      <w:pPr>
        <w:rPr>
          <w:rFonts w:cs="宋体"/>
          <w:sz w:val="28"/>
          <w:szCs w:val="28"/>
        </w:rPr>
      </w:pPr>
      <w:r>
        <w:rPr>
          <w:rFonts w:hint="eastAsia" w:cs="宋体"/>
          <w:sz w:val="28"/>
          <w:szCs w:val="28"/>
        </w:rPr>
        <w:t xml:space="preserve"> </w:t>
      </w:r>
    </w:p>
    <w:p w14:paraId="4B96DC49">
      <w:pPr>
        <w:autoSpaceDE w:val="0"/>
        <w:autoSpaceDN w:val="0"/>
        <w:adjustRightInd w:val="0"/>
        <w:jc w:val="left"/>
        <w:rPr>
          <w:rFonts w:cs="宋体"/>
          <w:kern w:val="0"/>
          <w:sz w:val="28"/>
          <w:szCs w:val="28"/>
        </w:rPr>
      </w:pPr>
    </w:p>
    <w:p w14:paraId="758DB874">
      <w:pPr>
        <w:autoSpaceDE w:val="0"/>
        <w:autoSpaceDN w:val="0"/>
        <w:adjustRightInd w:val="0"/>
        <w:jc w:val="left"/>
        <w:rPr>
          <w:rFonts w:cs="宋体"/>
          <w:kern w:val="0"/>
          <w:sz w:val="28"/>
          <w:szCs w:val="28"/>
        </w:rPr>
      </w:pPr>
    </w:p>
    <w:p w14:paraId="58EA3579">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2C123C33">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529C30D1">
      <w:pPr>
        <w:autoSpaceDE w:val="0"/>
        <w:autoSpaceDN w:val="0"/>
        <w:adjustRightInd w:val="0"/>
        <w:snapToGrid w:val="0"/>
        <w:spacing w:line="480" w:lineRule="auto"/>
        <w:rPr>
          <w:rFonts w:cs="宋体"/>
          <w:b/>
          <w:bCs/>
          <w:kern w:val="0"/>
          <w:sz w:val="28"/>
          <w:szCs w:val="28"/>
          <w:lang w:bidi="zh-CN"/>
        </w:rPr>
      </w:pPr>
    </w:p>
    <w:p w14:paraId="4D0995EC">
      <w:pPr>
        <w:autoSpaceDE w:val="0"/>
        <w:autoSpaceDN w:val="0"/>
        <w:adjustRightInd w:val="0"/>
        <w:snapToGrid w:val="0"/>
        <w:spacing w:line="480" w:lineRule="auto"/>
        <w:rPr>
          <w:rFonts w:cs="宋体"/>
          <w:b/>
          <w:bCs/>
          <w:kern w:val="0"/>
          <w:sz w:val="28"/>
          <w:szCs w:val="28"/>
          <w:lang w:bidi="zh-CN"/>
        </w:rPr>
      </w:pPr>
    </w:p>
    <w:p w14:paraId="03C949F7">
      <w:pPr>
        <w:autoSpaceDE w:val="0"/>
        <w:autoSpaceDN w:val="0"/>
        <w:adjustRightInd w:val="0"/>
        <w:snapToGrid w:val="0"/>
        <w:spacing w:line="480" w:lineRule="auto"/>
        <w:rPr>
          <w:rFonts w:cs="宋体"/>
          <w:b/>
          <w:bCs/>
          <w:kern w:val="0"/>
          <w:sz w:val="28"/>
          <w:szCs w:val="28"/>
          <w:lang w:bidi="zh-CN"/>
        </w:rPr>
      </w:pPr>
    </w:p>
    <w:p w14:paraId="5C274A4B">
      <w:pPr>
        <w:autoSpaceDE w:val="0"/>
        <w:autoSpaceDN w:val="0"/>
        <w:adjustRightInd w:val="0"/>
        <w:snapToGrid w:val="0"/>
        <w:spacing w:line="480" w:lineRule="auto"/>
        <w:rPr>
          <w:rFonts w:cs="宋体"/>
          <w:b/>
          <w:bCs/>
          <w:kern w:val="0"/>
          <w:sz w:val="28"/>
          <w:szCs w:val="28"/>
          <w:lang w:bidi="zh-CN"/>
        </w:rPr>
      </w:pPr>
    </w:p>
    <w:p w14:paraId="6A59F69C">
      <w:pPr>
        <w:autoSpaceDE w:val="0"/>
        <w:autoSpaceDN w:val="0"/>
        <w:adjustRightInd w:val="0"/>
        <w:snapToGrid w:val="0"/>
        <w:spacing w:line="480" w:lineRule="auto"/>
        <w:rPr>
          <w:rFonts w:cs="宋体"/>
          <w:b/>
          <w:bCs/>
          <w:kern w:val="0"/>
          <w:sz w:val="28"/>
          <w:szCs w:val="28"/>
          <w:lang w:bidi="zh-CN"/>
        </w:rPr>
      </w:pPr>
    </w:p>
    <w:p w14:paraId="1856B6EF">
      <w:pPr>
        <w:autoSpaceDE w:val="0"/>
        <w:autoSpaceDN w:val="0"/>
        <w:adjustRightInd w:val="0"/>
        <w:snapToGrid w:val="0"/>
        <w:spacing w:line="480" w:lineRule="auto"/>
        <w:rPr>
          <w:rFonts w:cs="宋体"/>
          <w:b/>
          <w:bCs/>
          <w:kern w:val="0"/>
          <w:sz w:val="28"/>
          <w:szCs w:val="28"/>
          <w:lang w:bidi="zh-CN"/>
        </w:rPr>
      </w:pPr>
    </w:p>
    <w:p w14:paraId="51B4B6C1">
      <w:pPr>
        <w:autoSpaceDE w:val="0"/>
        <w:autoSpaceDN w:val="0"/>
        <w:adjustRightInd w:val="0"/>
        <w:snapToGrid w:val="0"/>
        <w:spacing w:line="480" w:lineRule="auto"/>
        <w:rPr>
          <w:rFonts w:cs="宋体"/>
          <w:b/>
          <w:bCs/>
          <w:kern w:val="0"/>
          <w:sz w:val="28"/>
          <w:szCs w:val="28"/>
          <w:lang w:bidi="zh-CN"/>
        </w:rPr>
      </w:pPr>
    </w:p>
    <w:p w14:paraId="1CD3F257">
      <w:pPr>
        <w:autoSpaceDE w:val="0"/>
        <w:autoSpaceDN w:val="0"/>
        <w:adjustRightInd w:val="0"/>
        <w:snapToGrid w:val="0"/>
        <w:spacing w:line="480" w:lineRule="auto"/>
        <w:rPr>
          <w:rFonts w:cs="宋体"/>
          <w:b/>
          <w:bCs/>
          <w:kern w:val="0"/>
          <w:sz w:val="28"/>
          <w:szCs w:val="28"/>
          <w:lang w:bidi="zh-CN"/>
        </w:rPr>
      </w:pPr>
    </w:p>
    <w:p w14:paraId="0A04C07C">
      <w:pPr>
        <w:autoSpaceDE w:val="0"/>
        <w:autoSpaceDN w:val="0"/>
        <w:adjustRightInd w:val="0"/>
        <w:snapToGrid w:val="0"/>
        <w:spacing w:line="480" w:lineRule="auto"/>
        <w:rPr>
          <w:rFonts w:cs="宋体"/>
          <w:b/>
          <w:bCs/>
          <w:kern w:val="0"/>
          <w:sz w:val="28"/>
          <w:szCs w:val="28"/>
          <w:lang w:bidi="zh-CN"/>
        </w:rPr>
      </w:pPr>
    </w:p>
    <w:p w14:paraId="73591675">
      <w:pPr>
        <w:autoSpaceDE w:val="0"/>
        <w:autoSpaceDN w:val="0"/>
        <w:adjustRightInd w:val="0"/>
        <w:snapToGrid w:val="0"/>
        <w:spacing w:line="480" w:lineRule="auto"/>
        <w:rPr>
          <w:rFonts w:cs="宋体"/>
          <w:b/>
          <w:bCs/>
          <w:kern w:val="0"/>
          <w:sz w:val="28"/>
          <w:szCs w:val="28"/>
          <w:lang w:bidi="zh-CN"/>
        </w:rPr>
      </w:pPr>
    </w:p>
    <w:p w14:paraId="3BBF764C">
      <w:pPr>
        <w:autoSpaceDE w:val="0"/>
        <w:autoSpaceDN w:val="0"/>
        <w:adjustRightInd w:val="0"/>
        <w:snapToGrid w:val="0"/>
        <w:spacing w:line="480" w:lineRule="auto"/>
        <w:rPr>
          <w:rFonts w:cs="宋体"/>
          <w:b/>
          <w:bCs/>
          <w:kern w:val="0"/>
          <w:sz w:val="28"/>
          <w:szCs w:val="28"/>
          <w:lang w:bidi="zh-CN"/>
        </w:rPr>
      </w:pPr>
    </w:p>
    <w:p w14:paraId="3B2A1BC0">
      <w:pPr>
        <w:spacing w:line="360" w:lineRule="auto"/>
        <w:ind w:firstLine="420"/>
        <w:jc w:val="right"/>
        <w:rPr>
          <w:rFonts w:cs="宋体"/>
          <w:b/>
          <w:bCs/>
          <w:kern w:val="0"/>
          <w:sz w:val="72"/>
          <w:szCs w:val="72"/>
        </w:rPr>
      </w:pPr>
      <w:r>
        <w:rPr>
          <w:rFonts w:hint="eastAsia" w:cs="宋体"/>
          <w:b/>
          <w:bCs/>
          <w:kern w:val="0"/>
          <w:sz w:val="36"/>
          <w:szCs w:val="36"/>
        </w:rPr>
        <w:t xml:space="preserve"> （正/副本）</w:t>
      </w:r>
    </w:p>
    <w:p w14:paraId="59775BEE">
      <w:pPr>
        <w:spacing w:line="360" w:lineRule="auto"/>
        <w:jc w:val="center"/>
        <w:rPr>
          <w:rFonts w:cs="宋体"/>
          <w:b/>
          <w:bCs/>
          <w:sz w:val="72"/>
          <w:szCs w:val="72"/>
        </w:rPr>
      </w:pPr>
      <w:r>
        <w:rPr>
          <w:rFonts w:hint="eastAsia" w:cs="宋体"/>
          <w:b/>
          <w:bCs/>
          <w:sz w:val="72"/>
          <w:szCs w:val="72"/>
        </w:rPr>
        <w:t xml:space="preserve"> </w:t>
      </w:r>
    </w:p>
    <w:p w14:paraId="530EA8BB">
      <w:pPr>
        <w:spacing w:line="360" w:lineRule="auto"/>
        <w:jc w:val="center"/>
        <w:outlineLvl w:val="1"/>
        <w:rPr>
          <w:rFonts w:cs="宋体"/>
          <w:b/>
          <w:bCs/>
          <w:sz w:val="72"/>
          <w:szCs w:val="72"/>
        </w:rPr>
      </w:pPr>
      <w:bookmarkStart w:id="288" w:name="_Toc28406"/>
      <w:bookmarkStart w:id="289" w:name="_Toc15511"/>
      <w:r>
        <w:rPr>
          <w:rFonts w:hint="eastAsia" w:cs="宋体"/>
          <w:b/>
          <w:bCs/>
          <w:sz w:val="72"/>
          <w:szCs w:val="72"/>
        </w:rPr>
        <w:t>投  标  文  件</w:t>
      </w:r>
      <w:bookmarkEnd w:id="288"/>
      <w:bookmarkEnd w:id="289"/>
    </w:p>
    <w:p w14:paraId="746BDDA8">
      <w:pPr>
        <w:spacing w:line="360" w:lineRule="auto"/>
        <w:jc w:val="center"/>
        <w:outlineLvl w:val="1"/>
        <w:rPr>
          <w:rFonts w:cs="宋体"/>
          <w:b/>
          <w:bCs/>
          <w:sz w:val="36"/>
          <w:szCs w:val="36"/>
        </w:rPr>
      </w:pPr>
      <w:bookmarkStart w:id="290" w:name="_Toc22117"/>
      <w:bookmarkStart w:id="291" w:name="_Toc2437"/>
      <w:r>
        <w:rPr>
          <w:rFonts w:hint="eastAsia" w:cs="宋体"/>
          <w:b/>
          <w:bCs/>
          <w:sz w:val="36"/>
          <w:szCs w:val="36"/>
        </w:rPr>
        <w:t>（商务文件）</w:t>
      </w:r>
      <w:bookmarkEnd w:id="290"/>
      <w:bookmarkEnd w:id="291"/>
    </w:p>
    <w:p w14:paraId="69235A0F">
      <w:pPr>
        <w:spacing w:line="360" w:lineRule="auto"/>
        <w:jc w:val="center"/>
        <w:rPr>
          <w:rFonts w:cs="宋体"/>
          <w:b/>
          <w:bCs/>
          <w:sz w:val="36"/>
          <w:szCs w:val="36"/>
        </w:rPr>
      </w:pPr>
    </w:p>
    <w:p w14:paraId="0C42DE2C">
      <w:pPr>
        <w:spacing w:line="360" w:lineRule="auto"/>
        <w:jc w:val="center"/>
        <w:rPr>
          <w:rFonts w:cs="宋体"/>
          <w:b/>
          <w:bCs/>
          <w:sz w:val="36"/>
          <w:szCs w:val="36"/>
        </w:rPr>
      </w:pPr>
    </w:p>
    <w:p w14:paraId="7C5206F6">
      <w:pPr>
        <w:spacing w:line="360" w:lineRule="auto"/>
        <w:jc w:val="center"/>
        <w:rPr>
          <w:rFonts w:cs="宋体"/>
          <w:b/>
          <w:bCs/>
          <w:sz w:val="36"/>
          <w:szCs w:val="36"/>
        </w:rPr>
      </w:pPr>
    </w:p>
    <w:p w14:paraId="71E2086B">
      <w:pPr>
        <w:spacing w:line="360" w:lineRule="auto"/>
        <w:jc w:val="center"/>
        <w:rPr>
          <w:rFonts w:cs="宋体"/>
          <w:b/>
          <w:bCs/>
          <w:sz w:val="36"/>
          <w:szCs w:val="36"/>
        </w:rPr>
      </w:pPr>
      <w:r>
        <w:rPr>
          <w:rFonts w:hint="eastAsia" w:cs="宋体"/>
          <w:b/>
          <w:bCs/>
          <w:sz w:val="36"/>
          <w:szCs w:val="36"/>
        </w:rPr>
        <w:t xml:space="preserve"> </w:t>
      </w:r>
    </w:p>
    <w:p w14:paraId="0769F739">
      <w:pPr>
        <w:spacing w:line="360" w:lineRule="auto"/>
        <w:ind w:firstLine="1084" w:firstLineChars="300"/>
        <w:rPr>
          <w:rFonts w:cs="宋体"/>
          <w:b/>
          <w:bCs/>
          <w:sz w:val="36"/>
          <w:szCs w:val="36"/>
        </w:rPr>
      </w:pPr>
      <w:r>
        <w:rPr>
          <w:rFonts w:hint="eastAsia" w:cs="宋体"/>
          <w:b/>
          <w:bCs/>
          <w:sz w:val="36"/>
          <w:szCs w:val="36"/>
        </w:rPr>
        <w:t>项 目 名 称：</w:t>
      </w:r>
      <w:r>
        <w:rPr>
          <w:rFonts w:hint="eastAsia" w:cs="宋体"/>
          <w:b/>
          <w:bCs/>
          <w:sz w:val="36"/>
          <w:szCs w:val="36"/>
          <w:u w:val="single"/>
        </w:rPr>
        <w:t xml:space="preserve">               </w:t>
      </w:r>
    </w:p>
    <w:p w14:paraId="073DED0C">
      <w:pPr>
        <w:spacing w:line="360" w:lineRule="auto"/>
        <w:ind w:firstLine="1084" w:firstLineChars="300"/>
        <w:rPr>
          <w:rFonts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14:paraId="6DBBA6B2">
      <w:pPr>
        <w:spacing w:line="360" w:lineRule="auto"/>
        <w:rPr>
          <w:rFonts w:cs="宋体"/>
          <w:b/>
          <w:bCs/>
          <w:sz w:val="36"/>
          <w:szCs w:val="36"/>
        </w:rPr>
      </w:pPr>
      <w:r>
        <w:rPr>
          <w:rFonts w:hint="eastAsia" w:cs="宋体"/>
          <w:b/>
          <w:bCs/>
          <w:sz w:val="36"/>
          <w:szCs w:val="36"/>
        </w:rPr>
        <w:t xml:space="preserve"> </w:t>
      </w:r>
    </w:p>
    <w:p w14:paraId="52F6E37D">
      <w:pPr>
        <w:spacing w:line="360" w:lineRule="auto"/>
        <w:rPr>
          <w:rFonts w:cs="宋体"/>
          <w:b/>
          <w:bCs/>
          <w:sz w:val="36"/>
          <w:szCs w:val="36"/>
        </w:rPr>
      </w:pPr>
      <w:r>
        <w:rPr>
          <w:rFonts w:hint="eastAsia" w:cs="宋体"/>
          <w:b/>
          <w:bCs/>
          <w:sz w:val="36"/>
          <w:szCs w:val="36"/>
        </w:rPr>
        <w:t xml:space="preserve"> </w:t>
      </w:r>
    </w:p>
    <w:p w14:paraId="648210BE">
      <w:pPr>
        <w:spacing w:line="360" w:lineRule="auto"/>
        <w:rPr>
          <w:rFonts w:cs="宋体"/>
          <w:b/>
          <w:bCs/>
          <w:sz w:val="36"/>
          <w:szCs w:val="36"/>
        </w:rPr>
      </w:pPr>
      <w:r>
        <w:rPr>
          <w:rFonts w:hint="eastAsia" w:cs="宋体"/>
          <w:b/>
          <w:bCs/>
          <w:sz w:val="36"/>
          <w:szCs w:val="36"/>
        </w:rPr>
        <w:t xml:space="preserve">  </w:t>
      </w:r>
    </w:p>
    <w:p w14:paraId="6CC93D29">
      <w:pPr>
        <w:spacing w:line="360" w:lineRule="auto"/>
        <w:rPr>
          <w:rFonts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14:paraId="7F3C3C8F">
      <w:pPr>
        <w:spacing w:line="360" w:lineRule="auto"/>
        <w:rPr>
          <w:rFonts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14:paraId="44EC4517">
      <w:pPr>
        <w:spacing w:line="360" w:lineRule="auto"/>
        <w:rPr>
          <w:rFonts w:cs="宋体"/>
          <w:kern w:val="0"/>
          <w:sz w:val="36"/>
          <w:szCs w:val="36"/>
        </w:rPr>
      </w:pPr>
      <w:r>
        <w:rPr>
          <w:rFonts w:hint="eastAsia" w:cs="宋体"/>
          <w:sz w:val="24"/>
        </w:rPr>
        <w:t xml:space="preserve"> </w:t>
      </w:r>
      <w:r>
        <w:rPr>
          <w:rFonts w:hint="eastAsia" w:cs="宋体"/>
          <w:kern w:val="0"/>
          <w:sz w:val="36"/>
          <w:szCs w:val="36"/>
        </w:rPr>
        <w:t>目 录</w:t>
      </w:r>
    </w:p>
    <w:p w14:paraId="37236909">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一、商务评分索引表</w:t>
      </w:r>
    </w:p>
    <w:p w14:paraId="64814467">
      <w:pPr>
        <w:pStyle w:val="66"/>
        <w:rPr>
          <w:rFonts w:hint="eastAsia"/>
          <w:color w:val="auto"/>
          <w:sz w:val="28"/>
          <w:szCs w:val="28"/>
        </w:rPr>
      </w:pPr>
      <w:r>
        <w:rPr>
          <w:rFonts w:hint="eastAsia"/>
          <w:color w:val="auto"/>
          <w:sz w:val="28"/>
          <w:szCs w:val="28"/>
        </w:rPr>
        <w:t>二、商务文件内容</w:t>
      </w:r>
    </w:p>
    <w:p w14:paraId="4E29FDDB">
      <w:pPr>
        <w:pStyle w:val="66"/>
        <w:rPr>
          <w:rFonts w:hint="eastAsia"/>
          <w:color w:val="auto"/>
        </w:rPr>
      </w:pPr>
    </w:p>
    <w:p w14:paraId="3BFC9D9D">
      <w:pPr>
        <w:autoSpaceDE w:val="0"/>
        <w:autoSpaceDN w:val="0"/>
        <w:adjustRightInd w:val="0"/>
        <w:snapToGrid w:val="0"/>
        <w:spacing w:line="480" w:lineRule="auto"/>
        <w:jc w:val="left"/>
        <w:rPr>
          <w:rFonts w:cs="宋体"/>
          <w:bCs/>
          <w:kern w:val="0"/>
          <w:sz w:val="28"/>
          <w:szCs w:val="28"/>
          <w:lang w:bidi="zh-CN"/>
        </w:rPr>
      </w:pPr>
      <w:r>
        <w:rPr>
          <w:rFonts w:hint="eastAsia" w:cs="宋体"/>
          <w:bCs/>
          <w:kern w:val="0"/>
          <w:sz w:val="28"/>
          <w:szCs w:val="28"/>
          <w:lang w:bidi="zh-CN"/>
        </w:rPr>
        <w:t>三、投标人免费提供的主要配件、附件和工具等清单</w:t>
      </w:r>
    </w:p>
    <w:p w14:paraId="65376ED1">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四、</w:t>
      </w:r>
      <w:r>
        <w:rPr>
          <w:rFonts w:hint="eastAsia" w:cs="宋体"/>
          <w:bCs/>
          <w:kern w:val="0"/>
          <w:sz w:val="28"/>
          <w:szCs w:val="28"/>
          <w:lang w:bidi="zh-CN"/>
        </w:rPr>
        <w:t>投标人有偿提供的</w:t>
      </w:r>
      <w:r>
        <w:rPr>
          <w:rFonts w:hint="eastAsia"/>
          <w:bCs/>
          <w:sz w:val="28"/>
          <w:szCs w:val="28"/>
          <w:lang w:bidi="zh-CN"/>
        </w:rPr>
        <w:t>易损件及</w:t>
      </w:r>
      <w:r>
        <w:rPr>
          <w:rFonts w:hint="eastAsia" w:cs="宋体"/>
          <w:bCs/>
          <w:kern w:val="0"/>
          <w:sz w:val="28"/>
          <w:szCs w:val="28"/>
          <w:lang w:bidi="zh-CN"/>
        </w:rPr>
        <w:t>常用配件等清单</w:t>
      </w:r>
    </w:p>
    <w:p w14:paraId="1AA33F84">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五、其他</w:t>
      </w:r>
    </w:p>
    <w:p w14:paraId="03C85A89">
      <w:pPr>
        <w:keepNext/>
        <w:keepLines/>
        <w:spacing w:before="120" w:beforeLines="50" w:after="120" w:afterLines="50" w:line="415" w:lineRule="auto"/>
        <w:jc w:val="center"/>
        <w:outlineLvl w:val="1"/>
        <w:rPr>
          <w:rFonts w:cs="宋体"/>
          <w:kern w:val="0"/>
          <w:sz w:val="28"/>
          <w:szCs w:val="28"/>
        </w:rPr>
      </w:pPr>
    </w:p>
    <w:p w14:paraId="3845FA5C">
      <w:pPr>
        <w:autoSpaceDE w:val="0"/>
        <w:autoSpaceDN w:val="0"/>
        <w:adjustRightInd w:val="0"/>
        <w:snapToGrid w:val="0"/>
        <w:spacing w:line="480" w:lineRule="auto"/>
        <w:jc w:val="left"/>
        <w:rPr>
          <w:rFonts w:cs="宋体"/>
          <w:kern w:val="0"/>
          <w:sz w:val="28"/>
          <w:szCs w:val="28"/>
        </w:rPr>
      </w:pPr>
    </w:p>
    <w:p w14:paraId="6FA264ED">
      <w:pPr>
        <w:autoSpaceDE w:val="0"/>
        <w:autoSpaceDN w:val="0"/>
        <w:adjustRightInd w:val="0"/>
        <w:snapToGrid w:val="0"/>
        <w:spacing w:line="480" w:lineRule="auto"/>
        <w:jc w:val="left"/>
        <w:rPr>
          <w:rFonts w:cs="宋体"/>
          <w:kern w:val="0"/>
          <w:sz w:val="28"/>
          <w:szCs w:val="28"/>
        </w:rPr>
      </w:pPr>
    </w:p>
    <w:p w14:paraId="4406B934">
      <w:pPr>
        <w:autoSpaceDE w:val="0"/>
        <w:autoSpaceDN w:val="0"/>
        <w:adjustRightInd w:val="0"/>
        <w:snapToGrid w:val="0"/>
        <w:spacing w:line="480" w:lineRule="auto"/>
        <w:jc w:val="left"/>
        <w:rPr>
          <w:rFonts w:cs="宋体"/>
          <w:kern w:val="0"/>
          <w:sz w:val="28"/>
          <w:szCs w:val="28"/>
        </w:rPr>
      </w:pPr>
    </w:p>
    <w:p w14:paraId="50FBE950">
      <w:pPr>
        <w:autoSpaceDE w:val="0"/>
        <w:autoSpaceDN w:val="0"/>
        <w:adjustRightInd w:val="0"/>
        <w:snapToGrid w:val="0"/>
        <w:spacing w:line="480" w:lineRule="auto"/>
        <w:jc w:val="left"/>
        <w:rPr>
          <w:rFonts w:cs="宋体"/>
          <w:kern w:val="0"/>
          <w:sz w:val="28"/>
          <w:szCs w:val="28"/>
        </w:rPr>
      </w:pPr>
    </w:p>
    <w:p w14:paraId="6B3291B4">
      <w:pPr>
        <w:autoSpaceDE w:val="0"/>
        <w:autoSpaceDN w:val="0"/>
        <w:adjustRightInd w:val="0"/>
        <w:snapToGrid w:val="0"/>
        <w:spacing w:line="480" w:lineRule="auto"/>
        <w:jc w:val="left"/>
        <w:rPr>
          <w:rFonts w:cs="宋体"/>
          <w:kern w:val="0"/>
          <w:sz w:val="28"/>
          <w:szCs w:val="28"/>
        </w:rPr>
      </w:pPr>
    </w:p>
    <w:p w14:paraId="0E0C98F6">
      <w:pPr>
        <w:autoSpaceDE w:val="0"/>
        <w:autoSpaceDN w:val="0"/>
        <w:adjustRightInd w:val="0"/>
        <w:snapToGrid w:val="0"/>
        <w:spacing w:line="480" w:lineRule="auto"/>
        <w:jc w:val="left"/>
        <w:rPr>
          <w:rFonts w:cs="宋体"/>
          <w:kern w:val="0"/>
          <w:sz w:val="28"/>
          <w:szCs w:val="28"/>
        </w:rPr>
      </w:pPr>
    </w:p>
    <w:p w14:paraId="1454BE81">
      <w:pPr>
        <w:autoSpaceDE w:val="0"/>
        <w:autoSpaceDN w:val="0"/>
        <w:adjustRightInd w:val="0"/>
        <w:snapToGrid w:val="0"/>
        <w:spacing w:line="480" w:lineRule="auto"/>
        <w:jc w:val="left"/>
        <w:rPr>
          <w:rFonts w:cs="宋体"/>
          <w:kern w:val="0"/>
          <w:sz w:val="28"/>
          <w:szCs w:val="28"/>
        </w:rPr>
      </w:pPr>
    </w:p>
    <w:p w14:paraId="121D29FE">
      <w:pPr>
        <w:autoSpaceDE w:val="0"/>
        <w:autoSpaceDN w:val="0"/>
        <w:adjustRightInd w:val="0"/>
        <w:snapToGrid w:val="0"/>
        <w:spacing w:line="480" w:lineRule="auto"/>
        <w:jc w:val="left"/>
        <w:rPr>
          <w:rFonts w:cs="宋体"/>
          <w:kern w:val="0"/>
          <w:sz w:val="28"/>
          <w:szCs w:val="28"/>
        </w:rPr>
      </w:pPr>
    </w:p>
    <w:p w14:paraId="03E0A18F">
      <w:pPr>
        <w:autoSpaceDE w:val="0"/>
        <w:autoSpaceDN w:val="0"/>
        <w:adjustRightInd w:val="0"/>
        <w:snapToGrid w:val="0"/>
        <w:spacing w:line="480" w:lineRule="auto"/>
        <w:jc w:val="left"/>
        <w:rPr>
          <w:rFonts w:cs="宋体"/>
          <w:kern w:val="0"/>
          <w:sz w:val="28"/>
          <w:szCs w:val="28"/>
        </w:rPr>
      </w:pPr>
    </w:p>
    <w:p w14:paraId="5BA2ABD6">
      <w:pPr>
        <w:spacing w:line="360" w:lineRule="auto"/>
        <w:jc w:val="center"/>
        <w:rPr>
          <w:rFonts w:cs="宋体"/>
          <w:b/>
          <w:bCs/>
          <w:sz w:val="28"/>
          <w:szCs w:val="28"/>
          <w:lang w:bidi="zh-CN"/>
        </w:rPr>
      </w:pPr>
      <w:r>
        <w:rPr>
          <w:rFonts w:hint="eastAsia" w:cs="宋体"/>
          <w:b/>
          <w:bCs/>
          <w:sz w:val="28"/>
          <w:szCs w:val="28"/>
          <w:lang w:bidi="zh-CN"/>
        </w:rPr>
        <w:t>一、商务评分索引表</w:t>
      </w:r>
    </w:p>
    <w:p w14:paraId="0AA71620">
      <w:pPr>
        <w:autoSpaceDE w:val="0"/>
        <w:autoSpaceDN w:val="0"/>
        <w:adjustRightInd w:val="0"/>
        <w:snapToGrid w:val="0"/>
        <w:spacing w:line="480" w:lineRule="auto"/>
        <w:rPr>
          <w:rFonts w:cs="宋体"/>
          <w:kern w:val="0"/>
          <w:sz w:val="24"/>
          <w:szCs w:val="24"/>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6924"/>
        <w:gridCol w:w="861"/>
      </w:tblGrid>
      <w:tr w14:paraId="19D7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47" w:type="dxa"/>
            <w:tcBorders>
              <w:top w:val="single" w:color="auto" w:sz="4" w:space="0"/>
              <w:left w:val="single" w:color="auto" w:sz="4" w:space="0"/>
              <w:bottom w:val="single" w:color="auto" w:sz="4" w:space="0"/>
              <w:right w:val="single" w:color="auto" w:sz="4" w:space="0"/>
            </w:tcBorders>
            <w:vAlign w:val="center"/>
          </w:tcPr>
          <w:p w14:paraId="470873E2">
            <w:pPr>
              <w:rPr>
                <w:rFonts w:cs="宋体"/>
                <w:sz w:val="24"/>
              </w:rPr>
            </w:pPr>
            <w:r>
              <w:rPr>
                <w:rFonts w:hint="eastAsia" w:cs="宋体"/>
                <w:sz w:val="24"/>
              </w:rPr>
              <w:t>序号</w:t>
            </w:r>
          </w:p>
        </w:tc>
        <w:tc>
          <w:tcPr>
            <w:tcW w:w="6924" w:type="dxa"/>
            <w:tcBorders>
              <w:top w:val="single" w:color="auto" w:sz="4" w:space="0"/>
              <w:left w:val="nil"/>
              <w:bottom w:val="single" w:color="auto" w:sz="4" w:space="0"/>
              <w:right w:val="single" w:color="auto" w:sz="4" w:space="0"/>
            </w:tcBorders>
            <w:vAlign w:val="center"/>
          </w:tcPr>
          <w:p w14:paraId="2A529007">
            <w:pPr>
              <w:jc w:val="center"/>
              <w:rPr>
                <w:rFonts w:cs="宋体"/>
                <w:sz w:val="24"/>
              </w:rPr>
            </w:pPr>
            <w:r>
              <w:rPr>
                <w:rFonts w:hint="eastAsia" w:cs="宋体"/>
                <w:sz w:val="24"/>
              </w:rPr>
              <w:t>评审项目</w:t>
            </w:r>
          </w:p>
        </w:tc>
        <w:tc>
          <w:tcPr>
            <w:tcW w:w="861" w:type="dxa"/>
            <w:tcBorders>
              <w:top w:val="single" w:color="auto" w:sz="4" w:space="0"/>
              <w:left w:val="nil"/>
              <w:bottom w:val="single" w:color="auto" w:sz="4" w:space="0"/>
              <w:right w:val="single" w:color="auto" w:sz="4" w:space="0"/>
            </w:tcBorders>
            <w:vAlign w:val="center"/>
          </w:tcPr>
          <w:p w14:paraId="3C6C17BD">
            <w:pPr>
              <w:jc w:val="center"/>
              <w:rPr>
                <w:rFonts w:cs="宋体"/>
                <w:sz w:val="24"/>
              </w:rPr>
            </w:pPr>
            <w:r>
              <w:rPr>
                <w:rFonts w:hint="eastAsia" w:cs="宋体"/>
                <w:sz w:val="24"/>
              </w:rPr>
              <w:t>对应页码</w:t>
            </w:r>
          </w:p>
        </w:tc>
      </w:tr>
      <w:tr w14:paraId="122C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79906C89">
            <w:pPr>
              <w:spacing w:line="360" w:lineRule="auto"/>
              <w:jc w:val="center"/>
              <w:rPr>
                <w:rFonts w:cs="Arial"/>
                <w:bCs/>
                <w:sz w:val="24"/>
                <w:szCs w:val="24"/>
              </w:rPr>
            </w:pPr>
            <w:r>
              <w:rPr>
                <w:rFonts w:hint="eastAsia" w:cs="Arial"/>
                <w:bCs/>
                <w:sz w:val="24"/>
                <w:szCs w:val="24"/>
              </w:rPr>
              <w:t>2</w:t>
            </w:r>
            <w:r>
              <w:rPr>
                <w:rFonts w:cs="Arial"/>
                <w:bCs/>
                <w:sz w:val="24"/>
                <w:szCs w:val="24"/>
              </w:rPr>
              <w:t>-1</w:t>
            </w:r>
          </w:p>
          <w:p w14:paraId="34A0B895">
            <w:pPr>
              <w:spacing w:line="360" w:lineRule="auto"/>
              <w:jc w:val="center"/>
              <w:rPr>
                <w:rFonts w:cs="宋体"/>
                <w:sz w:val="24"/>
              </w:rPr>
            </w:pPr>
            <w:r>
              <w:rPr>
                <w:rFonts w:hint="eastAsia" w:cs="Arial"/>
                <w:bCs/>
                <w:sz w:val="24"/>
                <w:szCs w:val="24"/>
              </w:rPr>
              <w:t>企业资质</w:t>
            </w:r>
          </w:p>
        </w:tc>
        <w:tc>
          <w:tcPr>
            <w:tcW w:w="6924" w:type="dxa"/>
            <w:tcBorders>
              <w:top w:val="single" w:color="auto" w:sz="4" w:space="0"/>
              <w:left w:val="nil"/>
              <w:bottom w:val="single" w:color="auto" w:sz="4" w:space="0"/>
              <w:right w:val="single" w:color="auto" w:sz="4" w:space="0"/>
            </w:tcBorders>
            <w:vAlign w:val="center"/>
          </w:tcPr>
          <w:p w14:paraId="14D60CDD">
            <w:pPr>
              <w:spacing w:line="360" w:lineRule="auto"/>
              <w:rPr>
                <w:sz w:val="24"/>
                <w:szCs w:val="24"/>
              </w:rPr>
            </w:pPr>
            <w:r>
              <w:rPr>
                <w:rFonts w:hint="eastAsia"/>
                <w:sz w:val="24"/>
                <w:szCs w:val="24"/>
              </w:rPr>
              <w:t>（1）公司注册资金在500万元以上（含500万）；</w:t>
            </w:r>
          </w:p>
          <w:p w14:paraId="72B840DD">
            <w:pPr>
              <w:spacing w:line="360" w:lineRule="auto"/>
              <w:rPr>
                <w:sz w:val="24"/>
                <w:szCs w:val="24"/>
              </w:rPr>
            </w:pPr>
            <w:r>
              <w:rPr>
                <w:rFonts w:hint="eastAsia"/>
                <w:sz w:val="24"/>
                <w:szCs w:val="24"/>
              </w:rPr>
              <w:t>（2）公司从事下料行业超过10年以上，须提供相关佐证材料；</w:t>
            </w:r>
          </w:p>
          <w:p w14:paraId="219D6289">
            <w:pPr>
              <w:spacing w:line="360" w:lineRule="auto"/>
              <w:rPr>
                <w:sz w:val="24"/>
                <w:szCs w:val="24"/>
              </w:rPr>
            </w:pPr>
            <w:r>
              <w:rPr>
                <w:rFonts w:hint="eastAsia"/>
                <w:sz w:val="24"/>
                <w:szCs w:val="24"/>
              </w:rPr>
              <w:t>（3）具备国家级高新技术企业或国家级平台认证；</w:t>
            </w:r>
          </w:p>
          <w:p w14:paraId="2DD9EC2D">
            <w:pPr>
              <w:spacing w:line="360" w:lineRule="auto"/>
              <w:rPr>
                <w:sz w:val="24"/>
                <w:szCs w:val="24"/>
              </w:rPr>
            </w:pPr>
            <w:r>
              <w:rPr>
                <w:rFonts w:hint="eastAsia"/>
                <w:sz w:val="24"/>
                <w:szCs w:val="24"/>
              </w:rPr>
              <w:t>（4）投标方具有信息安全管理体系ISO27001认证；</w:t>
            </w:r>
          </w:p>
          <w:p w14:paraId="1C463BFD">
            <w:pPr>
              <w:spacing w:line="360" w:lineRule="auto"/>
            </w:pPr>
            <w:r>
              <w:rPr>
                <w:rFonts w:hint="eastAsia"/>
                <w:sz w:val="24"/>
                <w:szCs w:val="24"/>
              </w:rPr>
              <w:t xml:space="preserve"> 具备一个得1分，最多4分</w:t>
            </w:r>
          </w:p>
        </w:tc>
        <w:tc>
          <w:tcPr>
            <w:tcW w:w="861" w:type="dxa"/>
            <w:tcBorders>
              <w:top w:val="single" w:color="auto" w:sz="4" w:space="0"/>
              <w:left w:val="nil"/>
              <w:bottom w:val="single" w:color="auto" w:sz="4" w:space="0"/>
              <w:right w:val="single" w:color="auto" w:sz="4" w:space="0"/>
            </w:tcBorders>
            <w:vAlign w:val="center"/>
          </w:tcPr>
          <w:p w14:paraId="4D7810E2">
            <w:pPr>
              <w:spacing w:line="360" w:lineRule="auto"/>
              <w:jc w:val="center"/>
              <w:rPr>
                <w:rFonts w:cs="宋体"/>
                <w:sz w:val="24"/>
              </w:rPr>
            </w:pPr>
          </w:p>
        </w:tc>
      </w:tr>
      <w:tr w14:paraId="72E8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747" w:type="dxa"/>
            <w:tcBorders>
              <w:top w:val="single" w:color="auto" w:sz="4" w:space="0"/>
              <w:left w:val="single" w:color="auto" w:sz="4" w:space="0"/>
              <w:bottom w:val="single" w:color="auto" w:sz="4" w:space="0"/>
              <w:right w:val="single" w:color="auto" w:sz="4" w:space="0"/>
            </w:tcBorders>
            <w:vAlign w:val="center"/>
          </w:tcPr>
          <w:p w14:paraId="4F992F0B">
            <w:pPr>
              <w:spacing w:line="360" w:lineRule="auto"/>
              <w:jc w:val="center"/>
              <w:rPr>
                <w:rFonts w:cs="Arial"/>
                <w:bCs/>
                <w:sz w:val="24"/>
                <w:szCs w:val="24"/>
              </w:rPr>
            </w:pPr>
            <w:r>
              <w:rPr>
                <w:rFonts w:hint="eastAsia" w:cs="Arial"/>
                <w:bCs/>
                <w:sz w:val="24"/>
                <w:szCs w:val="24"/>
              </w:rPr>
              <w:t>2</w:t>
            </w:r>
            <w:r>
              <w:rPr>
                <w:rFonts w:cs="Arial"/>
                <w:bCs/>
                <w:sz w:val="24"/>
                <w:szCs w:val="24"/>
              </w:rPr>
              <w:t>-</w:t>
            </w:r>
            <w:r>
              <w:rPr>
                <w:rFonts w:hint="eastAsia" w:cs="Arial"/>
                <w:bCs/>
                <w:sz w:val="24"/>
                <w:szCs w:val="24"/>
              </w:rPr>
              <w:t>2</w:t>
            </w:r>
          </w:p>
          <w:p w14:paraId="42AE9DB3">
            <w:pPr>
              <w:spacing w:line="360" w:lineRule="auto"/>
              <w:jc w:val="center"/>
              <w:rPr>
                <w:rFonts w:cs="宋体"/>
                <w:sz w:val="24"/>
              </w:rPr>
            </w:pPr>
            <w:r>
              <w:rPr>
                <w:rFonts w:hint="eastAsia" w:cs="Arial"/>
                <w:bCs/>
                <w:sz w:val="24"/>
                <w:szCs w:val="24"/>
              </w:rPr>
              <w:t>项目行业案例</w:t>
            </w:r>
          </w:p>
        </w:tc>
        <w:tc>
          <w:tcPr>
            <w:tcW w:w="6924" w:type="dxa"/>
            <w:tcBorders>
              <w:top w:val="single" w:color="auto" w:sz="4" w:space="0"/>
              <w:left w:val="nil"/>
              <w:bottom w:val="single" w:color="auto" w:sz="4" w:space="0"/>
              <w:right w:val="single" w:color="auto" w:sz="4" w:space="0"/>
            </w:tcBorders>
            <w:vAlign w:val="center"/>
          </w:tcPr>
          <w:p w14:paraId="3FE4BAA9">
            <w:pPr>
              <w:numPr>
                <w:ilvl w:val="0"/>
                <w:numId w:val="16"/>
              </w:numPr>
              <w:spacing w:line="360" w:lineRule="auto"/>
              <w:rPr>
                <w:rFonts w:cs="宋体"/>
                <w:sz w:val="24"/>
              </w:rPr>
            </w:pPr>
            <w:r>
              <w:rPr>
                <w:rFonts w:hint="eastAsia"/>
                <w:sz w:val="24"/>
                <w:szCs w:val="24"/>
              </w:rPr>
              <w:t>同行业案例：提供近3年内与招标方同行业下料系统成功案例（要求合同金额不低于100万，须提供合同原件、需求单位出具的软件验收合格的验收报告或使用单位出具的软件运行正常证明）。每提供2个有效案例得1分，本项最高6分。</w:t>
            </w:r>
          </w:p>
        </w:tc>
        <w:tc>
          <w:tcPr>
            <w:tcW w:w="861" w:type="dxa"/>
            <w:tcBorders>
              <w:top w:val="single" w:color="auto" w:sz="4" w:space="0"/>
              <w:left w:val="nil"/>
              <w:bottom w:val="single" w:color="auto" w:sz="4" w:space="0"/>
              <w:right w:val="single" w:color="auto" w:sz="4" w:space="0"/>
            </w:tcBorders>
            <w:vAlign w:val="center"/>
          </w:tcPr>
          <w:p w14:paraId="44D9CF0B">
            <w:pPr>
              <w:spacing w:line="360" w:lineRule="auto"/>
              <w:jc w:val="center"/>
              <w:rPr>
                <w:rFonts w:cs="宋体"/>
                <w:sz w:val="24"/>
              </w:rPr>
            </w:pPr>
          </w:p>
        </w:tc>
      </w:tr>
    </w:tbl>
    <w:p w14:paraId="64C845E9">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722EF28E">
      <w:pPr>
        <w:autoSpaceDE w:val="0"/>
        <w:autoSpaceDN w:val="0"/>
        <w:adjustRightInd w:val="0"/>
        <w:snapToGrid w:val="0"/>
        <w:spacing w:line="480" w:lineRule="auto"/>
        <w:jc w:val="right"/>
        <w:rPr>
          <w:rFonts w:cs="宋体"/>
          <w:kern w:val="0"/>
          <w:sz w:val="28"/>
          <w:szCs w:val="28"/>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0E1C158B">
      <w:pPr>
        <w:spacing w:line="360" w:lineRule="auto"/>
        <w:rPr>
          <w:rFonts w:cs="宋体"/>
          <w:b/>
          <w:bCs/>
          <w:sz w:val="28"/>
          <w:szCs w:val="28"/>
          <w:lang w:bidi="zh-CN"/>
        </w:rPr>
      </w:pPr>
    </w:p>
    <w:p w14:paraId="667334F5">
      <w:pPr>
        <w:spacing w:line="360" w:lineRule="auto"/>
        <w:jc w:val="center"/>
        <w:rPr>
          <w:rFonts w:cs="宋体"/>
          <w:b/>
          <w:bCs/>
          <w:sz w:val="28"/>
          <w:szCs w:val="28"/>
          <w:lang w:bidi="zh-CN"/>
        </w:rPr>
      </w:pPr>
    </w:p>
    <w:p w14:paraId="6CC3956F">
      <w:pPr>
        <w:rPr>
          <w:rFonts w:cs="宋体"/>
          <w:b/>
          <w:bCs/>
          <w:sz w:val="28"/>
          <w:szCs w:val="28"/>
          <w:lang w:bidi="zh-CN"/>
        </w:rPr>
      </w:pPr>
      <w:r>
        <w:rPr>
          <w:rFonts w:hint="eastAsia" w:cs="宋体"/>
          <w:b/>
          <w:bCs/>
          <w:sz w:val="28"/>
          <w:szCs w:val="28"/>
          <w:lang w:bidi="zh-CN"/>
        </w:rPr>
        <w:br w:type="page"/>
      </w:r>
    </w:p>
    <w:p w14:paraId="2648BBE3">
      <w:pPr>
        <w:spacing w:line="360" w:lineRule="auto"/>
        <w:jc w:val="center"/>
        <w:rPr>
          <w:rFonts w:cs="宋体"/>
          <w:b/>
          <w:bCs/>
          <w:sz w:val="28"/>
          <w:szCs w:val="28"/>
          <w:lang w:bidi="zh-CN"/>
        </w:rPr>
      </w:pPr>
      <w:r>
        <w:rPr>
          <w:rFonts w:hint="eastAsia" w:cs="宋体"/>
          <w:b/>
          <w:bCs/>
          <w:sz w:val="28"/>
          <w:szCs w:val="28"/>
          <w:lang w:bidi="zh-CN"/>
        </w:rPr>
        <w:t>二、商务文件内容</w:t>
      </w:r>
    </w:p>
    <w:p w14:paraId="4F5CB0FB">
      <w:pPr>
        <w:spacing w:line="360" w:lineRule="auto"/>
        <w:rPr>
          <w:rFonts w:cs="宋体"/>
          <w:sz w:val="24"/>
        </w:rPr>
      </w:pPr>
    </w:p>
    <w:p w14:paraId="31FE6BE5">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087DFA73">
      <w:pPr>
        <w:spacing w:line="360" w:lineRule="auto"/>
        <w:ind w:firstLine="480"/>
        <w:jc w:val="center"/>
        <w:rPr>
          <w:rFonts w:cs="宋体"/>
          <w:sz w:val="24"/>
        </w:rPr>
      </w:pPr>
      <w:r>
        <w:rPr>
          <w:rFonts w:hint="eastAsia" w:cs="宋体"/>
          <w:sz w:val="24"/>
        </w:rPr>
        <w:t xml:space="preserve"> </w:t>
      </w:r>
    </w:p>
    <w:p w14:paraId="63FDC17A">
      <w:pPr>
        <w:spacing w:line="360" w:lineRule="auto"/>
        <w:jc w:val="left"/>
        <w:rPr>
          <w:rFonts w:cs="宋体"/>
          <w:sz w:val="24"/>
        </w:rPr>
      </w:pPr>
      <w:r>
        <w:rPr>
          <w:rFonts w:hint="eastAsia" w:cs="宋体"/>
          <w:sz w:val="24"/>
        </w:rPr>
        <w:t>注：1、投标人商务文件格式自拟，其中投标人综合实力应按“2.1投标人综合情况表进行编制”。</w:t>
      </w:r>
    </w:p>
    <w:p w14:paraId="18F44BE6">
      <w:pPr>
        <w:autoSpaceDE w:val="0"/>
        <w:autoSpaceDN w:val="0"/>
        <w:adjustRightInd w:val="0"/>
        <w:spacing w:line="480" w:lineRule="auto"/>
        <w:jc w:val="right"/>
        <w:rPr>
          <w:rFonts w:cs="宋体"/>
          <w:sz w:val="24"/>
          <w:szCs w:val="24"/>
        </w:rPr>
      </w:pPr>
    </w:p>
    <w:p w14:paraId="6F108394">
      <w:pPr>
        <w:autoSpaceDE w:val="0"/>
        <w:autoSpaceDN w:val="0"/>
        <w:adjustRightInd w:val="0"/>
        <w:spacing w:line="480" w:lineRule="auto"/>
        <w:jc w:val="right"/>
        <w:rPr>
          <w:rFonts w:cs="宋体"/>
          <w:sz w:val="24"/>
          <w:szCs w:val="24"/>
        </w:rPr>
      </w:pPr>
    </w:p>
    <w:p w14:paraId="6794BA7A">
      <w:pPr>
        <w:autoSpaceDE w:val="0"/>
        <w:autoSpaceDN w:val="0"/>
        <w:adjustRightInd w:val="0"/>
        <w:spacing w:line="480" w:lineRule="auto"/>
        <w:jc w:val="right"/>
        <w:rPr>
          <w:rFonts w:cs="宋体"/>
          <w:sz w:val="24"/>
          <w:szCs w:val="24"/>
        </w:rPr>
      </w:pPr>
    </w:p>
    <w:p w14:paraId="4FC2C1F2">
      <w:pPr>
        <w:autoSpaceDE w:val="0"/>
        <w:autoSpaceDN w:val="0"/>
        <w:adjustRightInd w:val="0"/>
        <w:snapToGri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7D9742C4">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2EE961F3">
      <w:pPr>
        <w:autoSpaceDE w:val="0"/>
        <w:autoSpaceDN w:val="0"/>
        <w:adjustRightInd w:val="0"/>
        <w:snapToGrid w:val="0"/>
        <w:spacing w:line="480" w:lineRule="auto"/>
        <w:rPr>
          <w:rFonts w:cs="宋体"/>
          <w:b/>
          <w:bCs/>
          <w:kern w:val="0"/>
          <w:sz w:val="28"/>
          <w:szCs w:val="28"/>
          <w:lang w:bidi="zh-CN"/>
        </w:rPr>
      </w:pPr>
    </w:p>
    <w:p w14:paraId="4A5F6DC9">
      <w:pPr>
        <w:autoSpaceDE w:val="0"/>
        <w:autoSpaceDN w:val="0"/>
        <w:adjustRightInd w:val="0"/>
        <w:snapToGrid w:val="0"/>
        <w:spacing w:line="480" w:lineRule="auto"/>
        <w:rPr>
          <w:rFonts w:cs="宋体"/>
          <w:b/>
          <w:bCs/>
          <w:kern w:val="0"/>
          <w:sz w:val="28"/>
          <w:szCs w:val="28"/>
          <w:lang w:bidi="zh-CN"/>
        </w:rPr>
      </w:pPr>
    </w:p>
    <w:p w14:paraId="4A038EF0">
      <w:pPr>
        <w:autoSpaceDE w:val="0"/>
        <w:autoSpaceDN w:val="0"/>
        <w:adjustRightInd w:val="0"/>
        <w:snapToGrid w:val="0"/>
        <w:spacing w:line="480" w:lineRule="auto"/>
        <w:rPr>
          <w:rFonts w:cs="宋体"/>
          <w:b/>
          <w:bCs/>
          <w:kern w:val="0"/>
          <w:sz w:val="28"/>
          <w:szCs w:val="28"/>
          <w:lang w:bidi="zh-CN"/>
        </w:rPr>
      </w:pPr>
    </w:p>
    <w:p w14:paraId="058F5BA4">
      <w:pPr>
        <w:autoSpaceDE w:val="0"/>
        <w:autoSpaceDN w:val="0"/>
        <w:adjustRightInd w:val="0"/>
        <w:snapToGrid w:val="0"/>
        <w:spacing w:line="480" w:lineRule="auto"/>
        <w:rPr>
          <w:rFonts w:cs="宋体"/>
          <w:b/>
          <w:bCs/>
          <w:kern w:val="0"/>
          <w:sz w:val="28"/>
          <w:szCs w:val="28"/>
          <w:lang w:bidi="zh-CN"/>
        </w:rPr>
      </w:pPr>
    </w:p>
    <w:p w14:paraId="67BB5CDF">
      <w:pPr>
        <w:autoSpaceDE w:val="0"/>
        <w:autoSpaceDN w:val="0"/>
        <w:adjustRightInd w:val="0"/>
        <w:snapToGrid w:val="0"/>
        <w:spacing w:line="480" w:lineRule="auto"/>
        <w:rPr>
          <w:rFonts w:cs="宋体"/>
          <w:b/>
          <w:bCs/>
          <w:kern w:val="0"/>
          <w:sz w:val="28"/>
          <w:szCs w:val="28"/>
          <w:lang w:bidi="zh-CN"/>
        </w:rPr>
      </w:pPr>
    </w:p>
    <w:p w14:paraId="19E6BCFE">
      <w:pPr>
        <w:widowControl/>
        <w:spacing w:line="360" w:lineRule="auto"/>
        <w:jc w:val="center"/>
        <w:rPr>
          <w:rFonts w:cs="宋体"/>
          <w:sz w:val="24"/>
          <w:lang w:bidi="zh-CN"/>
        </w:rPr>
      </w:pPr>
    </w:p>
    <w:p w14:paraId="43ED17EB">
      <w:pPr>
        <w:widowControl/>
        <w:spacing w:line="360" w:lineRule="auto"/>
        <w:jc w:val="center"/>
        <w:rPr>
          <w:rFonts w:cs="宋体"/>
          <w:sz w:val="24"/>
          <w:lang w:bidi="zh-CN"/>
        </w:rPr>
      </w:pPr>
    </w:p>
    <w:p w14:paraId="79BB5C52">
      <w:pPr>
        <w:widowControl/>
        <w:spacing w:line="360" w:lineRule="auto"/>
        <w:jc w:val="center"/>
        <w:rPr>
          <w:rFonts w:cs="宋体"/>
          <w:sz w:val="24"/>
          <w:lang w:bidi="zh-CN"/>
        </w:rPr>
      </w:pPr>
    </w:p>
    <w:p w14:paraId="23D1C0B5">
      <w:pPr>
        <w:widowControl/>
        <w:spacing w:line="360" w:lineRule="auto"/>
        <w:jc w:val="center"/>
        <w:rPr>
          <w:rFonts w:cs="宋体"/>
          <w:sz w:val="24"/>
          <w:lang w:bidi="zh-CN"/>
        </w:rPr>
      </w:pPr>
    </w:p>
    <w:p w14:paraId="40DAB09A">
      <w:pPr>
        <w:widowControl/>
        <w:spacing w:line="360" w:lineRule="auto"/>
        <w:jc w:val="center"/>
        <w:rPr>
          <w:rFonts w:cs="宋体"/>
          <w:sz w:val="24"/>
          <w:lang w:bidi="zh-CN"/>
        </w:rPr>
      </w:pPr>
      <w:r>
        <w:rPr>
          <w:rFonts w:hint="eastAsia" w:cs="宋体"/>
          <w:sz w:val="24"/>
          <w:lang w:bidi="zh-CN"/>
        </w:rPr>
        <w:t>2.1投标人综合情况表</w:t>
      </w:r>
    </w:p>
    <w:p w14:paraId="20B5DD69">
      <w:pPr>
        <w:spacing w:line="360" w:lineRule="auto"/>
        <w:rPr>
          <w:rFonts w:cs="宋体"/>
          <w:sz w:val="24"/>
        </w:rPr>
      </w:pPr>
    </w:p>
    <w:p w14:paraId="7BFBDA56">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07F4033E">
      <w:pPr>
        <w:widowControl/>
        <w:spacing w:line="360" w:lineRule="auto"/>
        <w:jc w:val="center"/>
        <w:rPr>
          <w:rFonts w:cs="宋体"/>
          <w:sz w:val="24"/>
          <w:lang w:bidi="zh-CN"/>
        </w:rPr>
      </w:pP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6416"/>
      </w:tblGrid>
      <w:tr w14:paraId="1238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372D0783">
            <w:pPr>
              <w:spacing w:line="360" w:lineRule="auto"/>
              <w:jc w:val="left"/>
              <w:rPr>
                <w:rFonts w:cs="宋体"/>
                <w:sz w:val="24"/>
              </w:rPr>
            </w:pPr>
            <w:r>
              <w:rPr>
                <w:rFonts w:hint="eastAsia" w:cs="宋体"/>
                <w:sz w:val="24"/>
              </w:rPr>
              <w:t>投标人名称</w:t>
            </w:r>
          </w:p>
        </w:tc>
        <w:tc>
          <w:tcPr>
            <w:tcW w:w="6416" w:type="dxa"/>
          </w:tcPr>
          <w:p w14:paraId="558609F3">
            <w:pPr>
              <w:spacing w:line="360" w:lineRule="auto"/>
              <w:jc w:val="left"/>
              <w:rPr>
                <w:rFonts w:cs="宋体"/>
                <w:sz w:val="24"/>
              </w:rPr>
            </w:pPr>
          </w:p>
        </w:tc>
      </w:tr>
      <w:tr w14:paraId="6B9D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1FCE401B">
            <w:pPr>
              <w:spacing w:line="360" w:lineRule="auto"/>
              <w:jc w:val="left"/>
              <w:rPr>
                <w:rFonts w:cs="宋体"/>
                <w:sz w:val="24"/>
              </w:rPr>
            </w:pPr>
            <w:r>
              <w:rPr>
                <w:rFonts w:hint="eastAsia" w:cs="宋体"/>
                <w:sz w:val="24"/>
              </w:rPr>
              <w:t>注册地址</w:t>
            </w:r>
          </w:p>
        </w:tc>
        <w:tc>
          <w:tcPr>
            <w:tcW w:w="6416" w:type="dxa"/>
          </w:tcPr>
          <w:p w14:paraId="467E0547">
            <w:pPr>
              <w:spacing w:line="360" w:lineRule="auto"/>
              <w:jc w:val="left"/>
              <w:rPr>
                <w:rFonts w:cs="宋体"/>
                <w:sz w:val="24"/>
              </w:rPr>
            </w:pPr>
          </w:p>
        </w:tc>
      </w:tr>
      <w:tr w14:paraId="56CE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0EB2F972">
            <w:pPr>
              <w:spacing w:line="360" w:lineRule="auto"/>
              <w:jc w:val="left"/>
              <w:rPr>
                <w:rFonts w:cs="宋体"/>
                <w:sz w:val="24"/>
              </w:rPr>
            </w:pPr>
            <w:r>
              <w:rPr>
                <w:rFonts w:hint="eastAsia" w:cs="宋体"/>
                <w:sz w:val="24"/>
              </w:rPr>
              <w:t>注册资金</w:t>
            </w:r>
          </w:p>
        </w:tc>
        <w:tc>
          <w:tcPr>
            <w:tcW w:w="6416" w:type="dxa"/>
          </w:tcPr>
          <w:p w14:paraId="03185054">
            <w:pPr>
              <w:spacing w:line="360" w:lineRule="auto"/>
              <w:jc w:val="left"/>
              <w:rPr>
                <w:rFonts w:cs="宋体"/>
                <w:sz w:val="24"/>
              </w:rPr>
            </w:pPr>
          </w:p>
        </w:tc>
      </w:tr>
      <w:tr w14:paraId="5886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425439FF">
            <w:pPr>
              <w:spacing w:line="360" w:lineRule="auto"/>
              <w:jc w:val="left"/>
              <w:rPr>
                <w:rFonts w:cs="宋体"/>
                <w:sz w:val="24"/>
              </w:rPr>
            </w:pPr>
            <w:r>
              <w:rPr>
                <w:rFonts w:hint="eastAsia" w:cs="宋体"/>
                <w:sz w:val="24"/>
              </w:rPr>
              <w:t>企业规模简介</w:t>
            </w:r>
          </w:p>
        </w:tc>
        <w:tc>
          <w:tcPr>
            <w:tcW w:w="6416" w:type="dxa"/>
          </w:tcPr>
          <w:p w14:paraId="3441B9F0">
            <w:pPr>
              <w:spacing w:line="360" w:lineRule="auto"/>
              <w:jc w:val="left"/>
              <w:rPr>
                <w:rFonts w:cs="宋体"/>
                <w:sz w:val="24"/>
              </w:rPr>
            </w:pPr>
          </w:p>
        </w:tc>
      </w:tr>
      <w:tr w14:paraId="1FF9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4DEDF880">
            <w:pPr>
              <w:spacing w:line="360" w:lineRule="auto"/>
              <w:jc w:val="left"/>
              <w:rPr>
                <w:rFonts w:cs="宋体"/>
                <w:sz w:val="24"/>
              </w:rPr>
            </w:pPr>
            <w:r>
              <w:rPr>
                <w:rFonts w:hint="eastAsia" w:cs="宋体"/>
                <w:sz w:val="24"/>
              </w:rPr>
              <w:t>近年销售情况</w:t>
            </w:r>
          </w:p>
        </w:tc>
        <w:tc>
          <w:tcPr>
            <w:tcW w:w="6416" w:type="dxa"/>
          </w:tcPr>
          <w:p w14:paraId="3D6327C2">
            <w:pPr>
              <w:spacing w:line="360" w:lineRule="auto"/>
              <w:jc w:val="left"/>
              <w:rPr>
                <w:rFonts w:cs="宋体"/>
                <w:sz w:val="24"/>
              </w:rPr>
            </w:pPr>
            <w:r>
              <w:rPr>
                <w:rFonts w:hint="eastAsia" w:cs="宋体"/>
                <w:b/>
                <w:sz w:val="24"/>
              </w:rPr>
              <w:t>必要项</w:t>
            </w:r>
          </w:p>
        </w:tc>
      </w:tr>
      <w:tr w14:paraId="0ED8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30AD1F5C">
            <w:pPr>
              <w:spacing w:line="360" w:lineRule="auto"/>
              <w:jc w:val="left"/>
              <w:rPr>
                <w:rFonts w:cs="宋体"/>
                <w:sz w:val="24"/>
              </w:rPr>
            </w:pPr>
            <w:r>
              <w:rPr>
                <w:rFonts w:hint="eastAsia" w:cs="宋体"/>
                <w:sz w:val="24"/>
              </w:rPr>
              <w:t>制造加工能力</w:t>
            </w:r>
          </w:p>
        </w:tc>
        <w:tc>
          <w:tcPr>
            <w:tcW w:w="6416" w:type="dxa"/>
          </w:tcPr>
          <w:p w14:paraId="7C98D95F">
            <w:pPr>
              <w:spacing w:line="360" w:lineRule="auto"/>
              <w:jc w:val="left"/>
              <w:rPr>
                <w:rFonts w:cs="宋体"/>
                <w:sz w:val="24"/>
              </w:rPr>
            </w:pPr>
          </w:p>
        </w:tc>
      </w:tr>
      <w:tr w14:paraId="7829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0F8EA970">
            <w:pPr>
              <w:spacing w:line="360" w:lineRule="auto"/>
              <w:jc w:val="left"/>
              <w:rPr>
                <w:rFonts w:cs="宋体"/>
                <w:sz w:val="24"/>
              </w:rPr>
            </w:pPr>
            <w:r>
              <w:rPr>
                <w:rFonts w:hint="eastAsia" w:cs="宋体"/>
                <w:sz w:val="24"/>
              </w:rPr>
              <w:t>财务情况</w:t>
            </w:r>
          </w:p>
        </w:tc>
        <w:tc>
          <w:tcPr>
            <w:tcW w:w="6416" w:type="dxa"/>
          </w:tcPr>
          <w:p w14:paraId="6F06EFC6">
            <w:pPr>
              <w:spacing w:line="360" w:lineRule="auto"/>
              <w:jc w:val="left"/>
              <w:rPr>
                <w:rFonts w:cs="宋体"/>
                <w:sz w:val="24"/>
              </w:rPr>
            </w:pPr>
          </w:p>
        </w:tc>
      </w:tr>
      <w:tr w14:paraId="2E97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04" w:type="dxa"/>
          </w:tcPr>
          <w:p w14:paraId="6670019A">
            <w:pPr>
              <w:spacing w:line="360" w:lineRule="auto"/>
              <w:jc w:val="left"/>
              <w:rPr>
                <w:rFonts w:cs="宋体"/>
                <w:sz w:val="24"/>
              </w:rPr>
            </w:pPr>
            <w:r>
              <w:rPr>
                <w:rFonts w:hint="eastAsia" w:cs="宋体"/>
                <w:sz w:val="24"/>
              </w:rPr>
              <w:t>获奖情况</w:t>
            </w:r>
          </w:p>
        </w:tc>
        <w:tc>
          <w:tcPr>
            <w:tcW w:w="6416" w:type="dxa"/>
          </w:tcPr>
          <w:p w14:paraId="71FA68E7">
            <w:pPr>
              <w:spacing w:line="360" w:lineRule="auto"/>
              <w:jc w:val="left"/>
              <w:rPr>
                <w:rFonts w:cs="宋体"/>
                <w:sz w:val="24"/>
              </w:rPr>
            </w:pPr>
          </w:p>
        </w:tc>
      </w:tr>
    </w:tbl>
    <w:p w14:paraId="0018F1BE">
      <w:pPr>
        <w:autoSpaceDE w:val="0"/>
        <w:autoSpaceDN w:val="0"/>
        <w:adjustRightInd w:val="0"/>
        <w:spacing w:line="480" w:lineRule="auto"/>
        <w:jc w:val="left"/>
        <w:rPr>
          <w:rFonts w:cs="宋体"/>
          <w:sz w:val="24"/>
          <w:szCs w:val="24"/>
        </w:rPr>
      </w:pPr>
      <w:r>
        <w:rPr>
          <w:rFonts w:hint="eastAsia" w:cs="宋体"/>
          <w:sz w:val="24"/>
          <w:szCs w:val="24"/>
        </w:rPr>
        <w:t>注：上述表中可只简述相应内容，具体材料应按照以下顺序提供随本表后附：</w:t>
      </w:r>
    </w:p>
    <w:p w14:paraId="57FEAB09">
      <w:pPr>
        <w:numPr>
          <w:ilvl w:val="0"/>
          <w:numId w:val="17"/>
        </w:numPr>
        <w:autoSpaceDE w:val="0"/>
        <w:autoSpaceDN w:val="0"/>
        <w:adjustRightInd w:val="0"/>
        <w:spacing w:line="360" w:lineRule="auto"/>
        <w:jc w:val="left"/>
        <w:rPr>
          <w:rFonts w:cs="宋体"/>
          <w:kern w:val="0"/>
          <w:sz w:val="24"/>
          <w:szCs w:val="24"/>
        </w:rPr>
      </w:pPr>
      <w:r>
        <w:rPr>
          <w:rFonts w:hint="eastAsia" w:cs="宋体"/>
          <w:kern w:val="0"/>
          <w:sz w:val="24"/>
          <w:szCs w:val="24"/>
        </w:rPr>
        <w:t>注册资金证明；</w:t>
      </w:r>
    </w:p>
    <w:p w14:paraId="5FF46E22">
      <w:pPr>
        <w:numPr>
          <w:ilvl w:val="0"/>
          <w:numId w:val="17"/>
        </w:numPr>
        <w:autoSpaceDE w:val="0"/>
        <w:autoSpaceDN w:val="0"/>
        <w:adjustRightInd w:val="0"/>
        <w:spacing w:line="360" w:lineRule="auto"/>
        <w:jc w:val="left"/>
        <w:rPr>
          <w:rFonts w:cs="宋体"/>
          <w:kern w:val="0"/>
          <w:sz w:val="24"/>
          <w:szCs w:val="24"/>
        </w:rPr>
      </w:pPr>
      <w:r>
        <w:rPr>
          <w:rFonts w:hint="eastAsia" w:cs="宋体"/>
          <w:kern w:val="0"/>
          <w:sz w:val="24"/>
          <w:szCs w:val="24"/>
        </w:rPr>
        <w:t>企业规模；</w:t>
      </w:r>
    </w:p>
    <w:p w14:paraId="3F31EB1D">
      <w:pPr>
        <w:numPr>
          <w:ilvl w:val="0"/>
          <w:numId w:val="17"/>
        </w:numPr>
        <w:autoSpaceDE w:val="0"/>
        <w:autoSpaceDN w:val="0"/>
        <w:adjustRightInd w:val="0"/>
        <w:spacing w:line="360" w:lineRule="auto"/>
        <w:jc w:val="left"/>
        <w:rPr>
          <w:rFonts w:cs="宋体"/>
          <w:b/>
          <w:kern w:val="0"/>
          <w:sz w:val="24"/>
          <w:szCs w:val="24"/>
        </w:rPr>
      </w:pPr>
      <w:r>
        <w:rPr>
          <w:rFonts w:hint="eastAsia" w:cs="宋体"/>
          <w:b/>
          <w:kern w:val="0"/>
          <w:sz w:val="24"/>
          <w:szCs w:val="24"/>
        </w:rPr>
        <w:t>同类产品2023年第一季度至2026年第一季度的销售情况</w:t>
      </w:r>
      <w:r>
        <w:rPr>
          <w:rFonts w:hint="eastAsia"/>
          <w:b/>
          <w:sz w:val="24"/>
          <w:szCs w:val="24"/>
        </w:rPr>
        <w:t>（附合同复印件或中标通知书）；</w:t>
      </w:r>
    </w:p>
    <w:p w14:paraId="79158C6D">
      <w:pPr>
        <w:numPr>
          <w:ilvl w:val="0"/>
          <w:numId w:val="17"/>
        </w:numPr>
        <w:autoSpaceDE w:val="0"/>
        <w:autoSpaceDN w:val="0"/>
        <w:adjustRightInd w:val="0"/>
        <w:spacing w:line="360" w:lineRule="auto"/>
        <w:jc w:val="left"/>
        <w:rPr>
          <w:rFonts w:cs="宋体"/>
          <w:kern w:val="0"/>
          <w:sz w:val="24"/>
          <w:szCs w:val="24"/>
        </w:rPr>
      </w:pPr>
      <w:r>
        <w:rPr>
          <w:rFonts w:hint="eastAsia" w:cs="宋体"/>
          <w:kern w:val="0"/>
          <w:sz w:val="24"/>
          <w:szCs w:val="24"/>
        </w:rPr>
        <w:t>制造加工能力；</w:t>
      </w:r>
    </w:p>
    <w:p w14:paraId="4AB92A15">
      <w:pPr>
        <w:numPr>
          <w:ilvl w:val="0"/>
          <w:numId w:val="17"/>
        </w:numPr>
        <w:autoSpaceDE w:val="0"/>
        <w:autoSpaceDN w:val="0"/>
        <w:adjustRightInd w:val="0"/>
        <w:spacing w:line="360" w:lineRule="auto"/>
        <w:jc w:val="left"/>
        <w:rPr>
          <w:rFonts w:cs="宋体"/>
          <w:b/>
          <w:bCs/>
          <w:kern w:val="0"/>
          <w:sz w:val="24"/>
          <w:szCs w:val="24"/>
        </w:rPr>
      </w:pPr>
      <w:r>
        <w:rPr>
          <w:rFonts w:hint="eastAsia" w:cs="宋体"/>
          <w:b/>
          <w:bCs/>
          <w:kern w:val="0"/>
          <w:sz w:val="24"/>
          <w:szCs w:val="24"/>
        </w:rPr>
        <w:t>财务报表（仅提供2023年度、2024年度、</w:t>
      </w:r>
      <w:r>
        <w:rPr>
          <w:rFonts w:hint="eastAsia" w:cs="宋体"/>
          <w:b/>
          <w:bCs/>
          <w:kern w:val="0"/>
          <w:sz w:val="24"/>
          <w:szCs w:val="24"/>
          <w:lang w:val="en-US" w:eastAsia="zh-CN"/>
        </w:rPr>
        <w:t>2025</w:t>
      </w:r>
      <w:r>
        <w:rPr>
          <w:rFonts w:hint="eastAsia" w:cs="宋体"/>
          <w:b/>
          <w:bCs/>
          <w:kern w:val="0"/>
          <w:sz w:val="24"/>
          <w:szCs w:val="24"/>
        </w:rPr>
        <w:t>年度</w:t>
      </w:r>
      <w:bookmarkStart w:id="305" w:name="_GoBack"/>
      <w:bookmarkEnd w:id="305"/>
      <w:r>
        <w:rPr>
          <w:rFonts w:hint="eastAsia" w:cs="宋体"/>
          <w:b/>
          <w:bCs/>
          <w:kern w:val="0"/>
          <w:sz w:val="24"/>
          <w:szCs w:val="24"/>
          <w:lang w:val="en-US" w:eastAsia="zh-CN"/>
        </w:rPr>
        <w:t>、</w:t>
      </w:r>
      <w:r>
        <w:rPr>
          <w:rFonts w:hint="eastAsia" w:cs="宋体"/>
          <w:b/>
          <w:bCs/>
          <w:kern w:val="0"/>
          <w:sz w:val="24"/>
          <w:szCs w:val="24"/>
        </w:rPr>
        <w:t>2026年度财务报表中的资产负债表、现金流量表、利润表）；</w:t>
      </w:r>
    </w:p>
    <w:p w14:paraId="3C904477">
      <w:pPr>
        <w:numPr>
          <w:ilvl w:val="0"/>
          <w:numId w:val="17"/>
        </w:numPr>
        <w:autoSpaceDE w:val="0"/>
        <w:autoSpaceDN w:val="0"/>
        <w:adjustRightInd w:val="0"/>
        <w:spacing w:line="360" w:lineRule="auto"/>
        <w:jc w:val="left"/>
        <w:rPr>
          <w:rFonts w:cs="宋体"/>
          <w:kern w:val="0"/>
          <w:sz w:val="24"/>
          <w:szCs w:val="24"/>
        </w:rPr>
      </w:pPr>
      <w:r>
        <w:rPr>
          <w:rFonts w:hint="eastAsia" w:cs="宋体"/>
          <w:kern w:val="0"/>
          <w:sz w:val="24"/>
          <w:szCs w:val="24"/>
        </w:rPr>
        <w:t>获奖情况。</w:t>
      </w:r>
    </w:p>
    <w:p w14:paraId="059F6519">
      <w:pPr>
        <w:autoSpaceDE w:val="0"/>
        <w:autoSpaceDN w:val="0"/>
        <w:adjustRightInd w:val="0"/>
        <w:spacing w:line="480" w:lineRule="auto"/>
        <w:jc w:val="right"/>
        <w:rPr>
          <w:rFonts w:cs="宋体"/>
          <w:sz w:val="24"/>
          <w:szCs w:val="24"/>
        </w:rPr>
      </w:pPr>
    </w:p>
    <w:p w14:paraId="4EF617B8">
      <w:pPr>
        <w:autoSpaceDE w:val="0"/>
        <w:autoSpaceDN w:val="0"/>
        <w:adjustRightInd w:val="0"/>
        <w:spacing w:line="480" w:lineRule="auto"/>
        <w:jc w:val="right"/>
        <w:rPr>
          <w:rFonts w:cs="宋体"/>
          <w:sz w:val="24"/>
          <w:szCs w:val="24"/>
        </w:rPr>
      </w:pPr>
    </w:p>
    <w:p w14:paraId="51F8CB0E">
      <w:pPr>
        <w:autoSpaceDE w:val="0"/>
        <w:autoSpaceDN w:val="0"/>
        <w:adjustRightInd w:val="0"/>
        <w:snapToGri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5092B06D">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2687255C">
      <w:pPr>
        <w:spacing w:line="360" w:lineRule="auto"/>
        <w:jc w:val="center"/>
        <w:rPr>
          <w:rFonts w:cs="宋体"/>
          <w:b/>
          <w:bCs/>
          <w:sz w:val="28"/>
          <w:szCs w:val="28"/>
          <w:lang w:bidi="zh-CN"/>
        </w:rPr>
      </w:pPr>
      <w:bookmarkStart w:id="292" w:name="_Toc148459153"/>
      <w:bookmarkStart w:id="293" w:name="_Toc19378"/>
      <w:bookmarkStart w:id="294" w:name="_Toc1674"/>
      <w:bookmarkStart w:id="295" w:name="_Toc22747"/>
      <w:bookmarkStart w:id="296" w:name="_Toc17206"/>
      <w:bookmarkStart w:id="297" w:name="_Toc62057301"/>
    </w:p>
    <w:p w14:paraId="29B0F325">
      <w:pPr>
        <w:spacing w:line="360" w:lineRule="auto"/>
        <w:jc w:val="center"/>
        <w:rPr>
          <w:rFonts w:cs="宋体"/>
          <w:b/>
          <w:bCs/>
          <w:sz w:val="28"/>
          <w:szCs w:val="28"/>
          <w:lang w:bidi="zh-CN"/>
        </w:rPr>
      </w:pPr>
    </w:p>
    <w:p w14:paraId="046C992D">
      <w:pPr>
        <w:spacing w:line="360" w:lineRule="auto"/>
        <w:jc w:val="center"/>
        <w:rPr>
          <w:rFonts w:cs="宋体"/>
          <w:b/>
          <w:bCs/>
          <w:sz w:val="28"/>
          <w:szCs w:val="28"/>
          <w:lang w:bidi="zh-CN"/>
        </w:rPr>
      </w:pPr>
    </w:p>
    <w:p w14:paraId="553D18CE">
      <w:pPr>
        <w:spacing w:line="360" w:lineRule="auto"/>
        <w:jc w:val="center"/>
        <w:rPr>
          <w:rFonts w:cs="宋体"/>
          <w:b/>
          <w:bCs/>
          <w:sz w:val="28"/>
          <w:szCs w:val="28"/>
          <w:lang w:bidi="zh-CN"/>
        </w:rPr>
      </w:pPr>
    </w:p>
    <w:p w14:paraId="23ED7F4A">
      <w:pPr>
        <w:spacing w:line="360" w:lineRule="auto"/>
        <w:jc w:val="center"/>
        <w:rPr>
          <w:rFonts w:cs="宋体"/>
          <w:b/>
          <w:bCs/>
          <w:sz w:val="28"/>
          <w:szCs w:val="28"/>
          <w:lang w:bidi="zh-CN"/>
        </w:rPr>
      </w:pPr>
    </w:p>
    <w:p w14:paraId="6938F54C">
      <w:pPr>
        <w:spacing w:line="360" w:lineRule="auto"/>
        <w:jc w:val="center"/>
        <w:rPr>
          <w:rFonts w:cs="宋体"/>
          <w:b/>
          <w:bCs/>
          <w:sz w:val="28"/>
          <w:szCs w:val="28"/>
          <w:lang w:bidi="zh-CN"/>
        </w:rPr>
      </w:pPr>
    </w:p>
    <w:p w14:paraId="49276663">
      <w:pPr>
        <w:spacing w:line="360" w:lineRule="auto"/>
        <w:jc w:val="center"/>
        <w:rPr>
          <w:rFonts w:cs="宋体"/>
          <w:b/>
          <w:bCs/>
          <w:sz w:val="28"/>
          <w:szCs w:val="28"/>
          <w:lang w:bidi="zh-CN"/>
        </w:rPr>
      </w:pPr>
    </w:p>
    <w:p w14:paraId="078FAE86">
      <w:pPr>
        <w:spacing w:line="360" w:lineRule="auto"/>
        <w:jc w:val="center"/>
        <w:rPr>
          <w:rFonts w:cs="宋体"/>
          <w:b/>
          <w:bCs/>
          <w:sz w:val="28"/>
          <w:szCs w:val="28"/>
          <w:lang w:bidi="zh-CN"/>
        </w:rPr>
      </w:pPr>
    </w:p>
    <w:p w14:paraId="2E26F3E4">
      <w:pPr>
        <w:spacing w:line="360" w:lineRule="auto"/>
        <w:jc w:val="center"/>
        <w:rPr>
          <w:rFonts w:cs="宋体"/>
          <w:b/>
          <w:bCs/>
          <w:sz w:val="28"/>
          <w:szCs w:val="28"/>
          <w:lang w:bidi="zh-CN"/>
        </w:rPr>
      </w:pPr>
    </w:p>
    <w:p w14:paraId="276747EC">
      <w:pPr>
        <w:spacing w:line="360" w:lineRule="auto"/>
        <w:jc w:val="center"/>
        <w:rPr>
          <w:rFonts w:cs="宋体"/>
          <w:b/>
          <w:bCs/>
          <w:sz w:val="28"/>
          <w:szCs w:val="28"/>
          <w:lang w:bidi="zh-CN"/>
        </w:rPr>
      </w:pPr>
    </w:p>
    <w:p w14:paraId="403EF742">
      <w:pPr>
        <w:spacing w:line="360" w:lineRule="auto"/>
        <w:jc w:val="center"/>
        <w:rPr>
          <w:rFonts w:cs="宋体"/>
          <w:b/>
          <w:bCs/>
          <w:sz w:val="28"/>
          <w:szCs w:val="28"/>
          <w:lang w:bidi="zh-CN"/>
        </w:rPr>
      </w:pPr>
    </w:p>
    <w:p w14:paraId="4AA0869A">
      <w:pPr>
        <w:spacing w:line="360" w:lineRule="auto"/>
        <w:jc w:val="center"/>
        <w:rPr>
          <w:rFonts w:cs="宋体"/>
          <w:b/>
          <w:bCs/>
          <w:sz w:val="28"/>
          <w:szCs w:val="28"/>
          <w:lang w:bidi="zh-CN"/>
        </w:rPr>
      </w:pPr>
    </w:p>
    <w:p w14:paraId="0B58A3CE">
      <w:pPr>
        <w:spacing w:line="360" w:lineRule="auto"/>
        <w:jc w:val="center"/>
        <w:rPr>
          <w:rFonts w:cs="宋体"/>
          <w:b/>
          <w:bCs/>
          <w:sz w:val="28"/>
          <w:szCs w:val="28"/>
          <w:lang w:bidi="zh-CN"/>
        </w:rPr>
      </w:pPr>
    </w:p>
    <w:p w14:paraId="6290D1DA">
      <w:pPr>
        <w:spacing w:line="360" w:lineRule="auto"/>
        <w:jc w:val="center"/>
        <w:rPr>
          <w:rFonts w:cs="宋体"/>
          <w:b/>
          <w:bCs/>
          <w:sz w:val="28"/>
          <w:szCs w:val="28"/>
          <w:lang w:bidi="zh-CN"/>
        </w:rPr>
      </w:pPr>
    </w:p>
    <w:p w14:paraId="68CF84FD">
      <w:pPr>
        <w:spacing w:line="360" w:lineRule="auto"/>
        <w:jc w:val="center"/>
        <w:rPr>
          <w:rFonts w:cs="宋体"/>
          <w:b/>
          <w:bCs/>
          <w:sz w:val="28"/>
          <w:szCs w:val="28"/>
          <w:lang w:bidi="zh-CN"/>
        </w:rPr>
      </w:pPr>
    </w:p>
    <w:p w14:paraId="7C2DD438">
      <w:pPr>
        <w:spacing w:line="360" w:lineRule="auto"/>
        <w:jc w:val="center"/>
        <w:rPr>
          <w:rFonts w:cs="宋体"/>
          <w:b/>
          <w:bCs/>
          <w:sz w:val="28"/>
          <w:szCs w:val="28"/>
          <w:lang w:bidi="zh-CN"/>
        </w:rPr>
      </w:pPr>
    </w:p>
    <w:p w14:paraId="05336148">
      <w:pPr>
        <w:spacing w:line="360" w:lineRule="auto"/>
        <w:jc w:val="center"/>
        <w:rPr>
          <w:rFonts w:cs="宋体"/>
          <w:b/>
          <w:bCs/>
          <w:sz w:val="28"/>
          <w:szCs w:val="28"/>
          <w:lang w:bidi="zh-CN"/>
        </w:rPr>
      </w:pPr>
      <w:r>
        <w:rPr>
          <w:rFonts w:hint="eastAsia" w:cs="宋体"/>
          <w:b/>
          <w:bCs/>
          <w:sz w:val="28"/>
          <w:szCs w:val="28"/>
          <w:lang w:bidi="zh-CN"/>
        </w:rPr>
        <w:t>三、投标人提供的随机配件、附件和工具等清单</w:t>
      </w:r>
      <w:bookmarkEnd w:id="292"/>
      <w:bookmarkEnd w:id="293"/>
      <w:bookmarkEnd w:id="294"/>
      <w:bookmarkEnd w:id="295"/>
      <w:bookmarkEnd w:id="296"/>
      <w:bookmarkEnd w:id="297"/>
    </w:p>
    <w:tbl>
      <w:tblPr>
        <w:tblStyle w:val="28"/>
        <w:tblW w:w="8517" w:type="dxa"/>
        <w:jc w:val="center"/>
        <w:tblLayout w:type="fixed"/>
        <w:tblCellMar>
          <w:top w:w="0" w:type="dxa"/>
          <w:left w:w="108" w:type="dxa"/>
          <w:bottom w:w="0" w:type="dxa"/>
          <w:right w:w="108" w:type="dxa"/>
        </w:tblCellMar>
      </w:tblPr>
      <w:tblGrid>
        <w:gridCol w:w="1064"/>
        <w:gridCol w:w="1065"/>
        <w:gridCol w:w="910"/>
        <w:gridCol w:w="1218"/>
        <w:gridCol w:w="1063"/>
        <w:gridCol w:w="974"/>
        <w:gridCol w:w="1153"/>
        <w:gridCol w:w="1070"/>
      </w:tblGrid>
      <w:tr w14:paraId="6BC0D284">
        <w:tblPrEx>
          <w:tblCellMar>
            <w:top w:w="0" w:type="dxa"/>
            <w:left w:w="108" w:type="dxa"/>
            <w:bottom w:w="0" w:type="dxa"/>
            <w:right w:w="108" w:type="dxa"/>
          </w:tblCellMar>
        </w:tblPrEx>
        <w:trPr>
          <w:trHeight w:val="680"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1F27C13A">
            <w:pPr>
              <w:widowControl/>
              <w:spacing w:line="360" w:lineRule="exact"/>
              <w:jc w:val="center"/>
              <w:rPr>
                <w:rFonts w:cs="宋体"/>
                <w:kern w:val="0"/>
                <w:szCs w:val="21"/>
              </w:rPr>
            </w:pPr>
            <w:r>
              <w:rPr>
                <w:rFonts w:hint="eastAsia" w:cs="宋体"/>
                <w:kern w:val="0"/>
                <w:szCs w:val="21"/>
              </w:rPr>
              <w:t>名称</w:t>
            </w:r>
          </w:p>
        </w:tc>
        <w:tc>
          <w:tcPr>
            <w:tcW w:w="1065" w:type="dxa"/>
            <w:tcBorders>
              <w:top w:val="single" w:color="auto" w:sz="4" w:space="0"/>
              <w:left w:val="nil"/>
              <w:bottom w:val="single" w:color="auto" w:sz="4" w:space="0"/>
              <w:right w:val="single" w:color="auto" w:sz="4" w:space="0"/>
            </w:tcBorders>
            <w:vAlign w:val="center"/>
          </w:tcPr>
          <w:p w14:paraId="532C9F24">
            <w:pPr>
              <w:widowControl/>
              <w:spacing w:line="360" w:lineRule="exact"/>
              <w:jc w:val="center"/>
              <w:rPr>
                <w:rFonts w:cs="宋体"/>
                <w:kern w:val="0"/>
                <w:szCs w:val="21"/>
              </w:rPr>
            </w:pPr>
            <w:r>
              <w:rPr>
                <w:rFonts w:hint="eastAsia" w:cs="宋体"/>
                <w:kern w:val="0"/>
                <w:szCs w:val="21"/>
              </w:rPr>
              <w:t>单位</w:t>
            </w:r>
          </w:p>
        </w:tc>
        <w:tc>
          <w:tcPr>
            <w:tcW w:w="910" w:type="dxa"/>
            <w:tcBorders>
              <w:top w:val="single" w:color="auto" w:sz="4" w:space="0"/>
              <w:left w:val="nil"/>
              <w:bottom w:val="single" w:color="auto" w:sz="4" w:space="0"/>
              <w:right w:val="single" w:color="auto" w:sz="4" w:space="0"/>
            </w:tcBorders>
            <w:vAlign w:val="center"/>
          </w:tcPr>
          <w:p w14:paraId="71E21672">
            <w:pPr>
              <w:widowControl/>
              <w:spacing w:line="360" w:lineRule="exact"/>
              <w:jc w:val="center"/>
              <w:rPr>
                <w:rFonts w:cs="宋体"/>
                <w:kern w:val="0"/>
                <w:szCs w:val="21"/>
              </w:rPr>
            </w:pPr>
            <w:r>
              <w:rPr>
                <w:rFonts w:hint="eastAsia" w:cs="宋体"/>
                <w:kern w:val="0"/>
                <w:szCs w:val="21"/>
              </w:rPr>
              <w:t>数量</w:t>
            </w:r>
          </w:p>
        </w:tc>
        <w:tc>
          <w:tcPr>
            <w:tcW w:w="1218" w:type="dxa"/>
            <w:tcBorders>
              <w:top w:val="single" w:color="auto" w:sz="4" w:space="0"/>
              <w:left w:val="nil"/>
              <w:bottom w:val="single" w:color="auto" w:sz="4" w:space="0"/>
              <w:right w:val="single" w:color="auto" w:sz="4" w:space="0"/>
            </w:tcBorders>
            <w:vAlign w:val="center"/>
          </w:tcPr>
          <w:p w14:paraId="0984029C">
            <w:pPr>
              <w:widowControl/>
              <w:spacing w:line="360" w:lineRule="exact"/>
              <w:jc w:val="center"/>
              <w:rPr>
                <w:rFonts w:cs="宋体"/>
                <w:kern w:val="0"/>
                <w:szCs w:val="21"/>
              </w:rPr>
            </w:pPr>
            <w:r>
              <w:rPr>
                <w:rFonts w:hint="eastAsia" w:cs="宋体"/>
                <w:kern w:val="0"/>
                <w:szCs w:val="21"/>
              </w:rPr>
              <w:t>不含税单价（元）</w:t>
            </w:r>
          </w:p>
        </w:tc>
        <w:tc>
          <w:tcPr>
            <w:tcW w:w="1063" w:type="dxa"/>
            <w:tcBorders>
              <w:top w:val="single" w:color="auto" w:sz="4" w:space="0"/>
              <w:left w:val="nil"/>
              <w:bottom w:val="single" w:color="auto" w:sz="4" w:space="0"/>
              <w:right w:val="single" w:color="auto" w:sz="4" w:space="0"/>
            </w:tcBorders>
            <w:vAlign w:val="center"/>
          </w:tcPr>
          <w:p w14:paraId="2864E36E">
            <w:pPr>
              <w:widowControl/>
              <w:spacing w:line="360" w:lineRule="exact"/>
              <w:jc w:val="center"/>
              <w:rPr>
                <w:rFonts w:cs="宋体"/>
                <w:kern w:val="0"/>
                <w:szCs w:val="21"/>
              </w:rPr>
            </w:pPr>
            <w:r>
              <w:rPr>
                <w:rFonts w:hint="eastAsia" w:cs="宋体"/>
                <w:kern w:val="0"/>
                <w:szCs w:val="21"/>
              </w:rPr>
              <w:t>金额（元）</w:t>
            </w:r>
          </w:p>
        </w:tc>
        <w:tc>
          <w:tcPr>
            <w:tcW w:w="974" w:type="dxa"/>
            <w:tcBorders>
              <w:top w:val="single" w:color="auto" w:sz="4" w:space="0"/>
              <w:left w:val="nil"/>
              <w:bottom w:val="single" w:color="auto" w:sz="4" w:space="0"/>
              <w:right w:val="single" w:color="auto" w:sz="4" w:space="0"/>
            </w:tcBorders>
            <w:vAlign w:val="center"/>
          </w:tcPr>
          <w:p w14:paraId="4175B4C0">
            <w:pPr>
              <w:widowControl/>
              <w:spacing w:line="360" w:lineRule="exact"/>
              <w:jc w:val="center"/>
              <w:rPr>
                <w:rFonts w:cs="宋体"/>
                <w:kern w:val="0"/>
                <w:szCs w:val="21"/>
              </w:rPr>
            </w:pPr>
            <w:r>
              <w:rPr>
                <w:rFonts w:hint="eastAsia" w:cs="宋体"/>
                <w:kern w:val="0"/>
                <w:szCs w:val="21"/>
              </w:rPr>
              <w:t>增值税率（%）</w:t>
            </w:r>
          </w:p>
        </w:tc>
        <w:tc>
          <w:tcPr>
            <w:tcW w:w="1153" w:type="dxa"/>
            <w:tcBorders>
              <w:top w:val="single" w:color="auto" w:sz="4" w:space="0"/>
              <w:left w:val="nil"/>
              <w:bottom w:val="single" w:color="auto" w:sz="4" w:space="0"/>
              <w:right w:val="single" w:color="auto" w:sz="4" w:space="0"/>
            </w:tcBorders>
            <w:vAlign w:val="center"/>
          </w:tcPr>
          <w:p w14:paraId="5BA3EFA8">
            <w:pPr>
              <w:widowControl/>
              <w:spacing w:line="360" w:lineRule="exact"/>
              <w:jc w:val="center"/>
              <w:rPr>
                <w:rFonts w:cs="宋体"/>
                <w:kern w:val="0"/>
                <w:szCs w:val="21"/>
              </w:rPr>
            </w:pPr>
            <w:r>
              <w:rPr>
                <w:rFonts w:hint="eastAsia" w:cs="宋体"/>
                <w:kern w:val="0"/>
                <w:szCs w:val="21"/>
              </w:rPr>
              <w:t>增值税税额（元）</w:t>
            </w:r>
          </w:p>
        </w:tc>
        <w:tc>
          <w:tcPr>
            <w:tcW w:w="1070" w:type="dxa"/>
            <w:tcBorders>
              <w:top w:val="single" w:color="auto" w:sz="4" w:space="0"/>
              <w:left w:val="nil"/>
              <w:bottom w:val="single" w:color="auto" w:sz="4" w:space="0"/>
              <w:right w:val="single" w:color="auto" w:sz="4" w:space="0"/>
            </w:tcBorders>
            <w:vAlign w:val="center"/>
          </w:tcPr>
          <w:p w14:paraId="3B2DEBEE">
            <w:pPr>
              <w:widowControl/>
              <w:spacing w:line="360" w:lineRule="exact"/>
              <w:jc w:val="center"/>
              <w:rPr>
                <w:rFonts w:cs="宋体"/>
                <w:kern w:val="0"/>
                <w:szCs w:val="21"/>
              </w:rPr>
            </w:pPr>
            <w:r>
              <w:rPr>
                <w:rFonts w:hint="eastAsia" w:cs="宋体"/>
                <w:kern w:val="0"/>
                <w:szCs w:val="21"/>
              </w:rPr>
              <w:t>价税合计（元）</w:t>
            </w:r>
          </w:p>
        </w:tc>
      </w:tr>
      <w:tr w14:paraId="6A316854">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5F58EF9D">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71ED35F8">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343C666D">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0C323CD7">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7E54C464">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14FF2AB0">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1C156D3E">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7D0CAC0D">
            <w:pPr>
              <w:widowControl/>
              <w:spacing w:line="360" w:lineRule="exact"/>
              <w:jc w:val="center"/>
              <w:rPr>
                <w:rFonts w:cs="宋体"/>
                <w:kern w:val="0"/>
                <w:szCs w:val="21"/>
              </w:rPr>
            </w:pPr>
          </w:p>
        </w:tc>
      </w:tr>
      <w:tr w14:paraId="65282290">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047C573B">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312B1773">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5D2F6646">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7E7380EA">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30258A05">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2B2CA2C8">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6A6D98A3">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09859815">
            <w:pPr>
              <w:widowControl/>
              <w:spacing w:line="360" w:lineRule="exact"/>
              <w:jc w:val="center"/>
              <w:rPr>
                <w:rFonts w:cs="宋体"/>
                <w:kern w:val="0"/>
                <w:szCs w:val="21"/>
              </w:rPr>
            </w:pPr>
          </w:p>
        </w:tc>
      </w:tr>
      <w:tr w14:paraId="6256CBC6">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4FC2CC59">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7F264A98">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7B08A85E">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163027CB">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50736425">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75D5D1A1">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26D806CD">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48899CF2">
            <w:pPr>
              <w:widowControl/>
              <w:spacing w:line="360" w:lineRule="exact"/>
              <w:jc w:val="center"/>
              <w:rPr>
                <w:rFonts w:cs="宋体"/>
                <w:kern w:val="0"/>
                <w:szCs w:val="21"/>
              </w:rPr>
            </w:pPr>
          </w:p>
        </w:tc>
      </w:tr>
      <w:tr w14:paraId="778300BF">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36D45F4B">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0C589D76">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3E9D69D8">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37F2633A">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68D58727">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62AED043">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67788629">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15BFBB59">
            <w:pPr>
              <w:widowControl/>
              <w:spacing w:line="360" w:lineRule="exact"/>
              <w:jc w:val="center"/>
              <w:rPr>
                <w:rFonts w:cs="宋体"/>
                <w:kern w:val="0"/>
                <w:szCs w:val="21"/>
              </w:rPr>
            </w:pPr>
          </w:p>
        </w:tc>
      </w:tr>
      <w:tr w14:paraId="040C042C">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77C0A129">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33F392D0">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22540537">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0C58C5AE">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44A46E9D">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73346508">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3C14E89B">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092C502A">
            <w:pPr>
              <w:widowControl/>
              <w:spacing w:line="360" w:lineRule="exact"/>
              <w:jc w:val="center"/>
              <w:rPr>
                <w:rFonts w:cs="宋体"/>
                <w:kern w:val="0"/>
                <w:szCs w:val="21"/>
              </w:rPr>
            </w:pPr>
          </w:p>
        </w:tc>
      </w:tr>
      <w:tr w14:paraId="2C538662">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5C08C634">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57A897E6">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79D838AE">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77035B27">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56CCCF64">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0A3D22A5">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6666DC52">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131F2177">
            <w:pPr>
              <w:widowControl/>
              <w:spacing w:line="360" w:lineRule="exact"/>
              <w:jc w:val="center"/>
              <w:rPr>
                <w:rFonts w:cs="宋体"/>
                <w:kern w:val="0"/>
                <w:szCs w:val="21"/>
              </w:rPr>
            </w:pPr>
          </w:p>
        </w:tc>
      </w:tr>
      <w:tr w14:paraId="48F1893D">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1B572144">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78A3E200">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422211F6">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3017DCDD">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1E80E39A">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51A85234">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416664C4">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10347ECF">
            <w:pPr>
              <w:widowControl/>
              <w:spacing w:line="360" w:lineRule="exact"/>
              <w:jc w:val="center"/>
              <w:rPr>
                <w:rFonts w:cs="宋体"/>
                <w:kern w:val="0"/>
                <w:szCs w:val="21"/>
              </w:rPr>
            </w:pPr>
          </w:p>
        </w:tc>
      </w:tr>
      <w:tr w14:paraId="5F659271">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752AD248">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06D20E4B">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437B09B8">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6230B3B4">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016AF4C2">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7F3C6D52">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4C3AE17E">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09E98A26">
            <w:pPr>
              <w:widowControl/>
              <w:spacing w:line="360" w:lineRule="exact"/>
              <w:jc w:val="center"/>
              <w:rPr>
                <w:rFonts w:cs="宋体"/>
                <w:kern w:val="0"/>
                <w:szCs w:val="21"/>
              </w:rPr>
            </w:pPr>
          </w:p>
        </w:tc>
      </w:tr>
      <w:tr w14:paraId="380A25AB">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56AFF38F">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371F8E1D">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509BCE38">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04431277">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1C2803B9">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4623954A">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5E2323DA">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05235896">
            <w:pPr>
              <w:widowControl/>
              <w:spacing w:line="360" w:lineRule="exact"/>
              <w:jc w:val="center"/>
              <w:rPr>
                <w:rFonts w:cs="宋体"/>
                <w:kern w:val="0"/>
                <w:szCs w:val="21"/>
              </w:rPr>
            </w:pPr>
          </w:p>
        </w:tc>
      </w:tr>
      <w:tr w14:paraId="50EBAD06">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7853ED48">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46C2CD08">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3A4078B5">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5663988F">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45E099DD">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547B8D0C">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22DEF66E">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5EA0911B">
            <w:pPr>
              <w:widowControl/>
              <w:spacing w:line="360" w:lineRule="exact"/>
              <w:jc w:val="center"/>
              <w:rPr>
                <w:rFonts w:cs="宋体"/>
                <w:kern w:val="0"/>
                <w:szCs w:val="21"/>
              </w:rPr>
            </w:pPr>
          </w:p>
        </w:tc>
      </w:tr>
      <w:tr w14:paraId="1927673B">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7C598E73">
            <w:pPr>
              <w:widowControl/>
              <w:spacing w:line="360" w:lineRule="exact"/>
              <w:jc w:val="center"/>
              <w:rPr>
                <w:rFonts w:cs="宋体"/>
                <w:kern w:val="0"/>
                <w:szCs w:val="21"/>
              </w:rPr>
            </w:pPr>
            <w:r>
              <w:rPr>
                <w:rFonts w:hint="eastAsia" w:cs="宋体"/>
                <w:kern w:val="0"/>
                <w:szCs w:val="21"/>
              </w:rPr>
              <w:t>合计</w:t>
            </w:r>
          </w:p>
        </w:tc>
        <w:tc>
          <w:tcPr>
            <w:tcW w:w="1065" w:type="dxa"/>
            <w:tcBorders>
              <w:top w:val="nil"/>
              <w:left w:val="nil"/>
              <w:bottom w:val="single" w:color="auto" w:sz="4" w:space="0"/>
              <w:right w:val="single" w:color="auto" w:sz="4" w:space="0"/>
            </w:tcBorders>
            <w:vAlign w:val="center"/>
          </w:tcPr>
          <w:p w14:paraId="12BAD8BA">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2519104B">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4D92D3FA">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14DB09A5">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320DC108">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54B30B53">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73C64A90">
            <w:pPr>
              <w:widowControl/>
              <w:spacing w:line="360" w:lineRule="exact"/>
              <w:jc w:val="center"/>
              <w:rPr>
                <w:rFonts w:cs="宋体"/>
                <w:kern w:val="0"/>
                <w:szCs w:val="21"/>
              </w:rPr>
            </w:pPr>
          </w:p>
        </w:tc>
      </w:tr>
    </w:tbl>
    <w:p w14:paraId="17B01216">
      <w:pPr>
        <w:spacing w:line="360" w:lineRule="auto"/>
        <w:ind w:firstLine="482" w:firstLineChars="200"/>
        <w:rPr>
          <w:rFonts w:cs="宋体"/>
          <w:sz w:val="24"/>
          <w:szCs w:val="24"/>
        </w:rPr>
      </w:pPr>
      <w:r>
        <w:rPr>
          <w:rFonts w:hint="eastAsia" w:cs="宋体"/>
          <w:b/>
          <w:sz w:val="24"/>
          <w:szCs w:val="24"/>
        </w:rPr>
        <w:t>说明：1、上述材料已包括在投标报价中，不再计算</w:t>
      </w:r>
      <w:r>
        <w:rPr>
          <w:rFonts w:hint="eastAsia" w:cs="宋体"/>
          <w:sz w:val="24"/>
          <w:szCs w:val="24"/>
        </w:rPr>
        <w:t>。</w:t>
      </w:r>
    </w:p>
    <w:p w14:paraId="58B28CB0">
      <w:pPr>
        <w:autoSpaceDE w:val="0"/>
        <w:autoSpaceDN w:val="0"/>
        <w:adjustRightInd w:val="0"/>
        <w:jc w:val="left"/>
        <w:rPr>
          <w:rFonts w:cs="宋体"/>
          <w:kern w:val="0"/>
          <w:sz w:val="28"/>
          <w:szCs w:val="28"/>
        </w:rPr>
      </w:pPr>
      <w:bookmarkStart w:id="298" w:name="_Toc11475"/>
      <w:bookmarkStart w:id="299" w:name="_Toc62057302"/>
      <w:bookmarkStart w:id="300" w:name="_Toc1755"/>
      <w:bookmarkStart w:id="301" w:name="_Toc5379"/>
    </w:p>
    <w:p w14:paraId="54CC2CB4">
      <w:pPr>
        <w:pStyle w:val="66"/>
        <w:rPr>
          <w:rFonts w:hint="eastAsia"/>
          <w:color w:val="auto"/>
        </w:rPr>
      </w:pPr>
    </w:p>
    <w:p w14:paraId="37DBDD64">
      <w:pPr>
        <w:pStyle w:val="66"/>
        <w:rPr>
          <w:rFonts w:hint="eastAsia"/>
          <w:color w:val="auto"/>
        </w:rPr>
      </w:pPr>
    </w:p>
    <w:p w14:paraId="08C923AB">
      <w:pPr>
        <w:pStyle w:val="66"/>
        <w:rPr>
          <w:rFonts w:hint="eastAsia"/>
          <w:color w:val="auto"/>
        </w:rPr>
      </w:pPr>
    </w:p>
    <w:p w14:paraId="2769FE89">
      <w:pPr>
        <w:snapToGrid w:val="0"/>
        <w:spacing w:line="480" w:lineRule="auto"/>
        <w:ind w:firstLine="420" w:firstLineChars="200"/>
        <w:jc w:val="right"/>
        <w:rPr>
          <w:rFonts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28569614">
      <w:pPr>
        <w:autoSpaceDE w:val="0"/>
        <w:autoSpaceDN w:val="0"/>
        <w:adjustRightInd w:val="0"/>
        <w:snapToGri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1CC83B9C">
      <w:pPr>
        <w:autoSpaceDE w:val="0"/>
        <w:autoSpaceDN w:val="0"/>
        <w:spacing w:before="20" w:after="20" w:line="360" w:lineRule="auto"/>
        <w:jc w:val="center"/>
        <w:rPr>
          <w:rFonts w:hint="eastAsia" w:ascii="宋体" w:hAnsi="宋体"/>
          <w:b/>
          <w:bCs/>
          <w:sz w:val="28"/>
          <w:szCs w:val="28"/>
          <w:lang w:bidi="zh-CN"/>
        </w:rPr>
      </w:pPr>
      <w:bookmarkStart w:id="302" w:name="_Toc148459154"/>
    </w:p>
    <w:p w14:paraId="48A387F1">
      <w:pPr>
        <w:autoSpaceDE w:val="0"/>
        <w:autoSpaceDN w:val="0"/>
        <w:spacing w:before="20" w:after="20" w:line="360" w:lineRule="auto"/>
        <w:jc w:val="center"/>
        <w:rPr>
          <w:rFonts w:hint="eastAsia" w:ascii="宋体" w:hAnsi="宋体"/>
          <w:b/>
          <w:bCs/>
          <w:sz w:val="28"/>
          <w:szCs w:val="28"/>
        </w:rPr>
      </w:pPr>
      <w:r>
        <w:rPr>
          <w:rFonts w:hint="eastAsia" w:ascii="宋体" w:hAnsi="宋体"/>
          <w:b/>
          <w:bCs/>
          <w:sz w:val="28"/>
          <w:szCs w:val="28"/>
          <w:lang w:bidi="zh-CN"/>
        </w:rPr>
        <w:t>四、设备运行日常需更换的易损件及维修配件等清单</w:t>
      </w:r>
      <w:bookmarkEnd w:id="298"/>
      <w:bookmarkEnd w:id="299"/>
      <w:bookmarkEnd w:id="300"/>
      <w:bookmarkEnd w:id="301"/>
      <w:bookmarkEnd w:id="302"/>
    </w:p>
    <w:tbl>
      <w:tblPr>
        <w:tblStyle w:val="28"/>
        <w:tblW w:w="9021" w:type="dxa"/>
        <w:jc w:val="center"/>
        <w:tblLayout w:type="fixed"/>
        <w:tblCellMar>
          <w:top w:w="0" w:type="dxa"/>
          <w:left w:w="108" w:type="dxa"/>
          <w:bottom w:w="0" w:type="dxa"/>
          <w:right w:w="108" w:type="dxa"/>
        </w:tblCellMar>
      </w:tblPr>
      <w:tblGrid>
        <w:gridCol w:w="1319"/>
        <w:gridCol w:w="742"/>
        <w:gridCol w:w="705"/>
        <w:gridCol w:w="1275"/>
        <w:gridCol w:w="840"/>
        <w:gridCol w:w="1035"/>
        <w:gridCol w:w="990"/>
        <w:gridCol w:w="1095"/>
        <w:gridCol w:w="1020"/>
      </w:tblGrid>
      <w:tr w14:paraId="329767D1">
        <w:tblPrEx>
          <w:tblCellMar>
            <w:top w:w="0" w:type="dxa"/>
            <w:left w:w="108" w:type="dxa"/>
            <w:bottom w:w="0" w:type="dxa"/>
            <w:right w:w="108" w:type="dxa"/>
          </w:tblCellMar>
        </w:tblPrEx>
        <w:trPr>
          <w:trHeight w:val="68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44A31233">
            <w:pPr>
              <w:widowControl/>
              <w:spacing w:line="360" w:lineRule="exact"/>
              <w:jc w:val="center"/>
              <w:rPr>
                <w:rFonts w:cs="宋体"/>
                <w:kern w:val="0"/>
                <w:szCs w:val="21"/>
              </w:rPr>
            </w:pPr>
            <w:r>
              <w:rPr>
                <w:rFonts w:hint="eastAsia" w:cs="宋体"/>
                <w:kern w:val="0"/>
                <w:szCs w:val="21"/>
              </w:rPr>
              <w:t>名称</w:t>
            </w:r>
          </w:p>
        </w:tc>
        <w:tc>
          <w:tcPr>
            <w:tcW w:w="742" w:type="dxa"/>
            <w:tcBorders>
              <w:top w:val="single" w:color="auto" w:sz="4" w:space="0"/>
              <w:left w:val="nil"/>
              <w:bottom w:val="single" w:color="auto" w:sz="4" w:space="0"/>
              <w:right w:val="single" w:color="auto" w:sz="4" w:space="0"/>
            </w:tcBorders>
            <w:vAlign w:val="center"/>
          </w:tcPr>
          <w:p w14:paraId="3EFE0CB6">
            <w:pPr>
              <w:widowControl/>
              <w:spacing w:line="360" w:lineRule="exact"/>
              <w:jc w:val="center"/>
              <w:rPr>
                <w:rFonts w:cs="宋体"/>
                <w:kern w:val="0"/>
                <w:szCs w:val="21"/>
              </w:rPr>
            </w:pPr>
            <w:r>
              <w:rPr>
                <w:rFonts w:hint="eastAsia" w:cs="宋体"/>
                <w:kern w:val="0"/>
                <w:szCs w:val="21"/>
              </w:rPr>
              <w:t>单位</w:t>
            </w:r>
          </w:p>
        </w:tc>
        <w:tc>
          <w:tcPr>
            <w:tcW w:w="705" w:type="dxa"/>
            <w:tcBorders>
              <w:top w:val="single" w:color="auto" w:sz="4" w:space="0"/>
              <w:left w:val="nil"/>
              <w:bottom w:val="single" w:color="auto" w:sz="4" w:space="0"/>
              <w:right w:val="single" w:color="auto" w:sz="4" w:space="0"/>
            </w:tcBorders>
            <w:vAlign w:val="center"/>
          </w:tcPr>
          <w:p w14:paraId="333A8852">
            <w:pPr>
              <w:widowControl/>
              <w:spacing w:line="360" w:lineRule="exact"/>
              <w:jc w:val="center"/>
              <w:rPr>
                <w:rFonts w:cs="宋体"/>
                <w:kern w:val="0"/>
                <w:szCs w:val="21"/>
              </w:rPr>
            </w:pPr>
            <w:r>
              <w:rPr>
                <w:rFonts w:hint="eastAsia" w:cs="宋体"/>
                <w:kern w:val="0"/>
                <w:szCs w:val="21"/>
              </w:rPr>
              <w:t>数量</w:t>
            </w:r>
          </w:p>
        </w:tc>
        <w:tc>
          <w:tcPr>
            <w:tcW w:w="1275" w:type="dxa"/>
            <w:tcBorders>
              <w:top w:val="single" w:color="auto" w:sz="4" w:space="0"/>
              <w:left w:val="nil"/>
              <w:bottom w:val="single" w:color="auto" w:sz="4" w:space="0"/>
              <w:right w:val="single" w:color="auto" w:sz="4" w:space="0"/>
            </w:tcBorders>
            <w:vAlign w:val="center"/>
          </w:tcPr>
          <w:p w14:paraId="678C8256">
            <w:pPr>
              <w:widowControl/>
              <w:spacing w:line="360" w:lineRule="exact"/>
              <w:jc w:val="center"/>
              <w:rPr>
                <w:rFonts w:cs="宋体"/>
                <w:kern w:val="0"/>
                <w:szCs w:val="21"/>
              </w:rPr>
            </w:pPr>
            <w:r>
              <w:rPr>
                <w:rFonts w:hint="eastAsia" w:cs="宋体"/>
                <w:kern w:val="0"/>
                <w:szCs w:val="21"/>
              </w:rPr>
              <w:t>不含税单价（元）</w:t>
            </w:r>
          </w:p>
        </w:tc>
        <w:tc>
          <w:tcPr>
            <w:tcW w:w="840" w:type="dxa"/>
            <w:tcBorders>
              <w:top w:val="single" w:color="auto" w:sz="4" w:space="0"/>
              <w:left w:val="nil"/>
              <w:bottom w:val="single" w:color="auto" w:sz="4" w:space="0"/>
              <w:right w:val="single" w:color="auto" w:sz="4" w:space="0"/>
            </w:tcBorders>
            <w:vAlign w:val="center"/>
          </w:tcPr>
          <w:p w14:paraId="14710133">
            <w:pPr>
              <w:widowControl/>
              <w:spacing w:line="360" w:lineRule="exact"/>
              <w:jc w:val="center"/>
              <w:rPr>
                <w:rFonts w:cs="宋体"/>
                <w:kern w:val="0"/>
                <w:szCs w:val="21"/>
              </w:rPr>
            </w:pPr>
            <w:r>
              <w:rPr>
                <w:rFonts w:hint="eastAsia" w:cs="宋体"/>
                <w:kern w:val="0"/>
                <w:szCs w:val="21"/>
              </w:rPr>
              <w:t>金额（元）</w:t>
            </w:r>
          </w:p>
        </w:tc>
        <w:tc>
          <w:tcPr>
            <w:tcW w:w="1035" w:type="dxa"/>
            <w:tcBorders>
              <w:top w:val="single" w:color="auto" w:sz="4" w:space="0"/>
              <w:left w:val="nil"/>
              <w:bottom w:val="single" w:color="auto" w:sz="4" w:space="0"/>
              <w:right w:val="single" w:color="auto" w:sz="4" w:space="0"/>
            </w:tcBorders>
            <w:vAlign w:val="center"/>
          </w:tcPr>
          <w:p w14:paraId="4E47C0D7">
            <w:pPr>
              <w:widowControl/>
              <w:spacing w:line="360" w:lineRule="exact"/>
              <w:jc w:val="center"/>
              <w:rPr>
                <w:rFonts w:cs="宋体"/>
                <w:kern w:val="0"/>
                <w:szCs w:val="21"/>
              </w:rPr>
            </w:pPr>
            <w:r>
              <w:rPr>
                <w:rFonts w:hint="eastAsia" w:cs="宋体"/>
                <w:kern w:val="0"/>
                <w:szCs w:val="21"/>
              </w:rPr>
              <w:t>增值税税率（%）</w:t>
            </w:r>
          </w:p>
        </w:tc>
        <w:tc>
          <w:tcPr>
            <w:tcW w:w="990" w:type="dxa"/>
            <w:tcBorders>
              <w:top w:val="single" w:color="auto" w:sz="4" w:space="0"/>
              <w:left w:val="nil"/>
              <w:bottom w:val="single" w:color="auto" w:sz="4" w:space="0"/>
              <w:right w:val="single" w:color="auto" w:sz="4" w:space="0"/>
            </w:tcBorders>
            <w:vAlign w:val="center"/>
          </w:tcPr>
          <w:p w14:paraId="31BDE49A">
            <w:pPr>
              <w:widowControl/>
              <w:spacing w:line="360" w:lineRule="exact"/>
              <w:jc w:val="center"/>
              <w:rPr>
                <w:rFonts w:cs="宋体"/>
                <w:kern w:val="0"/>
                <w:szCs w:val="21"/>
              </w:rPr>
            </w:pPr>
            <w:r>
              <w:rPr>
                <w:rFonts w:hint="eastAsia" w:cs="宋体"/>
                <w:kern w:val="0"/>
                <w:szCs w:val="21"/>
              </w:rPr>
              <w:t>税额（元）</w:t>
            </w:r>
          </w:p>
        </w:tc>
        <w:tc>
          <w:tcPr>
            <w:tcW w:w="1095" w:type="dxa"/>
            <w:tcBorders>
              <w:top w:val="single" w:color="auto" w:sz="4" w:space="0"/>
              <w:left w:val="nil"/>
              <w:bottom w:val="single" w:color="auto" w:sz="4" w:space="0"/>
              <w:right w:val="single" w:color="auto" w:sz="4" w:space="0"/>
            </w:tcBorders>
            <w:vAlign w:val="center"/>
          </w:tcPr>
          <w:p w14:paraId="5CF7C262">
            <w:pPr>
              <w:widowControl/>
              <w:spacing w:line="360" w:lineRule="exact"/>
              <w:jc w:val="center"/>
              <w:rPr>
                <w:rFonts w:cs="宋体"/>
                <w:kern w:val="0"/>
                <w:szCs w:val="21"/>
              </w:rPr>
            </w:pPr>
            <w:r>
              <w:rPr>
                <w:rFonts w:hint="eastAsia" w:cs="宋体"/>
                <w:kern w:val="0"/>
                <w:szCs w:val="21"/>
              </w:rPr>
              <w:t>价税合计（元）</w:t>
            </w:r>
          </w:p>
        </w:tc>
        <w:tc>
          <w:tcPr>
            <w:tcW w:w="1020" w:type="dxa"/>
            <w:tcBorders>
              <w:top w:val="single" w:color="auto" w:sz="4" w:space="0"/>
              <w:left w:val="nil"/>
              <w:bottom w:val="single" w:color="auto" w:sz="4" w:space="0"/>
              <w:right w:val="single" w:color="auto" w:sz="4" w:space="0"/>
            </w:tcBorders>
            <w:vAlign w:val="center"/>
          </w:tcPr>
          <w:p w14:paraId="27E90CA9">
            <w:pPr>
              <w:widowControl/>
              <w:spacing w:line="360" w:lineRule="exact"/>
              <w:jc w:val="center"/>
              <w:rPr>
                <w:rFonts w:cs="宋体"/>
                <w:kern w:val="0"/>
                <w:szCs w:val="21"/>
              </w:rPr>
            </w:pPr>
            <w:r>
              <w:rPr>
                <w:rFonts w:hint="eastAsia" w:cs="宋体"/>
                <w:kern w:val="0"/>
                <w:szCs w:val="21"/>
              </w:rPr>
              <w:t>备注</w:t>
            </w:r>
          </w:p>
        </w:tc>
      </w:tr>
      <w:tr w14:paraId="418F8EAC">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75768E25">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60381DBF">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63DA0F69">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3F8E25FB">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4B53EB2B">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6D71BA6B">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3F0986FE">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6B8C9C4E">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0C555AF8">
            <w:pPr>
              <w:widowControl/>
              <w:spacing w:line="360" w:lineRule="exact"/>
              <w:jc w:val="center"/>
              <w:rPr>
                <w:rFonts w:cs="宋体"/>
                <w:kern w:val="0"/>
                <w:szCs w:val="21"/>
              </w:rPr>
            </w:pPr>
          </w:p>
        </w:tc>
      </w:tr>
      <w:tr w14:paraId="4C1497A5">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3B612743">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192C19D2">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4BE75705">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05022A78">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3F23F44B">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615FABA6">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2E48E74E">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3DDE79AC">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1AEE8943">
            <w:pPr>
              <w:widowControl/>
              <w:spacing w:line="360" w:lineRule="exact"/>
              <w:jc w:val="center"/>
              <w:rPr>
                <w:rFonts w:cs="宋体"/>
                <w:kern w:val="0"/>
                <w:szCs w:val="21"/>
              </w:rPr>
            </w:pPr>
          </w:p>
        </w:tc>
      </w:tr>
      <w:tr w14:paraId="1FA6B75D">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4D0A79A5">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25E98D94">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0BE92A0E">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0AFF12E9">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7685347B">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6F3B4998">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5083303F">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53DECD9B">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2582A2A7">
            <w:pPr>
              <w:widowControl/>
              <w:spacing w:line="360" w:lineRule="exact"/>
              <w:jc w:val="center"/>
              <w:rPr>
                <w:rFonts w:cs="宋体"/>
                <w:kern w:val="0"/>
                <w:szCs w:val="21"/>
              </w:rPr>
            </w:pPr>
          </w:p>
        </w:tc>
      </w:tr>
      <w:tr w14:paraId="3F715706">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59D52454">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60DF9789">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7CC5479F">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37598B55">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01431D5D">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06CA3854">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16DFA332">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1C846861">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1EA51DB4">
            <w:pPr>
              <w:widowControl/>
              <w:spacing w:line="360" w:lineRule="exact"/>
              <w:jc w:val="center"/>
              <w:rPr>
                <w:rFonts w:cs="宋体"/>
                <w:kern w:val="0"/>
                <w:szCs w:val="21"/>
              </w:rPr>
            </w:pPr>
          </w:p>
        </w:tc>
      </w:tr>
      <w:tr w14:paraId="562D2531">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7A244E17">
            <w:pPr>
              <w:pStyle w:val="27"/>
              <w:ind w:left="0" w:leftChars="0" w:firstLine="0" w:firstLineChars="0"/>
              <w:jc w:val="center"/>
              <w:rPr>
                <w:rFonts w:hint="eastAsia" w:ascii="宋体" w:hAnsi="宋体"/>
                <w:szCs w:val="21"/>
              </w:rPr>
            </w:pPr>
          </w:p>
        </w:tc>
        <w:tc>
          <w:tcPr>
            <w:tcW w:w="742" w:type="dxa"/>
            <w:tcBorders>
              <w:top w:val="nil"/>
              <w:left w:val="nil"/>
              <w:bottom w:val="single" w:color="auto" w:sz="4" w:space="0"/>
              <w:right w:val="single" w:color="auto" w:sz="4" w:space="0"/>
            </w:tcBorders>
            <w:vAlign w:val="center"/>
          </w:tcPr>
          <w:p w14:paraId="5DD4C6D5">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46DCCA98">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1F5514AB">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1E06A9BB">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00AA3AF6">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1DA4A28C">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4FFC8AA9">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26604469">
            <w:pPr>
              <w:widowControl/>
              <w:spacing w:line="360" w:lineRule="exact"/>
              <w:jc w:val="center"/>
              <w:rPr>
                <w:rFonts w:cs="宋体"/>
                <w:kern w:val="0"/>
                <w:szCs w:val="21"/>
              </w:rPr>
            </w:pPr>
          </w:p>
        </w:tc>
      </w:tr>
      <w:tr w14:paraId="1495212F">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1CF8B9B8">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0CF9976C">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5E32B9F6">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5B150741">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50C4303D">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117B7605">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486B59D5">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59622D2C">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266BE74C">
            <w:pPr>
              <w:widowControl/>
              <w:spacing w:line="360" w:lineRule="exact"/>
              <w:jc w:val="center"/>
              <w:rPr>
                <w:rFonts w:cs="宋体"/>
                <w:kern w:val="0"/>
                <w:szCs w:val="21"/>
              </w:rPr>
            </w:pPr>
          </w:p>
        </w:tc>
      </w:tr>
      <w:tr w14:paraId="48AA28C7">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3826C1FF">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41ED16C6">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3F8F7A2E">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7E4EFECA">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3791818C">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64239C91">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453A562B">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6A08943F">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662C32EA">
            <w:pPr>
              <w:widowControl/>
              <w:spacing w:line="360" w:lineRule="exact"/>
              <w:jc w:val="center"/>
              <w:rPr>
                <w:rFonts w:cs="宋体"/>
                <w:kern w:val="0"/>
                <w:szCs w:val="21"/>
              </w:rPr>
            </w:pPr>
          </w:p>
        </w:tc>
      </w:tr>
      <w:tr w14:paraId="57652E6B">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42EB381A">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54D4272B">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69EF81C6">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24526B03">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08E02304">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19AC0A86">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781C87C0">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7990BF1E">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4100D12B">
            <w:pPr>
              <w:widowControl/>
              <w:spacing w:line="360" w:lineRule="exact"/>
              <w:jc w:val="center"/>
              <w:rPr>
                <w:rFonts w:cs="宋体"/>
                <w:kern w:val="0"/>
                <w:szCs w:val="21"/>
              </w:rPr>
            </w:pPr>
          </w:p>
        </w:tc>
      </w:tr>
      <w:tr w14:paraId="6D552164">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5FB2A9DE">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642B922C">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76938ABB">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153E2597">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0C34DCDD">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6309B6F1">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06BC1F49">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7A08DDED">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4136C5F5">
            <w:pPr>
              <w:widowControl/>
              <w:spacing w:line="360" w:lineRule="exact"/>
              <w:jc w:val="center"/>
              <w:rPr>
                <w:rFonts w:cs="宋体"/>
                <w:kern w:val="0"/>
                <w:szCs w:val="21"/>
              </w:rPr>
            </w:pPr>
          </w:p>
        </w:tc>
      </w:tr>
      <w:tr w14:paraId="74965120">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75EEEDEA">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6A2A1C1F">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6C85C3AD">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62B0ABB2">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2EB7C294">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5AB0655B">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3C2D39BD">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2E0CCDCB">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3C3FBF2F">
            <w:pPr>
              <w:widowControl/>
              <w:spacing w:line="360" w:lineRule="exact"/>
              <w:jc w:val="center"/>
              <w:rPr>
                <w:rFonts w:cs="宋体"/>
                <w:kern w:val="0"/>
                <w:szCs w:val="21"/>
              </w:rPr>
            </w:pPr>
          </w:p>
        </w:tc>
      </w:tr>
      <w:tr w14:paraId="3B82915E">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45B33DC6">
            <w:pPr>
              <w:widowControl/>
              <w:spacing w:line="360" w:lineRule="exact"/>
              <w:jc w:val="center"/>
              <w:rPr>
                <w:rFonts w:cs="宋体"/>
                <w:kern w:val="0"/>
                <w:szCs w:val="21"/>
              </w:rPr>
            </w:pPr>
            <w:r>
              <w:rPr>
                <w:rFonts w:hint="eastAsia" w:cs="宋体"/>
                <w:kern w:val="0"/>
                <w:szCs w:val="21"/>
              </w:rPr>
              <w:t>合计</w:t>
            </w:r>
          </w:p>
        </w:tc>
        <w:tc>
          <w:tcPr>
            <w:tcW w:w="742" w:type="dxa"/>
            <w:tcBorders>
              <w:top w:val="nil"/>
              <w:left w:val="nil"/>
              <w:bottom w:val="single" w:color="auto" w:sz="4" w:space="0"/>
              <w:right w:val="single" w:color="auto" w:sz="4" w:space="0"/>
            </w:tcBorders>
            <w:vAlign w:val="center"/>
          </w:tcPr>
          <w:p w14:paraId="0855A63B">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58D6DBFB">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45C20F04">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40C6D655">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27195877">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1263A20D">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134C97E1">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7C6B4D54">
            <w:pPr>
              <w:widowControl/>
              <w:spacing w:line="360" w:lineRule="exact"/>
              <w:jc w:val="center"/>
              <w:rPr>
                <w:rFonts w:cs="宋体"/>
                <w:kern w:val="0"/>
                <w:szCs w:val="21"/>
              </w:rPr>
            </w:pPr>
          </w:p>
        </w:tc>
      </w:tr>
    </w:tbl>
    <w:p w14:paraId="1B0F94BF">
      <w:pPr>
        <w:spacing w:line="360" w:lineRule="auto"/>
        <w:ind w:firstLine="480" w:firstLineChars="200"/>
        <w:rPr>
          <w:rFonts w:cs="宋体"/>
          <w:sz w:val="24"/>
          <w:szCs w:val="24"/>
        </w:rPr>
      </w:pPr>
      <w:r>
        <w:rPr>
          <w:rFonts w:hint="eastAsia" w:cs="宋体"/>
          <w:sz w:val="24"/>
          <w:szCs w:val="24"/>
        </w:rPr>
        <w:t>说明：1、上述报价不计入投标报价中，仅供招标人评标时参考，后续设备日常运行中招标人可自行决定供方；</w:t>
      </w:r>
    </w:p>
    <w:p w14:paraId="3FCA35CF">
      <w:pPr>
        <w:spacing w:line="360" w:lineRule="auto"/>
        <w:ind w:firstLine="1200" w:firstLineChars="500"/>
        <w:rPr>
          <w:rFonts w:cs="宋体"/>
          <w:sz w:val="24"/>
          <w:szCs w:val="24"/>
        </w:rPr>
      </w:pPr>
      <w:r>
        <w:rPr>
          <w:rFonts w:hint="eastAsia" w:cs="宋体"/>
          <w:sz w:val="24"/>
          <w:szCs w:val="24"/>
        </w:rPr>
        <w:t>2、中标人在合同签订后三年内不得对上述报价上浮，在价格下调时也应给招标人同等优惠。</w:t>
      </w:r>
    </w:p>
    <w:p w14:paraId="4B7F188C">
      <w:pPr>
        <w:autoSpaceDE w:val="0"/>
        <w:autoSpaceDN w:val="0"/>
        <w:adjustRightInd w:val="0"/>
        <w:jc w:val="left"/>
        <w:rPr>
          <w:rFonts w:cs="宋体"/>
          <w:kern w:val="0"/>
          <w:sz w:val="28"/>
          <w:szCs w:val="28"/>
        </w:rPr>
      </w:pPr>
    </w:p>
    <w:p w14:paraId="65DD7E3C">
      <w:pPr>
        <w:snapToGrid w:val="0"/>
        <w:spacing w:line="480" w:lineRule="auto"/>
        <w:ind w:firstLine="420" w:firstLineChars="200"/>
        <w:jc w:val="right"/>
        <w:rPr>
          <w:rFonts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7D40B9A8">
      <w:pPr>
        <w:autoSpaceDE w:val="0"/>
        <w:autoSpaceDN w:val="0"/>
        <w:adjustRightInd w:val="0"/>
        <w:snapToGri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371F5785">
      <w:pPr>
        <w:spacing w:line="360" w:lineRule="auto"/>
        <w:jc w:val="center"/>
        <w:rPr>
          <w:rFonts w:cs="宋体"/>
          <w:b/>
          <w:bCs/>
          <w:sz w:val="28"/>
          <w:szCs w:val="28"/>
          <w:lang w:bidi="zh-CN"/>
        </w:rPr>
      </w:pPr>
      <w:r>
        <w:rPr>
          <w:rFonts w:hint="eastAsia" w:cs="宋体"/>
          <w:b/>
          <w:bCs/>
          <w:sz w:val="28"/>
          <w:szCs w:val="28"/>
          <w:lang w:bidi="zh-CN"/>
        </w:rPr>
        <w:t>五、其他</w:t>
      </w:r>
    </w:p>
    <w:p w14:paraId="486D5BF6">
      <w:pPr>
        <w:spacing w:line="360" w:lineRule="auto"/>
        <w:ind w:firstLine="480" w:firstLineChars="200"/>
        <w:rPr>
          <w:rFonts w:cs="宋体"/>
          <w:sz w:val="24"/>
        </w:rPr>
      </w:pPr>
    </w:p>
    <w:p w14:paraId="266DD39F">
      <w:pPr>
        <w:spacing w:line="360" w:lineRule="auto"/>
        <w:ind w:firstLine="480" w:firstLineChars="200"/>
        <w:rPr>
          <w:rFonts w:cs="宋体"/>
          <w:b/>
          <w:bCs/>
          <w:sz w:val="36"/>
          <w:szCs w:val="36"/>
        </w:rPr>
      </w:pPr>
      <w:r>
        <w:rPr>
          <w:rFonts w:hint="eastAsia" w:cs="宋体"/>
          <w:sz w:val="24"/>
        </w:rPr>
        <w:t>投标人认为应提交的其他材料，可在此附件中提交。</w:t>
      </w:r>
    </w:p>
    <w:p w14:paraId="5E5C39C6">
      <w:pPr>
        <w:rPr>
          <w:rFonts w:cs="宋体"/>
          <w:sz w:val="28"/>
          <w:szCs w:val="28"/>
        </w:rPr>
      </w:pPr>
      <w:r>
        <w:rPr>
          <w:rFonts w:hint="eastAsia" w:cs="宋体"/>
          <w:sz w:val="28"/>
          <w:szCs w:val="28"/>
        </w:rPr>
        <w:t xml:space="preserve"> </w:t>
      </w:r>
    </w:p>
    <w:p w14:paraId="132157EB">
      <w:pPr>
        <w:autoSpaceDE w:val="0"/>
        <w:autoSpaceDN w:val="0"/>
        <w:adjustRightInd w:val="0"/>
        <w:jc w:val="left"/>
        <w:rPr>
          <w:rFonts w:cs="宋体"/>
          <w:kern w:val="0"/>
          <w:sz w:val="28"/>
          <w:szCs w:val="28"/>
        </w:rPr>
      </w:pPr>
    </w:p>
    <w:p w14:paraId="013696EF">
      <w:pPr>
        <w:autoSpaceDE w:val="0"/>
        <w:autoSpaceDN w:val="0"/>
        <w:adjustRightInd w:val="0"/>
        <w:jc w:val="left"/>
        <w:rPr>
          <w:rFonts w:cs="宋体"/>
          <w:kern w:val="0"/>
          <w:sz w:val="28"/>
          <w:szCs w:val="28"/>
        </w:rPr>
      </w:pPr>
    </w:p>
    <w:p w14:paraId="26490A05">
      <w:pPr>
        <w:snapToGrid w:val="0"/>
        <w:spacing w:line="480" w:lineRule="auto"/>
        <w:ind w:firstLine="420" w:firstLineChars="200"/>
        <w:jc w:val="right"/>
        <w:rPr>
          <w:rFonts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5B122853">
      <w:pPr>
        <w:autoSpaceDE w:val="0"/>
        <w:autoSpaceDN w:val="0"/>
        <w:adjustRightInd w:val="0"/>
        <w:snapToGri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62A1DA92">
      <w:pPr>
        <w:autoSpaceDE w:val="0"/>
        <w:autoSpaceDN w:val="0"/>
        <w:adjustRightInd w:val="0"/>
        <w:snapToGrid w:val="0"/>
        <w:spacing w:line="480" w:lineRule="auto"/>
        <w:rPr>
          <w:rFonts w:cs="宋体"/>
          <w:b/>
          <w:bCs/>
          <w:kern w:val="0"/>
          <w:sz w:val="28"/>
          <w:szCs w:val="28"/>
          <w:lang w:bidi="zh-CN"/>
        </w:rPr>
      </w:pPr>
    </w:p>
    <w:p w14:paraId="764AF019">
      <w:pPr>
        <w:pStyle w:val="39"/>
        <w:jc w:val="left"/>
        <w:rPr>
          <w:rFonts w:hint="eastAsia"/>
        </w:rPr>
        <w:sectPr>
          <w:pgSz w:w="11906" w:h="16838"/>
          <w:pgMar w:top="1440" w:right="1797" w:bottom="1440" w:left="1797" w:header="851" w:footer="992" w:gutter="0"/>
          <w:cols w:space="425" w:num="1"/>
          <w:docGrid w:linePitch="312" w:charSpace="0"/>
        </w:sectPr>
      </w:pPr>
    </w:p>
    <w:p w14:paraId="33E9DFDA">
      <w:pPr>
        <w:widowControl/>
        <w:kinsoku w:val="0"/>
        <w:autoSpaceDE w:val="0"/>
        <w:autoSpaceDN w:val="0"/>
        <w:adjustRightInd w:val="0"/>
        <w:snapToGrid w:val="0"/>
        <w:spacing w:line="360" w:lineRule="auto"/>
        <w:jc w:val="center"/>
        <w:textAlignment w:val="baseline"/>
        <w:outlineLvl w:val="0"/>
        <w:rPr>
          <w:rFonts w:hint="eastAsia" w:ascii="仿宋" w:hAnsi="仿宋" w:eastAsia="仿宋" w:cs="仿宋"/>
          <w:sz w:val="32"/>
          <w:szCs w:val="32"/>
        </w:rPr>
      </w:pPr>
      <w:bookmarkStart w:id="303" w:name="_Toc7492"/>
      <w:bookmarkStart w:id="304" w:name="_Toc11685"/>
      <w:r>
        <w:rPr>
          <w:rFonts w:hint="eastAsia" w:ascii="仿宋" w:hAnsi="仿宋" w:eastAsia="仿宋" w:cs="仿宋"/>
          <w:b/>
          <w:bCs/>
          <w:sz w:val="44"/>
          <w:szCs w:val="44"/>
        </w:rPr>
        <w:t>廉洁承诺书</w:t>
      </w:r>
      <w:bookmarkEnd w:id="303"/>
      <w:bookmarkEnd w:id="304"/>
    </w:p>
    <w:p w14:paraId="2E3D6FE9">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为落实廉洁自律有关规定，打击贿赂、以权谋私等违法犯罪行为，维护员工职业操守，本单位对参加厦工（三明）重型机器有限公司项目中承诺：</w:t>
      </w:r>
    </w:p>
    <w:p w14:paraId="05FAFC97">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一、严格遵守党中央制定的有关廉政建设的条例、规定和国家制定的有关廉政建设的法律、法规，遵守厦工（三明）重型机器有限公司有关廉政建设的各项规定，坚持诚实信用、公平竞争的原则，为项目提供优质服务。</w:t>
      </w:r>
    </w:p>
    <w:p w14:paraId="08B8D027">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对我公司人员进行廉政教育、党纪政纪和法律法规教育，在投标中不以向招标人或者评标小组成员行贿的手段谋取中标。在投标过程中不以任何借口和方式向厦工（三明）重型机器有限公司的招标工作人员及其亲属馈赠礼金、礼品（含有价证券）；不向厦工（三明）重型机器有限公司的工作人员提供任何应由其个人支付报酬的劳务（如：建、修住宅等）、其他服务及其费用；不为厦工（三明）重型机器有限公司的工作人员安排可能影响公正进行投标工作的宴请、旅游或变相旅游等一切活动；不为厦工（三明）重型机器有限公司的工作人员报销任何名义的个人消费凭证；不为厦工（三明）重型机器有限公司的工作人员安排违反社会公德的活动；不为厦工（三明）重型机器有限公司的工作人员提供经商、办企业、消费提供特殊便利或优惠等。</w:t>
      </w:r>
    </w:p>
    <w:p w14:paraId="35160A7C">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三、在投标过程中不擅自组织任何可能影响公正进行投标工作的活动，不相互串通投标报价、不排挤其他投标人的公平竞争。</w:t>
      </w:r>
    </w:p>
    <w:p w14:paraId="299D183B">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四、自觉接受监督，本单位及员工若有违反本承诺书（包括但不限于本承诺书所列举禁止行为的），一经发现，招标人有权取消我公司投标资格，投标结果无效。</w:t>
      </w:r>
    </w:p>
    <w:p w14:paraId="0AB75977">
      <w:pPr>
        <w:widowControl/>
        <w:kinsoku w:val="0"/>
        <w:autoSpaceDE w:val="0"/>
        <w:autoSpaceDN w:val="0"/>
        <w:adjustRightInd w:val="0"/>
        <w:snapToGrid w:val="0"/>
        <w:spacing w:line="360" w:lineRule="auto"/>
        <w:textAlignment w:val="baseline"/>
        <w:rPr>
          <w:rFonts w:hint="eastAsia" w:ascii="仿宋" w:hAnsi="仿宋" w:eastAsia="仿宋" w:cs="仿宋"/>
          <w:sz w:val="32"/>
          <w:szCs w:val="32"/>
        </w:rPr>
      </w:pPr>
    </w:p>
    <w:p w14:paraId="36EFEF64">
      <w:pPr>
        <w:widowControl/>
        <w:kinsoku w:val="0"/>
        <w:autoSpaceDE w:val="0"/>
        <w:autoSpaceDN w:val="0"/>
        <w:adjustRightInd w:val="0"/>
        <w:snapToGrid w:val="0"/>
        <w:spacing w:line="360" w:lineRule="auto"/>
        <w:textAlignment w:val="baseline"/>
        <w:rPr>
          <w:rFonts w:hint="eastAsia" w:ascii="仿宋" w:hAnsi="仿宋" w:eastAsia="仿宋" w:cs="仿宋"/>
          <w:sz w:val="32"/>
          <w:szCs w:val="32"/>
        </w:rPr>
      </w:pPr>
    </w:p>
    <w:p w14:paraId="2DBF9BE8">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投标人名称（盖章）:               </w:t>
      </w:r>
    </w:p>
    <w:p w14:paraId="2ACCDF2F">
      <w:pPr>
        <w:widowControl/>
        <w:kinsoku w:val="0"/>
        <w:autoSpaceDE w:val="0"/>
        <w:autoSpaceDN w:val="0"/>
        <w:adjustRightInd w:val="0"/>
        <w:snapToGrid w:val="0"/>
        <w:spacing w:line="360" w:lineRule="auto"/>
        <w:ind w:left="4478" w:leftChars="304" w:hanging="3840" w:hangingChars="1200"/>
        <w:textAlignment w:val="baseline"/>
        <w:rPr>
          <w:rFonts w:hint="eastAsia" w:ascii="仿宋" w:hAnsi="仿宋" w:eastAsia="仿宋" w:cs="仿宋"/>
          <w:sz w:val="32"/>
          <w:szCs w:val="32"/>
        </w:rPr>
      </w:pPr>
      <w:r>
        <w:rPr>
          <w:rFonts w:hint="eastAsia" w:ascii="仿宋" w:hAnsi="仿宋" w:eastAsia="仿宋" w:cs="仿宋"/>
          <w:sz w:val="32"/>
          <w:szCs w:val="32"/>
        </w:rPr>
        <w:t>法定代表人（盖章或签字）:</w:t>
      </w:r>
    </w:p>
    <w:p w14:paraId="109AE7FE">
      <w:pPr>
        <w:widowControl/>
        <w:kinsoku w:val="0"/>
        <w:autoSpaceDE w:val="0"/>
        <w:autoSpaceDN w:val="0"/>
        <w:adjustRightInd w:val="0"/>
        <w:snapToGrid w:val="0"/>
        <w:spacing w:line="360" w:lineRule="auto"/>
        <w:ind w:left="4478" w:leftChars="304" w:hanging="3840" w:hangingChars="1200"/>
        <w:textAlignment w:val="baseline"/>
        <w:rPr>
          <w:rFonts w:hint="eastAsia" w:ascii="仿宋" w:hAnsi="仿宋" w:eastAsia="仿宋" w:cs="仿宋"/>
          <w:sz w:val="32"/>
          <w:szCs w:val="32"/>
        </w:rPr>
      </w:pPr>
      <w:r>
        <w:rPr>
          <w:rFonts w:hint="eastAsia" w:ascii="仿宋" w:hAnsi="仿宋" w:eastAsia="仿宋" w:cs="仿宋"/>
          <w:sz w:val="32"/>
          <w:szCs w:val="32"/>
        </w:rPr>
        <w:t xml:space="preserve">联系电话：              </w:t>
      </w:r>
    </w:p>
    <w:p w14:paraId="21C2AD8D">
      <w:pPr>
        <w:widowControl/>
        <w:kinsoku w:val="0"/>
        <w:autoSpaceDE w:val="0"/>
        <w:autoSpaceDN w:val="0"/>
        <w:adjustRightInd w:val="0"/>
        <w:snapToGrid w:val="0"/>
        <w:spacing w:line="360" w:lineRule="auto"/>
        <w:ind w:firstLine="640" w:firstLineChars="200"/>
        <w:textAlignment w:val="baseline"/>
        <w:rPr>
          <w:rFonts w:hint="eastAsia" w:ascii="宋体" w:hAnsi="宋体" w:cs="宋体"/>
          <w:sz w:val="32"/>
          <w:szCs w:val="32"/>
        </w:rPr>
      </w:pPr>
      <w:r>
        <w:rPr>
          <w:rFonts w:hint="eastAsia" w:ascii="仿宋" w:hAnsi="仿宋" w:eastAsia="仿宋" w:cs="仿宋"/>
          <w:sz w:val="32"/>
          <w:szCs w:val="32"/>
        </w:rPr>
        <w:t xml:space="preserve">日期：              </w:t>
      </w:r>
    </w:p>
    <w:p w14:paraId="4488CF7E">
      <w:pPr>
        <w:pStyle w:val="39"/>
        <w:jc w:val="left"/>
        <w:rPr>
          <w:rFonts w:hint="eastAsia"/>
        </w:rPr>
      </w:pPr>
    </w:p>
    <w:sectPr>
      <w:footerReference r:id="rId9" w:type="default"/>
      <w:pgSz w:w="11900" w:h="16838"/>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五">
    <w:altName w:val="黑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64606"/>
    </w:sdtPr>
    <w:sdtContent>
      <w:p w14:paraId="0F1793DA">
        <w:pPr>
          <w:pStyle w:val="19"/>
          <w:spacing w:after="120"/>
          <w:jc w:val="center"/>
        </w:pPr>
        <w:r>
          <w:fldChar w:fldCharType="begin"/>
        </w:r>
        <w:r>
          <w:instrText xml:space="preserve">PAGE   \* MERGEFORMAT</w:instrText>
        </w:r>
        <w:r>
          <w:fldChar w:fldCharType="separate"/>
        </w:r>
        <w:r>
          <w:rPr>
            <w:lang w:val="zh-CN"/>
          </w:rPr>
          <w:t>5</w:t>
        </w:r>
        <w:r>
          <w:fldChar w:fldCharType="end"/>
        </w:r>
      </w:p>
    </w:sdtContent>
  </w:sdt>
  <w:p w14:paraId="168FC8AC">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8AE2">
    <w:pPr>
      <w:pStyle w:val="19"/>
      <w:ind w:right="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1F89BD">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81</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2C1F89BD">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81</w:t>
                    </w:r>
                    <w:r>
                      <w:fldChar w:fldCharType="end"/>
                    </w:r>
                    <w:r>
                      <w:rPr>
                        <w:rFonts w:hint="eastAsia"/>
                      </w:rPr>
                      <w:t xml:space="preserve"> 页</w:t>
                    </w:r>
                  </w:p>
                </w:txbxContent>
              </v:textbox>
            </v:shape>
          </w:pict>
        </mc:Fallback>
      </mc:AlternateContent>
    </w:r>
  </w:p>
  <w:p w14:paraId="2C82B9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E7D71">
    <w:pPr>
      <w:pStyle w:val="1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A98C1">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B488C">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67C24"/>
    <w:multiLevelType w:val="singleLevel"/>
    <w:tmpl w:val="84C67C24"/>
    <w:lvl w:ilvl="0" w:tentative="0">
      <w:start w:val="1"/>
      <w:numFmt w:val="decimal"/>
      <w:suff w:val="nothing"/>
      <w:lvlText w:val="（%1）"/>
      <w:lvlJc w:val="left"/>
    </w:lvl>
  </w:abstractNum>
  <w:abstractNum w:abstractNumId="1">
    <w:nsid w:val="976B433A"/>
    <w:multiLevelType w:val="singleLevel"/>
    <w:tmpl w:val="976B433A"/>
    <w:lvl w:ilvl="0" w:tentative="0">
      <w:start w:val="1"/>
      <w:numFmt w:val="decimal"/>
      <w:suff w:val="nothing"/>
      <w:lvlText w:val="%1、"/>
      <w:lvlJc w:val="left"/>
    </w:lvl>
  </w:abstractNum>
  <w:abstractNum w:abstractNumId="2">
    <w:nsid w:val="06021B0D"/>
    <w:multiLevelType w:val="multilevel"/>
    <w:tmpl w:val="06021B0D"/>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07544C16"/>
    <w:multiLevelType w:val="multilevel"/>
    <w:tmpl w:val="07544C16"/>
    <w:lvl w:ilvl="0" w:tentative="0">
      <w:start w:val="1"/>
      <w:numFmt w:val="decimal"/>
      <w:lvlText w:val="%1)"/>
      <w:lvlJc w:val="left"/>
      <w:pPr>
        <w:tabs>
          <w:tab w:val="left" w:pos="900"/>
        </w:tabs>
        <w:ind w:left="900" w:hanging="420"/>
      </w:pPr>
      <w:rPr>
        <w:rFonts w:hint="default" w:ascii="宋体" w:hAnsi="宋体" w:eastAsia="宋体" w:cs="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4">
    <w:nsid w:val="08D2698D"/>
    <w:multiLevelType w:val="singleLevel"/>
    <w:tmpl w:val="08D2698D"/>
    <w:lvl w:ilvl="0" w:tentative="0">
      <w:start w:val="1"/>
      <w:numFmt w:val="chineseCounting"/>
      <w:suff w:val="nothing"/>
      <w:lvlText w:val="%1、"/>
      <w:lvlJc w:val="left"/>
      <w:rPr>
        <w:rFonts w:hint="eastAsia"/>
      </w:rPr>
    </w:lvl>
  </w:abstractNum>
  <w:abstractNum w:abstractNumId="5">
    <w:nsid w:val="137B4549"/>
    <w:multiLevelType w:val="singleLevel"/>
    <w:tmpl w:val="137B4549"/>
    <w:lvl w:ilvl="0" w:tentative="0">
      <w:start w:val="1"/>
      <w:numFmt w:val="decimal"/>
      <w:suff w:val="space"/>
      <w:lvlText w:val="%1."/>
      <w:lvlJc w:val="left"/>
      <w:pPr>
        <w:ind w:left="635" w:hanging="425"/>
      </w:pPr>
      <w:rPr>
        <w:rFonts w:hint="default"/>
      </w:rPr>
    </w:lvl>
  </w:abstractNum>
  <w:abstractNum w:abstractNumId="6">
    <w:nsid w:val="1C18630E"/>
    <w:multiLevelType w:val="singleLevel"/>
    <w:tmpl w:val="1C18630E"/>
    <w:lvl w:ilvl="0" w:tentative="0">
      <w:start w:val="1"/>
      <w:numFmt w:val="decimal"/>
      <w:lvlText w:val="(%1)"/>
      <w:lvlJc w:val="left"/>
      <w:pPr>
        <w:ind w:left="425" w:hanging="425"/>
      </w:pPr>
      <w:rPr>
        <w:rFonts w:hint="default"/>
      </w:rPr>
    </w:lvl>
  </w:abstractNum>
  <w:abstractNum w:abstractNumId="7">
    <w:nsid w:val="1EE7E07A"/>
    <w:multiLevelType w:val="singleLevel"/>
    <w:tmpl w:val="1EE7E07A"/>
    <w:lvl w:ilvl="0" w:tentative="0">
      <w:start w:val="1"/>
      <w:numFmt w:val="decimal"/>
      <w:lvlText w:val="(%1)"/>
      <w:lvlJc w:val="left"/>
      <w:pPr>
        <w:ind w:left="425" w:hanging="425"/>
      </w:pPr>
      <w:rPr>
        <w:rFonts w:hint="default"/>
      </w:rPr>
    </w:lvl>
  </w:abstractNum>
  <w:abstractNum w:abstractNumId="8">
    <w:nsid w:val="21AE2FE4"/>
    <w:multiLevelType w:val="singleLevel"/>
    <w:tmpl w:val="21AE2FE4"/>
    <w:lvl w:ilvl="0" w:tentative="0">
      <w:start w:val="1"/>
      <w:numFmt w:val="decimal"/>
      <w:lvlText w:val="(%1)"/>
      <w:lvlJc w:val="left"/>
      <w:pPr>
        <w:ind w:left="425" w:hanging="425"/>
      </w:pPr>
      <w:rPr>
        <w:rFonts w:hint="default"/>
      </w:rPr>
    </w:lvl>
  </w:abstractNum>
  <w:abstractNum w:abstractNumId="9">
    <w:nsid w:val="2B673BA4"/>
    <w:multiLevelType w:val="multilevel"/>
    <w:tmpl w:val="2B673BA4"/>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964"/>
        </w:tabs>
        <w:ind w:left="0" w:firstLine="425"/>
      </w:pPr>
      <w:rPr>
        <w:rFonts w:hint="eastAsia" w:ascii="宋体" w:hAnsi="宋体" w:eastAsia="宋体"/>
      </w:rPr>
    </w:lvl>
    <w:lvl w:ilvl="2" w:tentative="0">
      <w:start w:val="1"/>
      <w:numFmt w:val="decimal"/>
      <w:lvlText w:val="%1.%2.%3"/>
      <w:lvlJc w:val="left"/>
      <w:pPr>
        <w:tabs>
          <w:tab w:val="left" w:pos="964"/>
        </w:tabs>
        <w:ind w:left="0" w:firstLine="425"/>
      </w:pPr>
      <w:rPr>
        <w:rFonts w:hint="default" w:ascii="宋体" w:hAnsi="宋体" w:eastAsia="宋体"/>
        <w:sz w:val="20"/>
        <w:szCs w:val="20"/>
      </w:rPr>
    </w:lvl>
    <w:lvl w:ilvl="3" w:tentative="0">
      <w:start w:val="1"/>
      <w:numFmt w:val="decimal"/>
      <w:lvlText w:val="%1.%2.%3.%4"/>
      <w:lvlJc w:val="left"/>
      <w:pPr>
        <w:tabs>
          <w:tab w:val="left" w:pos="964"/>
        </w:tabs>
        <w:ind w:left="113" w:firstLine="312"/>
      </w:pPr>
      <w:rPr>
        <w:rFonts w:hint="eastAsia" w:ascii="宋体" w:hAnsi="宋体" w:eastAsia="宋体"/>
      </w:rPr>
    </w:lvl>
    <w:lvl w:ilvl="4" w:tentative="0">
      <w:start w:val="1"/>
      <w:numFmt w:val="decimal"/>
      <w:lvlText w:val="%1.%2.%3.%4.%5"/>
      <w:lvlJc w:val="left"/>
      <w:pPr>
        <w:tabs>
          <w:tab w:val="left" w:pos="3141"/>
        </w:tabs>
        <w:ind w:left="2551" w:hanging="850"/>
      </w:pPr>
      <w:rPr>
        <w:rFonts w:hint="eastAsia" w:ascii="宋体" w:hAnsi="宋体" w:eastAsia="宋体"/>
      </w:rPr>
    </w:lvl>
    <w:lvl w:ilvl="5" w:tentative="0">
      <w:start w:val="1"/>
      <w:numFmt w:val="decimal"/>
      <w:lvlText w:val="%1.%2.%3.%4.%5.%6"/>
      <w:lvlJc w:val="left"/>
      <w:pPr>
        <w:tabs>
          <w:tab w:val="left" w:pos="3566"/>
        </w:tabs>
        <w:ind w:left="3260" w:hanging="1134"/>
      </w:pPr>
      <w:rPr>
        <w:rFonts w:hint="eastAsia" w:ascii="宋体" w:hAnsi="宋体" w:eastAsia="宋体"/>
      </w:rPr>
    </w:lvl>
    <w:lvl w:ilvl="6" w:tentative="0">
      <w:start w:val="1"/>
      <w:numFmt w:val="decimal"/>
      <w:lvlText w:val="%1.%2.%3.%4.%5.%6.%7"/>
      <w:lvlJc w:val="left"/>
      <w:pPr>
        <w:tabs>
          <w:tab w:val="left" w:pos="4351"/>
        </w:tabs>
        <w:ind w:left="3827" w:hanging="1276"/>
      </w:pPr>
      <w:rPr>
        <w:rFonts w:hint="eastAsia" w:ascii="宋体" w:hAnsi="宋体" w:eastAsia="宋体"/>
      </w:rPr>
    </w:lvl>
    <w:lvl w:ilvl="7" w:tentative="0">
      <w:start w:val="1"/>
      <w:numFmt w:val="decimal"/>
      <w:lvlText w:val="%1.%2.%3.%4.%5.%6.%7.%8"/>
      <w:lvlJc w:val="left"/>
      <w:pPr>
        <w:tabs>
          <w:tab w:val="left" w:pos="5136"/>
        </w:tabs>
        <w:ind w:left="4394" w:hanging="1418"/>
      </w:pPr>
      <w:rPr>
        <w:rFonts w:hint="eastAsia" w:ascii="宋体" w:hAnsi="宋体" w:eastAsia="宋体"/>
      </w:rPr>
    </w:lvl>
    <w:lvl w:ilvl="8" w:tentative="0">
      <w:start w:val="1"/>
      <w:numFmt w:val="decimal"/>
      <w:lvlText w:val="%1.%2.%3.%4.%5.%6.%7.%8.%9"/>
      <w:lvlJc w:val="left"/>
      <w:pPr>
        <w:tabs>
          <w:tab w:val="left" w:pos="5562"/>
        </w:tabs>
        <w:ind w:left="5102" w:hanging="1700"/>
      </w:pPr>
      <w:rPr>
        <w:rFonts w:hint="eastAsia" w:ascii="宋体" w:hAnsi="宋体" w:eastAsia="宋体"/>
      </w:rPr>
    </w:lvl>
  </w:abstractNum>
  <w:abstractNum w:abstractNumId="10">
    <w:nsid w:val="3019BA0C"/>
    <w:multiLevelType w:val="singleLevel"/>
    <w:tmpl w:val="3019BA0C"/>
    <w:lvl w:ilvl="0" w:tentative="0">
      <w:start w:val="7"/>
      <w:numFmt w:val="decimal"/>
      <w:suff w:val="nothing"/>
      <w:lvlText w:val="%1、"/>
      <w:lvlJc w:val="left"/>
    </w:lvl>
  </w:abstractNum>
  <w:abstractNum w:abstractNumId="11">
    <w:nsid w:val="3956A395"/>
    <w:multiLevelType w:val="singleLevel"/>
    <w:tmpl w:val="3956A395"/>
    <w:lvl w:ilvl="0" w:tentative="0">
      <w:start w:val="1"/>
      <w:numFmt w:val="decimal"/>
      <w:lvlText w:val="%1."/>
      <w:lvlJc w:val="left"/>
      <w:pPr>
        <w:tabs>
          <w:tab w:val="left" w:pos="312"/>
        </w:tabs>
      </w:pPr>
    </w:lvl>
  </w:abstractNum>
  <w:abstractNum w:abstractNumId="12">
    <w:nsid w:val="597B3712"/>
    <w:multiLevelType w:val="singleLevel"/>
    <w:tmpl w:val="597B3712"/>
    <w:lvl w:ilvl="0" w:tentative="0">
      <w:start w:val="1"/>
      <w:numFmt w:val="decimal"/>
      <w:suff w:val="nothing"/>
      <w:lvlText w:val="（%1）"/>
      <w:lvlJc w:val="left"/>
    </w:lvl>
  </w:abstractNum>
  <w:abstractNum w:abstractNumId="13">
    <w:nsid w:val="691F0885"/>
    <w:multiLevelType w:val="multilevel"/>
    <w:tmpl w:val="691F0885"/>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4">
    <w:nsid w:val="7F0C3462"/>
    <w:multiLevelType w:val="multilevel"/>
    <w:tmpl w:val="7F0C3462"/>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FF02C12"/>
    <w:multiLevelType w:val="singleLevel"/>
    <w:tmpl w:val="7FF02C12"/>
    <w:lvl w:ilvl="0" w:tentative="0">
      <w:start w:val="1"/>
      <w:numFmt w:val="decimal"/>
      <w:lvlText w:val="%1."/>
      <w:lvlJc w:val="left"/>
      <w:pPr>
        <w:ind w:left="425" w:hanging="425"/>
      </w:pPr>
      <w:rPr>
        <w:rFonts w:hint="default"/>
      </w:rPr>
    </w:lvl>
  </w:abstractNum>
  <w:num w:numId="1">
    <w:abstractNumId w:val="10"/>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6"/>
  </w:num>
  <w:num w:numId="9">
    <w:abstractNumId w:val="8"/>
  </w:num>
  <w:num w:numId="10">
    <w:abstractNumId w:val="2"/>
  </w:num>
  <w:num w:numId="11">
    <w:abstractNumId w:val="7"/>
  </w:num>
  <w:num w:numId="12">
    <w:abstractNumId w:val="15"/>
  </w:num>
  <w:num w:numId="13">
    <w:abstractNumId w:val="5"/>
  </w:num>
  <w:num w:numId="14">
    <w:abstractNumId w:val="11"/>
  </w:num>
  <w:num w:numId="15">
    <w:abstractNumId w:val="14"/>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NDY1YzUwNDZiMDk3YjE2YmMyZjBjOTA5YjUxNmEifQ=="/>
  </w:docVars>
  <w:rsids>
    <w:rsidRoot w:val="005B291A"/>
    <w:rsid w:val="00001673"/>
    <w:rsid w:val="00003B34"/>
    <w:rsid w:val="00006666"/>
    <w:rsid w:val="00006733"/>
    <w:rsid w:val="00012A1A"/>
    <w:rsid w:val="00017EC3"/>
    <w:rsid w:val="00021761"/>
    <w:rsid w:val="00023432"/>
    <w:rsid w:val="00024909"/>
    <w:rsid w:val="00024C20"/>
    <w:rsid w:val="000267C8"/>
    <w:rsid w:val="00032DA2"/>
    <w:rsid w:val="00034DAF"/>
    <w:rsid w:val="00035996"/>
    <w:rsid w:val="00037102"/>
    <w:rsid w:val="00037F4E"/>
    <w:rsid w:val="0004095F"/>
    <w:rsid w:val="000422F6"/>
    <w:rsid w:val="00042908"/>
    <w:rsid w:val="00053F56"/>
    <w:rsid w:val="000544C5"/>
    <w:rsid w:val="000673B9"/>
    <w:rsid w:val="0006747A"/>
    <w:rsid w:val="00070B67"/>
    <w:rsid w:val="00070DA6"/>
    <w:rsid w:val="00074E09"/>
    <w:rsid w:val="0007730F"/>
    <w:rsid w:val="00080CFD"/>
    <w:rsid w:val="000817E6"/>
    <w:rsid w:val="00084052"/>
    <w:rsid w:val="000864B2"/>
    <w:rsid w:val="00087B35"/>
    <w:rsid w:val="00090127"/>
    <w:rsid w:val="0009188E"/>
    <w:rsid w:val="00092714"/>
    <w:rsid w:val="00095829"/>
    <w:rsid w:val="000A64A8"/>
    <w:rsid w:val="000A68B1"/>
    <w:rsid w:val="000A6E76"/>
    <w:rsid w:val="000B3A03"/>
    <w:rsid w:val="000C53B8"/>
    <w:rsid w:val="000D11ED"/>
    <w:rsid w:val="000D1AEF"/>
    <w:rsid w:val="000D76A1"/>
    <w:rsid w:val="000E2BAF"/>
    <w:rsid w:val="000E2C51"/>
    <w:rsid w:val="000E3E4F"/>
    <w:rsid w:val="000E480B"/>
    <w:rsid w:val="000E6C68"/>
    <w:rsid w:val="000E777F"/>
    <w:rsid w:val="000F1201"/>
    <w:rsid w:val="000F5080"/>
    <w:rsid w:val="000F6359"/>
    <w:rsid w:val="000F7FBB"/>
    <w:rsid w:val="001029FE"/>
    <w:rsid w:val="00112757"/>
    <w:rsid w:val="001168F5"/>
    <w:rsid w:val="00122617"/>
    <w:rsid w:val="00126812"/>
    <w:rsid w:val="00130580"/>
    <w:rsid w:val="001345AA"/>
    <w:rsid w:val="00134CC3"/>
    <w:rsid w:val="00136961"/>
    <w:rsid w:val="001474CD"/>
    <w:rsid w:val="00154837"/>
    <w:rsid w:val="001567E2"/>
    <w:rsid w:val="00160960"/>
    <w:rsid w:val="00163DDD"/>
    <w:rsid w:val="00166E1F"/>
    <w:rsid w:val="00167784"/>
    <w:rsid w:val="00170B67"/>
    <w:rsid w:val="00171EC9"/>
    <w:rsid w:val="0017240F"/>
    <w:rsid w:val="001768AC"/>
    <w:rsid w:val="001777F1"/>
    <w:rsid w:val="00180D18"/>
    <w:rsid w:val="00180DDC"/>
    <w:rsid w:val="0018280D"/>
    <w:rsid w:val="0018388E"/>
    <w:rsid w:val="0018458F"/>
    <w:rsid w:val="00185F11"/>
    <w:rsid w:val="00191810"/>
    <w:rsid w:val="00197BA2"/>
    <w:rsid w:val="001A0208"/>
    <w:rsid w:val="001A1574"/>
    <w:rsid w:val="001A3D26"/>
    <w:rsid w:val="001B0ACC"/>
    <w:rsid w:val="001B1204"/>
    <w:rsid w:val="001B2032"/>
    <w:rsid w:val="001C21B6"/>
    <w:rsid w:val="001C45F6"/>
    <w:rsid w:val="001D062E"/>
    <w:rsid w:val="001D21B2"/>
    <w:rsid w:val="001D4FD8"/>
    <w:rsid w:val="001D5265"/>
    <w:rsid w:val="001E0538"/>
    <w:rsid w:val="001E0D89"/>
    <w:rsid w:val="001E160A"/>
    <w:rsid w:val="001E6A3D"/>
    <w:rsid w:val="001F0221"/>
    <w:rsid w:val="001F128E"/>
    <w:rsid w:val="001F2328"/>
    <w:rsid w:val="001F37B9"/>
    <w:rsid w:val="001F7E1C"/>
    <w:rsid w:val="00200351"/>
    <w:rsid w:val="002044DB"/>
    <w:rsid w:val="00205EBE"/>
    <w:rsid w:val="002074CA"/>
    <w:rsid w:val="00211659"/>
    <w:rsid w:val="00232A4D"/>
    <w:rsid w:val="0023469A"/>
    <w:rsid w:val="00234C79"/>
    <w:rsid w:val="00236E7C"/>
    <w:rsid w:val="00246878"/>
    <w:rsid w:val="002475A8"/>
    <w:rsid w:val="00251D97"/>
    <w:rsid w:val="00252476"/>
    <w:rsid w:val="0025407F"/>
    <w:rsid w:val="002718DF"/>
    <w:rsid w:val="00271F86"/>
    <w:rsid w:val="00277E63"/>
    <w:rsid w:val="002819AA"/>
    <w:rsid w:val="00285DB2"/>
    <w:rsid w:val="00286B99"/>
    <w:rsid w:val="00290607"/>
    <w:rsid w:val="002924A2"/>
    <w:rsid w:val="00296C12"/>
    <w:rsid w:val="0029717E"/>
    <w:rsid w:val="0029796A"/>
    <w:rsid w:val="002A437B"/>
    <w:rsid w:val="002B1C05"/>
    <w:rsid w:val="002C3785"/>
    <w:rsid w:val="002D691A"/>
    <w:rsid w:val="002E0830"/>
    <w:rsid w:val="002E2684"/>
    <w:rsid w:val="002F0547"/>
    <w:rsid w:val="002F2CAE"/>
    <w:rsid w:val="002F51B1"/>
    <w:rsid w:val="002F525A"/>
    <w:rsid w:val="002F7D75"/>
    <w:rsid w:val="003042D0"/>
    <w:rsid w:val="00307B55"/>
    <w:rsid w:val="00307D21"/>
    <w:rsid w:val="003134A5"/>
    <w:rsid w:val="003144D0"/>
    <w:rsid w:val="00314767"/>
    <w:rsid w:val="00315FEA"/>
    <w:rsid w:val="003217DA"/>
    <w:rsid w:val="00321EF2"/>
    <w:rsid w:val="0032568B"/>
    <w:rsid w:val="003274CA"/>
    <w:rsid w:val="0033240D"/>
    <w:rsid w:val="0033542E"/>
    <w:rsid w:val="0033676E"/>
    <w:rsid w:val="00337847"/>
    <w:rsid w:val="003408B9"/>
    <w:rsid w:val="00341991"/>
    <w:rsid w:val="00343E1D"/>
    <w:rsid w:val="0034618F"/>
    <w:rsid w:val="00351597"/>
    <w:rsid w:val="00353B4F"/>
    <w:rsid w:val="00356D88"/>
    <w:rsid w:val="00361787"/>
    <w:rsid w:val="00365121"/>
    <w:rsid w:val="003722B5"/>
    <w:rsid w:val="003808DF"/>
    <w:rsid w:val="00382EB7"/>
    <w:rsid w:val="00385247"/>
    <w:rsid w:val="00387C50"/>
    <w:rsid w:val="00392DB6"/>
    <w:rsid w:val="00393DE9"/>
    <w:rsid w:val="00394719"/>
    <w:rsid w:val="00396227"/>
    <w:rsid w:val="003A02FA"/>
    <w:rsid w:val="003A2081"/>
    <w:rsid w:val="003A4EB6"/>
    <w:rsid w:val="003A5BC7"/>
    <w:rsid w:val="003A5DFE"/>
    <w:rsid w:val="003A7AC3"/>
    <w:rsid w:val="003A7FB5"/>
    <w:rsid w:val="003B0484"/>
    <w:rsid w:val="003B1345"/>
    <w:rsid w:val="003B5D19"/>
    <w:rsid w:val="003C0D6E"/>
    <w:rsid w:val="003C2E68"/>
    <w:rsid w:val="003C4E38"/>
    <w:rsid w:val="003C6171"/>
    <w:rsid w:val="003C736A"/>
    <w:rsid w:val="003D178F"/>
    <w:rsid w:val="003E0356"/>
    <w:rsid w:val="003E22A5"/>
    <w:rsid w:val="003E2525"/>
    <w:rsid w:val="003E3CDB"/>
    <w:rsid w:val="003E5889"/>
    <w:rsid w:val="003E5DF6"/>
    <w:rsid w:val="003E60E6"/>
    <w:rsid w:val="003E6D3F"/>
    <w:rsid w:val="003E7D77"/>
    <w:rsid w:val="003F0091"/>
    <w:rsid w:val="003F02A0"/>
    <w:rsid w:val="003F0E92"/>
    <w:rsid w:val="003F1009"/>
    <w:rsid w:val="003F2AD3"/>
    <w:rsid w:val="003F3BF0"/>
    <w:rsid w:val="003F642A"/>
    <w:rsid w:val="0040513C"/>
    <w:rsid w:val="0040589E"/>
    <w:rsid w:val="0040666E"/>
    <w:rsid w:val="00406CCA"/>
    <w:rsid w:val="00407F46"/>
    <w:rsid w:val="0041209D"/>
    <w:rsid w:val="00414945"/>
    <w:rsid w:val="004162F7"/>
    <w:rsid w:val="0041759C"/>
    <w:rsid w:val="0042041F"/>
    <w:rsid w:val="00420597"/>
    <w:rsid w:val="00421A8D"/>
    <w:rsid w:val="00425F27"/>
    <w:rsid w:val="004359A0"/>
    <w:rsid w:val="00437AAC"/>
    <w:rsid w:val="00437C20"/>
    <w:rsid w:val="00441DEA"/>
    <w:rsid w:val="00441F82"/>
    <w:rsid w:val="00443852"/>
    <w:rsid w:val="004457E1"/>
    <w:rsid w:val="00460E3A"/>
    <w:rsid w:val="00463C44"/>
    <w:rsid w:val="00473974"/>
    <w:rsid w:val="00475BBA"/>
    <w:rsid w:val="004812FC"/>
    <w:rsid w:val="004818EC"/>
    <w:rsid w:val="00487067"/>
    <w:rsid w:val="004872B6"/>
    <w:rsid w:val="00494005"/>
    <w:rsid w:val="0049421F"/>
    <w:rsid w:val="00495BE8"/>
    <w:rsid w:val="00496E94"/>
    <w:rsid w:val="0049722D"/>
    <w:rsid w:val="0049761D"/>
    <w:rsid w:val="004A49F9"/>
    <w:rsid w:val="004A4EE5"/>
    <w:rsid w:val="004B672F"/>
    <w:rsid w:val="004D02B1"/>
    <w:rsid w:val="004D41E3"/>
    <w:rsid w:val="004D4E88"/>
    <w:rsid w:val="004D7A2D"/>
    <w:rsid w:val="004E0F51"/>
    <w:rsid w:val="004E4001"/>
    <w:rsid w:val="004E4DEE"/>
    <w:rsid w:val="004E4F62"/>
    <w:rsid w:val="004E63A5"/>
    <w:rsid w:val="004E67CD"/>
    <w:rsid w:val="004F0C25"/>
    <w:rsid w:val="004F326D"/>
    <w:rsid w:val="004F405A"/>
    <w:rsid w:val="004F6EE9"/>
    <w:rsid w:val="004F7531"/>
    <w:rsid w:val="00500209"/>
    <w:rsid w:val="00503454"/>
    <w:rsid w:val="0050369B"/>
    <w:rsid w:val="005040A1"/>
    <w:rsid w:val="005050C1"/>
    <w:rsid w:val="00506C0F"/>
    <w:rsid w:val="00507646"/>
    <w:rsid w:val="00507726"/>
    <w:rsid w:val="00512C1E"/>
    <w:rsid w:val="005155C5"/>
    <w:rsid w:val="005169B6"/>
    <w:rsid w:val="00517E96"/>
    <w:rsid w:val="00517F52"/>
    <w:rsid w:val="00524BD8"/>
    <w:rsid w:val="00527C2B"/>
    <w:rsid w:val="00530EA4"/>
    <w:rsid w:val="00531023"/>
    <w:rsid w:val="00531486"/>
    <w:rsid w:val="00537C35"/>
    <w:rsid w:val="005408D0"/>
    <w:rsid w:val="00544DFC"/>
    <w:rsid w:val="00546005"/>
    <w:rsid w:val="0054689D"/>
    <w:rsid w:val="00547307"/>
    <w:rsid w:val="00550CA1"/>
    <w:rsid w:val="0055125A"/>
    <w:rsid w:val="00553481"/>
    <w:rsid w:val="00560475"/>
    <w:rsid w:val="00561B28"/>
    <w:rsid w:val="00562A24"/>
    <w:rsid w:val="00570E0F"/>
    <w:rsid w:val="00572A11"/>
    <w:rsid w:val="00573F7B"/>
    <w:rsid w:val="00574DBF"/>
    <w:rsid w:val="00575D26"/>
    <w:rsid w:val="0057605A"/>
    <w:rsid w:val="0058041C"/>
    <w:rsid w:val="00582E4D"/>
    <w:rsid w:val="00583BBF"/>
    <w:rsid w:val="00585DF4"/>
    <w:rsid w:val="00592674"/>
    <w:rsid w:val="00597DDF"/>
    <w:rsid w:val="005A03F5"/>
    <w:rsid w:val="005A1DC4"/>
    <w:rsid w:val="005A3775"/>
    <w:rsid w:val="005A38F2"/>
    <w:rsid w:val="005A42F7"/>
    <w:rsid w:val="005A4900"/>
    <w:rsid w:val="005A5740"/>
    <w:rsid w:val="005A5DA6"/>
    <w:rsid w:val="005B10D0"/>
    <w:rsid w:val="005B291A"/>
    <w:rsid w:val="005C13A0"/>
    <w:rsid w:val="005C2806"/>
    <w:rsid w:val="005C2E79"/>
    <w:rsid w:val="005C2FA5"/>
    <w:rsid w:val="005C348D"/>
    <w:rsid w:val="005D33E0"/>
    <w:rsid w:val="005D34D6"/>
    <w:rsid w:val="005D3751"/>
    <w:rsid w:val="005D3941"/>
    <w:rsid w:val="005E57ED"/>
    <w:rsid w:val="005F0BAA"/>
    <w:rsid w:val="005F122D"/>
    <w:rsid w:val="005F2CAA"/>
    <w:rsid w:val="006008C2"/>
    <w:rsid w:val="00600992"/>
    <w:rsid w:val="00606D51"/>
    <w:rsid w:val="006114A1"/>
    <w:rsid w:val="00612577"/>
    <w:rsid w:val="0061484F"/>
    <w:rsid w:val="00622E0A"/>
    <w:rsid w:val="00625259"/>
    <w:rsid w:val="00626FC0"/>
    <w:rsid w:val="00627673"/>
    <w:rsid w:val="00637C5F"/>
    <w:rsid w:val="0064084A"/>
    <w:rsid w:val="00643906"/>
    <w:rsid w:val="0064559F"/>
    <w:rsid w:val="00654B9E"/>
    <w:rsid w:val="00655254"/>
    <w:rsid w:val="006563B8"/>
    <w:rsid w:val="0065794B"/>
    <w:rsid w:val="00657E22"/>
    <w:rsid w:val="006646A8"/>
    <w:rsid w:val="00664AA2"/>
    <w:rsid w:val="00665C7F"/>
    <w:rsid w:val="00666EBF"/>
    <w:rsid w:val="0066788C"/>
    <w:rsid w:val="006724A4"/>
    <w:rsid w:val="0067303B"/>
    <w:rsid w:val="006776DE"/>
    <w:rsid w:val="00684BC9"/>
    <w:rsid w:val="00694A3C"/>
    <w:rsid w:val="006967F3"/>
    <w:rsid w:val="006971F9"/>
    <w:rsid w:val="006A4633"/>
    <w:rsid w:val="006A669D"/>
    <w:rsid w:val="006A6CBC"/>
    <w:rsid w:val="006A6EE6"/>
    <w:rsid w:val="006B05CE"/>
    <w:rsid w:val="006B25CB"/>
    <w:rsid w:val="006B28FA"/>
    <w:rsid w:val="006B2FAD"/>
    <w:rsid w:val="006B324F"/>
    <w:rsid w:val="006B4DA8"/>
    <w:rsid w:val="006C16AE"/>
    <w:rsid w:val="006C51FF"/>
    <w:rsid w:val="006C5FA3"/>
    <w:rsid w:val="006C7F39"/>
    <w:rsid w:val="006C7F7A"/>
    <w:rsid w:val="006D2112"/>
    <w:rsid w:val="006D4EC3"/>
    <w:rsid w:val="006D6594"/>
    <w:rsid w:val="006D70C9"/>
    <w:rsid w:val="006D72E0"/>
    <w:rsid w:val="006E204E"/>
    <w:rsid w:val="006E6D80"/>
    <w:rsid w:val="006E79C7"/>
    <w:rsid w:val="006F1BBE"/>
    <w:rsid w:val="006F2B0E"/>
    <w:rsid w:val="006F2EB3"/>
    <w:rsid w:val="006F326E"/>
    <w:rsid w:val="006F456F"/>
    <w:rsid w:val="006F4579"/>
    <w:rsid w:val="006F5D09"/>
    <w:rsid w:val="006F6001"/>
    <w:rsid w:val="006F733B"/>
    <w:rsid w:val="00700397"/>
    <w:rsid w:val="00700A5A"/>
    <w:rsid w:val="00702B50"/>
    <w:rsid w:val="0070390B"/>
    <w:rsid w:val="007054BC"/>
    <w:rsid w:val="00706AF0"/>
    <w:rsid w:val="00713C1B"/>
    <w:rsid w:val="00716295"/>
    <w:rsid w:val="00722C14"/>
    <w:rsid w:val="007269F5"/>
    <w:rsid w:val="0072777B"/>
    <w:rsid w:val="007344D3"/>
    <w:rsid w:val="00735732"/>
    <w:rsid w:val="00736840"/>
    <w:rsid w:val="0073694A"/>
    <w:rsid w:val="00741A9E"/>
    <w:rsid w:val="007426DA"/>
    <w:rsid w:val="00744CE5"/>
    <w:rsid w:val="00751F54"/>
    <w:rsid w:val="007535E4"/>
    <w:rsid w:val="00760055"/>
    <w:rsid w:val="00762480"/>
    <w:rsid w:val="00766D9F"/>
    <w:rsid w:val="00772FAB"/>
    <w:rsid w:val="0077375D"/>
    <w:rsid w:val="00774CC6"/>
    <w:rsid w:val="00785400"/>
    <w:rsid w:val="00792EC9"/>
    <w:rsid w:val="007931E5"/>
    <w:rsid w:val="0079320D"/>
    <w:rsid w:val="00793A6C"/>
    <w:rsid w:val="0079535E"/>
    <w:rsid w:val="007975FA"/>
    <w:rsid w:val="00797D5B"/>
    <w:rsid w:val="007A194C"/>
    <w:rsid w:val="007A1AB4"/>
    <w:rsid w:val="007A2225"/>
    <w:rsid w:val="007A3B62"/>
    <w:rsid w:val="007A5D46"/>
    <w:rsid w:val="007C05F1"/>
    <w:rsid w:val="007C3B5F"/>
    <w:rsid w:val="007C7805"/>
    <w:rsid w:val="007D3514"/>
    <w:rsid w:val="007D3728"/>
    <w:rsid w:val="007D423C"/>
    <w:rsid w:val="007E0A63"/>
    <w:rsid w:val="007E1AC0"/>
    <w:rsid w:val="007E3F6F"/>
    <w:rsid w:val="007E48FE"/>
    <w:rsid w:val="007E5E55"/>
    <w:rsid w:val="007E68EC"/>
    <w:rsid w:val="007E7B40"/>
    <w:rsid w:val="007F536B"/>
    <w:rsid w:val="007F6139"/>
    <w:rsid w:val="007F79A0"/>
    <w:rsid w:val="00804A16"/>
    <w:rsid w:val="00807751"/>
    <w:rsid w:val="00811907"/>
    <w:rsid w:val="00814434"/>
    <w:rsid w:val="00820D01"/>
    <w:rsid w:val="00821235"/>
    <w:rsid w:val="00826547"/>
    <w:rsid w:val="008311BC"/>
    <w:rsid w:val="008329E2"/>
    <w:rsid w:val="0083347E"/>
    <w:rsid w:val="00835859"/>
    <w:rsid w:val="00836733"/>
    <w:rsid w:val="00837FD3"/>
    <w:rsid w:val="00841EB2"/>
    <w:rsid w:val="00842B83"/>
    <w:rsid w:val="00845F60"/>
    <w:rsid w:val="008462B4"/>
    <w:rsid w:val="00846D0F"/>
    <w:rsid w:val="008578FA"/>
    <w:rsid w:val="00860F3A"/>
    <w:rsid w:val="00863641"/>
    <w:rsid w:val="0086443D"/>
    <w:rsid w:val="0086777F"/>
    <w:rsid w:val="008732F9"/>
    <w:rsid w:val="0087429B"/>
    <w:rsid w:val="00876B18"/>
    <w:rsid w:val="008829D2"/>
    <w:rsid w:val="008866DF"/>
    <w:rsid w:val="008927DD"/>
    <w:rsid w:val="0089538A"/>
    <w:rsid w:val="008A033A"/>
    <w:rsid w:val="008A1EE4"/>
    <w:rsid w:val="008A1F84"/>
    <w:rsid w:val="008A30B4"/>
    <w:rsid w:val="008B1319"/>
    <w:rsid w:val="008B1C91"/>
    <w:rsid w:val="008B22AF"/>
    <w:rsid w:val="008C2BC6"/>
    <w:rsid w:val="008C45B7"/>
    <w:rsid w:val="008C4E05"/>
    <w:rsid w:val="008C68D1"/>
    <w:rsid w:val="008C6DD4"/>
    <w:rsid w:val="008C7636"/>
    <w:rsid w:val="008D1735"/>
    <w:rsid w:val="008D2599"/>
    <w:rsid w:val="008D5DFD"/>
    <w:rsid w:val="008D6D53"/>
    <w:rsid w:val="008E0118"/>
    <w:rsid w:val="008E4B68"/>
    <w:rsid w:val="008E540F"/>
    <w:rsid w:val="008E6541"/>
    <w:rsid w:val="008E718B"/>
    <w:rsid w:val="008F77EF"/>
    <w:rsid w:val="00900E62"/>
    <w:rsid w:val="0090375E"/>
    <w:rsid w:val="00903A5C"/>
    <w:rsid w:val="00904EF5"/>
    <w:rsid w:val="00906703"/>
    <w:rsid w:val="00906B6C"/>
    <w:rsid w:val="009131D7"/>
    <w:rsid w:val="009168F3"/>
    <w:rsid w:val="009172BD"/>
    <w:rsid w:val="0091784C"/>
    <w:rsid w:val="00917F6D"/>
    <w:rsid w:val="0092166A"/>
    <w:rsid w:val="00922BAD"/>
    <w:rsid w:val="0092417D"/>
    <w:rsid w:val="009257EB"/>
    <w:rsid w:val="00940ECF"/>
    <w:rsid w:val="009410E6"/>
    <w:rsid w:val="00941A67"/>
    <w:rsid w:val="00943A10"/>
    <w:rsid w:val="00945008"/>
    <w:rsid w:val="00945036"/>
    <w:rsid w:val="00945AA6"/>
    <w:rsid w:val="00951CA0"/>
    <w:rsid w:val="00953214"/>
    <w:rsid w:val="00961E92"/>
    <w:rsid w:val="0096276A"/>
    <w:rsid w:val="00963634"/>
    <w:rsid w:val="009742D3"/>
    <w:rsid w:val="00974F0E"/>
    <w:rsid w:val="00981A15"/>
    <w:rsid w:val="00987328"/>
    <w:rsid w:val="00987859"/>
    <w:rsid w:val="0099021B"/>
    <w:rsid w:val="009932AD"/>
    <w:rsid w:val="00993A60"/>
    <w:rsid w:val="00993BB0"/>
    <w:rsid w:val="009A1FA7"/>
    <w:rsid w:val="009A2A61"/>
    <w:rsid w:val="009A368A"/>
    <w:rsid w:val="009A3F60"/>
    <w:rsid w:val="009A5B64"/>
    <w:rsid w:val="009B3EC7"/>
    <w:rsid w:val="009B5118"/>
    <w:rsid w:val="009B6A3C"/>
    <w:rsid w:val="009C2FDE"/>
    <w:rsid w:val="009C39FC"/>
    <w:rsid w:val="009C3E97"/>
    <w:rsid w:val="009C4F57"/>
    <w:rsid w:val="009C7A17"/>
    <w:rsid w:val="009D1471"/>
    <w:rsid w:val="009D1500"/>
    <w:rsid w:val="009D2584"/>
    <w:rsid w:val="009D648B"/>
    <w:rsid w:val="009D7D7C"/>
    <w:rsid w:val="009E06D5"/>
    <w:rsid w:val="009E1C9C"/>
    <w:rsid w:val="009E33FF"/>
    <w:rsid w:val="009E34C0"/>
    <w:rsid w:val="009E3980"/>
    <w:rsid w:val="009E5BBA"/>
    <w:rsid w:val="009F2046"/>
    <w:rsid w:val="009F23C1"/>
    <w:rsid w:val="00A0029C"/>
    <w:rsid w:val="00A01369"/>
    <w:rsid w:val="00A04A05"/>
    <w:rsid w:val="00A07D73"/>
    <w:rsid w:val="00A102A1"/>
    <w:rsid w:val="00A22635"/>
    <w:rsid w:val="00A269AA"/>
    <w:rsid w:val="00A2748F"/>
    <w:rsid w:val="00A276EC"/>
    <w:rsid w:val="00A279AA"/>
    <w:rsid w:val="00A35361"/>
    <w:rsid w:val="00A35D3C"/>
    <w:rsid w:val="00A408D8"/>
    <w:rsid w:val="00A41EB8"/>
    <w:rsid w:val="00A44B6F"/>
    <w:rsid w:val="00A511EB"/>
    <w:rsid w:val="00A51A24"/>
    <w:rsid w:val="00A553B8"/>
    <w:rsid w:val="00A55E9D"/>
    <w:rsid w:val="00A74689"/>
    <w:rsid w:val="00A758C5"/>
    <w:rsid w:val="00A76F5A"/>
    <w:rsid w:val="00A77858"/>
    <w:rsid w:val="00A82A1D"/>
    <w:rsid w:val="00A8390F"/>
    <w:rsid w:val="00A83F50"/>
    <w:rsid w:val="00A8448C"/>
    <w:rsid w:val="00A900C6"/>
    <w:rsid w:val="00A93E01"/>
    <w:rsid w:val="00A9654F"/>
    <w:rsid w:val="00A96754"/>
    <w:rsid w:val="00AA26C5"/>
    <w:rsid w:val="00AA3996"/>
    <w:rsid w:val="00AA41AD"/>
    <w:rsid w:val="00AA50D8"/>
    <w:rsid w:val="00AA525F"/>
    <w:rsid w:val="00AB0773"/>
    <w:rsid w:val="00AB38DB"/>
    <w:rsid w:val="00AB45FB"/>
    <w:rsid w:val="00AB5344"/>
    <w:rsid w:val="00AB7DAC"/>
    <w:rsid w:val="00AC0568"/>
    <w:rsid w:val="00AC0CC1"/>
    <w:rsid w:val="00AD00F9"/>
    <w:rsid w:val="00AD6BF0"/>
    <w:rsid w:val="00AE0705"/>
    <w:rsid w:val="00AE2115"/>
    <w:rsid w:val="00AE4DD7"/>
    <w:rsid w:val="00AF1A0D"/>
    <w:rsid w:val="00AF31AE"/>
    <w:rsid w:val="00AF398E"/>
    <w:rsid w:val="00AF5883"/>
    <w:rsid w:val="00B013D5"/>
    <w:rsid w:val="00B0488A"/>
    <w:rsid w:val="00B06701"/>
    <w:rsid w:val="00B121FA"/>
    <w:rsid w:val="00B139A7"/>
    <w:rsid w:val="00B175C7"/>
    <w:rsid w:val="00B22220"/>
    <w:rsid w:val="00B23228"/>
    <w:rsid w:val="00B25D32"/>
    <w:rsid w:val="00B27779"/>
    <w:rsid w:val="00B30435"/>
    <w:rsid w:val="00B307CD"/>
    <w:rsid w:val="00B33753"/>
    <w:rsid w:val="00B34B49"/>
    <w:rsid w:val="00B41E60"/>
    <w:rsid w:val="00B433E9"/>
    <w:rsid w:val="00B5372D"/>
    <w:rsid w:val="00B5458B"/>
    <w:rsid w:val="00B57068"/>
    <w:rsid w:val="00B61BEB"/>
    <w:rsid w:val="00B61EB5"/>
    <w:rsid w:val="00B705C2"/>
    <w:rsid w:val="00B71DC2"/>
    <w:rsid w:val="00B7271C"/>
    <w:rsid w:val="00B75147"/>
    <w:rsid w:val="00B77326"/>
    <w:rsid w:val="00B902ED"/>
    <w:rsid w:val="00B90511"/>
    <w:rsid w:val="00B94398"/>
    <w:rsid w:val="00B947E5"/>
    <w:rsid w:val="00B95520"/>
    <w:rsid w:val="00B958D3"/>
    <w:rsid w:val="00B968D6"/>
    <w:rsid w:val="00B97783"/>
    <w:rsid w:val="00BA6C2F"/>
    <w:rsid w:val="00BA6FA1"/>
    <w:rsid w:val="00BB038A"/>
    <w:rsid w:val="00BB0726"/>
    <w:rsid w:val="00BB0BE7"/>
    <w:rsid w:val="00BB3C3D"/>
    <w:rsid w:val="00BB5D98"/>
    <w:rsid w:val="00BC42B1"/>
    <w:rsid w:val="00BC7092"/>
    <w:rsid w:val="00BD4E7E"/>
    <w:rsid w:val="00BD52C1"/>
    <w:rsid w:val="00BD704D"/>
    <w:rsid w:val="00BE58FD"/>
    <w:rsid w:val="00BE6D93"/>
    <w:rsid w:val="00BF2940"/>
    <w:rsid w:val="00BF7167"/>
    <w:rsid w:val="00C00FD4"/>
    <w:rsid w:val="00C0289D"/>
    <w:rsid w:val="00C03632"/>
    <w:rsid w:val="00C04F18"/>
    <w:rsid w:val="00C17525"/>
    <w:rsid w:val="00C24476"/>
    <w:rsid w:val="00C25513"/>
    <w:rsid w:val="00C25E65"/>
    <w:rsid w:val="00C368A5"/>
    <w:rsid w:val="00C36A45"/>
    <w:rsid w:val="00C36F43"/>
    <w:rsid w:val="00C45720"/>
    <w:rsid w:val="00C4583A"/>
    <w:rsid w:val="00C46C1E"/>
    <w:rsid w:val="00C51E9C"/>
    <w:rsid w:val="00C61163"/>
    <w:rsid w:val="00C61CA6"/>
    <w:rsid w:val="00C64025"/>
    <w:rsid w:val="00C706E8"/>
    <w:rsid w:val="00C72465"/>
    <w:rsid w:val="00C74581"/>
    <w:rsid w:val="00C75F8E"/>
    <w:rsid w:val="00C768FF"/>
    <w:rsid w:val="00C77B36"/>
    <w:rsid w:val="00C80A81"/>
    <w:rsid w:val="00C869C1"/>
    <w:rsid w:val="00C869C7"/>
    <w:rsid w:val="00C92A1F"/>
    <w:rsid w:val="00C93DDA"/>
    <w:rsid w:val="00C96CB6"/>
    <w:rsid w:val="00CA48F4"/>
    <w:rsid w:val="00CA5075"/>
    <w:rsid w:val="00CA7828"/>
    <w:rsid w:val="00CB1CC6"/>
    <w:rsid w:val="00CC06D1"/>
    <w:rsid w:val="00CC1BF5"/>
    <w:rsid w:val="00CC248D"/>
    <w:rsid w:val="00CC3ADC"/>
    <w:rsid w:val="00CC6FDF"/>
    <w:rsid w:val="00CC701E"/>
    <w:rsid w:val="00CD29AD"/>
    <w:rsid w:val="00CD3498"/>
    <w:rsid w:val="00CD39D1"/>
    <w:rsid w:val="00CD6764"/>
    <w:rsid w:val="00CE3103"/>
    <w:rsid w:val="00CE3C79"/>
    <w:rsid w:val="00CF208B"/>
    <w:rsid w:val="00CF3B58"/>
    <w:rsid w:val="00D034A9"/>
    <w:rsid w:val="00D03571"/>
    <w:rsid w:val="00D04AFA"/>
    <w:rsid w:val="00D05416"/>
    <w:rsid w:val="00D0646A"/>
    <w:rsid w:val="00D103B0"/>
    <w:rsid w:val="00D164F5"/>
    <w:rsid w:val="00D2052F"/>
    <w:rsid w:val="00D25EC8"/>
    <w:rsid w:val="00D309AB"/>
    <w:rsid w:val="00D34916"/>
    <w:rsid w:val="00D45428"/>
    <w:rsid w:val="00D531FE"/>
    <w:rsid w:val="00D56E2F"/>
    <w:rsid w:val="00D61112"/>
    <w:rsid w:val="00D64785"/>
    <w:rsid w:val="00D653CD"/>
    <w:rsid w:val="00D70B19"/>
    <w:rsid w:val="00D75FB5"/>
    <w:rsid w:val="00D821F1"/>
    <w:rsid w:val="00D862C9"/>
    <w:rsid w:val="00D86F7F"/>
    <w:rsid w:val="00D87EE1"/>
    <w:rsid w:val="00D92D37"/>
    <w:rsid w:val="00D95AF0"/>
    <w:rsid w:val="00DA1B16"/>
    <w:rsid w:val="00DA399A"/>
    <w:rsid w:val="00DA7BCA"/>
    <w:rsid w:val="00DB2688"/>
    <w:rsid w:val="00DB5071"/>
    <w:rsid w:val="00DB7BF9"/>
    <w:rsid w:val="00DC0656"/>
    <w:rsid w:val="00DC1FB0"/>
    <w:rsid w:val="00DC2862"/>
    <w:rsid w:val="00DD1698"/>
    <w:rsid w:val="00DD6BA0"/>
    <w:rsid w:val="00DE1141"/>
    <w:rsid w:val="00DE30A4"/>
    <w:rsid w:val="00DE48B4"/>
    <w:rsid w:val="00DE6003"/>
    <w:rsid w:val="00DE76D1"/>
    <w:rsid w:val="00DE7BE5"/>
    <w:rsid w:val="00DF4264"/>
    <w:rsid w:val="00DF5113"/>
    <w:rsid w:val="00E0020F"/>
    <w:rsid w:val="00E042B1"/>
    <w:rsid w:val="00E04B4F"/>
    <w:rsid w:val="00E06518"/>
    <w:rsid w:val="00E110D1"/>
    <w:rsid w:val="00E1580C"/>
    <w:rsid w:val="00E2060F"/>
    <w:rsid w:val="00E20D2D"/>
    <w:rsid w:val="00E2282F"/>
    <w:rsid w:val="00E23563"/>
    <w:rsid w:val="00E2794A"/>
    <w:rsid w:val="00E3010C"/>
    <w:rsid w:val="00E328CA"/>
    <w:rsid w:val="00E334C8"/>
    <w:rsid w:val="00E3369A"/>
    <w:rsid w:val="00E34C6E"/>
    <w:rsid w:val="00E34D58"/>
    <w:rsid w:val="00E37542"/>
    <w:rsid w:val="00E4353D"/>
    <w:rsid w:val="00E4548F"/>
    <w:rsid w:val="00E477AE"/>
    <w:rsid w:val="00E51C5F"/>
    <w:rsid w:val="00E5372F"/>
    <w:rsid w:val="00E60C87"/>
    <w:rsid w:val="00E621BD"/>
    <w:rsid w:val="00E64DF5"/>
    <w:rsid w:val="00E6583C"/>
    <w:rsid w:val="00E6668E"/>
    <w:rsid w:val="00E71AFB"/>
    <w:rsid w:val="00E7206C"/>
    <w:rsid w:val="00E745D3"/>
    <w:rsid w:val="00E76430"/>
    <w:rsid w:val="00E77456"/>
    <w:rsid w:val="00E77BD1"/>
    <w:rsid w:val="00E83710"/>
    <w:rsid w:val="00E85D2F"/>
    <w:rsid w:val="00E85D56"/>
    <w:rsid w:val="00E9142D"/>
    <w:rsid w:val="00E944D3"/>
    <w:rsid w:val="00E946F1"/>
    <w:rsid w:val="00E95D42"/>
    <w:rsid w:val="00E95F61"/>
    <w:rsid w:val="00EA11C0"/>
    <w:rsid w:val="00EA43F2"/>
    <w:rsid w:val="00EA47EA"/>
    <w:rsid w:val="00EA4A51"/>
    <w:rsid w:val="00EA7B5D"/>
    <w:rsid w:val="00EA7F01"/>
    <w:rsid w:val="00EB1110"/>
    <w:rsid w:val="00EB383B"/>
    <w:rsid w:val="00EB3BF7"/>
    <w:rsid w:val="00EB7730"/>
    <w:rsid w:val="00EB79FE"/>
    <w:rsid w:val="00EC38A8"/>
    <w:rsid w:val="00EC5F75"/>
    <w:rsid w:val="00EC668B"/>
    <w:rsid w:val="00EC72EE"/>
    <w:rsid w:val="00ED05CF"/>
    <w:rsid w:val="00ED72BC"/>
    <w:rsid w:val="00EE0BAA"/>
    <w:rsid w:val="00EE1217"/>
    <w:rsid w:val="00EE5CB6"/>
    <w:rsid w:val="00EE751D"/>
    <w:rsid w:val="00EF1AE4"/>
    <w:rsid w:val="00EF7661"/>
    <w:rsid w:val="00F00ADC"/>
    <w:rsid w:val="00F01AC5"/>
    <w:rsid w:val="00F04870"/>
    <w:rsid w:val="00F10B86"/>
    <w:rsid w:val="00F120E9"/>
    <w:rsid w:val="00F15C05"/>
    <w:rsid w:val="00F20066"/>
    <w:rsid w:val="00F2294F"/>
    <w:rsid w:val="00F25986"/>
    <w:rsid w:val="00F25FE3"/>
    <w:rsid w:val="00F3160B"/>
    <w:rsid w:val="00F31C7C"/>
    <w:rsid w:val="00F32CD7"/>
    <w:rsid w:val="00F32D4C"/>
    <w:rsid w:val="00F35B01"/>
    <w:rsid w:val="00F378C0"/>
    <w:rsid w:val="00F46040"/>
    <w:rsid w:val="00F46906"/>
    <w:rsid w:val="00F473E1"/>
    <w:rsid w:val="00F50057"/>
    <w:rsid w:val="00F54F82"/>
    <w:rsid w:val="00F6145A"/>
    <w:rsid w:val="00F6270D"/>
    <w:rsid w:val="00F649AD"/>
    <w:rsid w:val="00F70488"/>
    <w:rsid w:val="00F71103"/>
    <w:rsid w:val="00F71871"/>
    <w:rsid w:val="00F7527E"/>
    <w:rsid w:val="00F8148B"/>
    <w:rsid w:val="00F827D4"/>
    <w:rsid w:val="00F845F2"/>
    <w:rsid w:val="00F91D67"/>
    <w:rsid w:val="00F9288A"/>
    <w:rsid w:val="00F967E3"/>
    <w:rsid w:val="00F96F69"/>
    <w:rsid w:val="00F97318"/>
    <w:rsid w:val="00FA053C"/>
    <w:rsid w:val="00FA1FD7"/>
    <w:rsid w:val="00FA2694"/>
    <w:rsid w:val="00FA592C"/>
    <w:rsid w:val="00FA5F78"/>
    <w:rsid w:val="00FA63E1"/>
    <w:rsid w:val="00FA6F02"/>
    <w:rsid w:val="00FB394A"/>
    <w:rsid w:val="00FB3C40"/>
    <w:rsid w:val="00FB4EDC"/>
    <w:rsid w:val="00FC00E5"/>
    <w:rsid w:val="00FC09D0"/>
    <w:rsid w:val="00FC2BE6"/>
    <w:rsid w:val="00FC44BF"/>
    <w:rsid w:val="00FC4F3D"/>
    <w:rsid w:val="00FD042B"/>
    <w:rsid w:val="00FD0AFB"/>
    <w:rsid w:val="00FD3984"/>
    <w:rsid w:val="00FD52F5"/>
    <w:rsid w:val="00FE045C"/>
    <w:rsid w:val="00FE1F2B"/>
    <w:rsid w:val="00FE2FB3"/>
    <w:rsid w:val="00FE30B3"/>
    <w:rsid w:val="00FF0FBA"/>
    <w:rsid w:val="00FF7D58"/>
    <w:rsid w:val="02104022"/>
    <w:rsid w:val="026B28D6"/>
    <w:rsid w:val="02892B56"/>
    <w:rsid w:val="03134482"/>
    <w:rsid w:val="035E2B6B"/>
    <w:rsid w:val="0459169F"/>
    <w:rsid w:val="04694E46"/>
    <w:rsid w:val="048453BD"/>
    <w:rsid w:val="04952BD1"/>
    <w:rsid w:val="049E238C"/>
    <w:rsid w:val="04CE5089"/>
    <w:rsid w:val="04D22547"/>
    <w:rsid w:val="04F52AF1"/>
    <w:rsid w:val="05222391"/>
    <w:rsid w:val="082F3FA6"/>
    <w:rsid w:val="08655A5A"/>
    <w:rsid w:val="0894109C"/>
    <w:rsid w:val="089A524D"/>
    <w:rsid w:val="09801CE3"/>
    <w:rsid w:val="0A2400DF"/>
    <w:rsid w:val="0B00351E"/>
    <w:rsid w:val="0BFD30ED"/>
    <w:rsid w:val="0C0B2964"/>
    <w:rsid w:val="0C6C06F2"/>
    <w:rsid w:val="0CE62A84"/>
    <w:rsid w:val="0D4F0275"/>
    <w:rsid w:val="0DB429A2"/>
    <w:rsid w:val="0DF341CF"/>
    <w:rsid w:val="0E910360"/>
    <w:rsid w:val="0F525276"/>
    <w:rsid w:val="0F5337A0"/>
    <w:rsid w:val="10623E75"/>
    <w:rsid w:val="10874C09"/>
    <w:rsid w:val="11394ECD"/>
    <w:rsid w:val="116704C3"/>
    <w:rsid w:val="11C90689"/>
    <w:rsid w:val="121B29F9"/>
    <w:rsid w:val="122A7403"/>
    <w:rsid w:val="12532916"/>
    <w:rsid w:val="12EF1866"/>
    <w:rsid w:val="1398797E"/>
    <w:rsid w:val="14AF76CB"/>
    <w:rsid w:val="1519209B"/>
    <w:rsid w:val="16367CF2"/>
    <w:rsid w:val="167917B3"/>
    <w:rsid w:val="17460098"/>
    <w:rsid w:val="17CC6F89"/>
    <w:rsid w:val="18D34EDE"/>
    <w:rsid w:val="19042BD4"/>
    <w:rsid w:val="19B77EB6"/>
    <w:rsid w:val="1A254E74"/>
    <w:rsid w:val="1A433C48"/>
    <w:rsid w:val="1A9D4700"/>
    <w:rsid w:val="1ACE16AA"/>
    <w:rsid w:val="1B4A1109"/>
    <w:rsid w:val="1C072BC1"/>
    <w:rsid w:val="1C8F25F8"/>
    <w:rsid w:val="1CBD7607"/>
    <w:rsid w:val="1CEB6EF8"/>
    <w:rsid w:val="1D804242"/>
    <w:rsid w:val="1DAF7278"/>
    <w:rsid w:val="1E7670D3"/>
    <w:rsid w:val="1EAA6455"/>
    <w:rsid w:val="1EF17E03"/>
    <w:rsid w:val="1F2C62CB"/>
    <w:rsid w:val="1F5B798C"/>
    <w:rsid w:val="1F9038EF"/>
    <w:rsid w:val="1FC81EE6"/>
    <w:rsid w:val="1FF37AF6"/>
    <w:rsid w:val="20643745"/>
    <w:rsid w:val="20D87472"/>
    <w:rsid w:val="214766FC"/>
    <w:rsid w:val="21F12A4C"/>
    <w:rsid w:val="226F6F48"/>
    <w:rsid w:val="2323430D"/>
    <w:rsid w:val="234979E7"/>
    <w:rsid w:val="236C6B6C"/>
    <w:rsid w:val="23CF11EF"/>
    <w:rsid w:val="24B64E89"/>
    <w:rsid w:val="262B46D7"/>
    <w:rsid w:val="26A74146"/>
    <w:rsid w:val="26B2258E"/>
    <w:rsid w:val="26CB1D6F"/>
    <w:rsid w:val="273137D1"/>
    <w:rsid w:val="27750300"/>
    <w:rsid w:val="27AE6A3A"/>
    <w:rsid w:val="280C6444"/>
    <w:rsid w:val="286332DD"/>
    <w:rsid w:val="288B6689"/>
    <w:rsid w:val="28E1022D"/>
    <w:rsid w:val="29470D93"/>
    <w:rsid w:val="2959062C"/>
    <w:rsid w:val="2A574499"/>
    <w:rsid w:val="2A7C3768"/>
    <w:rsid w:val="2B3F66DA"/>
    <w:rsid w:val="2B447C2C"/>
    <w:rsid w:val="2B9454DA"/>
    <w:rsid w:val="2C0A469E"/>
    <w:rsid w:val="2C1C32D9"/>
    <w:rsid w:val="2C1F0FAA"/>
    <w:rsid w:val="2CB00AAD"/>
    <w:rsid w:val="2CBA06D5"/>
    <w:rsid w:val="2D4069E7"/>
    <w:rsid w:val="2D762093"/>
    <w:rsid w:val="2DB463C6"/>
    <w:rsid w:val="2EBE4592"/>
    <w:rsid w:val="2F513AD9"/>
    <w:rsid w:val="2F67528B"/>
    <w:rsid w:val="2F823A02"/>
    <w:rsid w:val="2FF02762"/>
    <w:rsid w:val="3020498C"/>
    <w:rsid w:val="30590093"/>
    <w:rsid w:val="32DE3B39"/>
    <w:rsid w:val="32F3632F"/>
    <w:rsid w:val="33D07D2A"/>
    <w:rsid w:val="33ED425B"/>
    <w:rsid w:val="355C0AD5"/>
    <w:rsid w:val="35B467F1"/>
    <w:rsid w:val="36AC2E8C"/>
    <w:rsid w:val="36BA49D3"/>
    <w:rsid w:val="36FE4631"/>
    <w:rsid w:val="37B4488E"/>
    <w:rsid w:val="37B81E60"/>
    <w:rsid w:val="37BB4EA2"/>
    <w:rsid w:val="383647D6"/>
    <w:rsid w:val="38F11583"/>
    <w:rsid w:val="391B59BA"/>
    <w:rsid w:val="3A1E1585"/>
    <w:rsid w:val="3A6206AB"/>
    <w:rsid w:val="3A8801E4"/>
    <w:rsid w:val="3A9E530C"/>
    <w:rsid w:val="3C083CC9"/>
    <w:rsid w:val="3CBD56A5"/>
    <w:rsid w:val="3CD64C02"/>
    <w:rsid w:val="3E1916D5"/>
    <w:rsid w:val="3EA4617A"/>
    <w:rsid w:val="3EF01BCD"/>
    <w:rsid w:val="3F037764"/>
    <w:rsid w:val="3F2D1069"/>
    <w:rsid w:val="3F7D26B7"/>
    <w:rsid w:val="407C5E04"/>
    <w:rsid w:val="40A47DE4"/>
    <w:rsid w:val="413771BF"/>
    <w:rsid w:val="414645BC"/>
    <w:rsid w:val="41662D45"/>
    <w:rsid w:val="419603EC"/>
    <w:rsid w:val="42C22806"/>
    <w:rsid w:val="42D6087B"/>
    <w:rsid w:val="42DD2F74"/>
    <w:rsid w:val="43DD7542"/>
    <w:rsid w:val="446157FA"/>
    <w:rsid w:val="46CE43B3"/>
    <w:rsid w:val="471F21B9"/>
    <w:rsid w:val="47C84465"/>
    <w:rsid w:val="485C5EC2"/>
    <w:rsid w:val="48AB07E0"/>
    <w:rsid w:val="49484C1A"/>
    <w:rsid w:val="496500B9"/>
    <w:rsid w:val="496A7695"/>
    <w:rsid w:val="49CA5E32"/>
    <w:rsid w:val="4A056D93"/>
    <w:rsid w:val="4A0C0D60"/>
    <w:rsid w:val="4AA973E7"/>
    <w:rsid w:val="4ABF2786"/>
    <w:rsid w:val="4AC13A05"/>
    <w:rsid w:val="4B0E0CA7"/>
    <w:rsid w:val="4B2E17D6"/>
    <w:rsid w:val="4B924100"/>
    <w:rsid w:val="4BE369BB"/>
    <w:rsid w:val="4C2B7EB6"/>
    <w:rsid w:val="4C62508B"/>
    <w:rsid w:val="4D107456"/>
    <w:rsid w:val="4DAF66E5"/>
    <w:rsid w:val="4EE945C5"/>
    <w:rsid w:val="4EFF3FC2"/>
    <w:rsid w:val="50230AFF"/>
    <w:rsid w:val="50F91D44"/>
    <w:rsid w:val="51CC5170"/>
    <w:rsid w:val="51EB5087"/>
    <w:rsid w:val="52094E9C"/>
    <w:rsid w:val="528075D0"/>
    <w:rsid w:val="52836EF8"/>
    <w:rsid w:val="53876141"/>
    <w:rsid w:val="53D30390"/>
    <w:rsid w:val="54AC52A1"/>
    <w:rsid w:val="550A20DC"/>
    <w:rsid w:val="550B5AC9"/>
    <w:rsid w:val="555920AA"/>
    <w:rsid w:val="55B70031"/>
    <w:rsid w:val="563B3C13"/>
    <w:rsid w:val="56F40EEC"/>
    <w:rsid w:val="576A01A0"/>
    <w:rsid w:val="57BF6208"/>
    <w:rsid w:val="57D5690F"/>
    <w:rsid w:val="58446E84"/>
    <w:rsid w:val="588A274D"/>
    <w:rsid w:val="58B80425"/>
    <w:rsid w:val="59976AFA"/>
    <w:rsid w:val="59EF245F"/>
    <w:rsid w:val="5B522080"/>
    <w:rsid w:val="5B687515"/>
    <w:rsid w:val="5CF64305"/>
    <w:rsid w:val="5DAA3B58"/>
    <w:rsid w:val="5E367A09"/>
    <w:rsid w:val="5EA20CD3"/>
    <w:rsid w:val="5EE920E0"/>
    <w:rsid w:val="5F3C4C84"/>
    <w:rsid w:val="5F4208D3"/>
    <w:rsid w:val="5FA432D5"/>
    <w:rsid w:val="5FCE68A8"/>
    <w:rsid w:val="603A6137"/>
    <w:rsid w:val="60873494"/>
    <w:rsid w:val="60D83706"/>
    <w:rsid w:val="61396ECC"/>
    <w:rsid w:val="615755BD"/>
    <w:rsid w:val="61FE7804"/>
    <w:rsid w:val="62005C61"/>
    <w:rsid w:val="63FA510E"/>
    <w:rsid w:val="654C6572"/>
    <w:rsid w:val="656055FA"/>
    <w:rsid w:val="65FC1B98"/>
    <w:rsid w:val="66B27D9D"/>
    <w:rsid w:val="66B30AD9"/>
    <w:rsid w:val="66D72231"/>
    <w:rsid w:val="66E83C0D"/>
    <w:rsid w:val="67557EAB"/>
    <w:rsid w:val="67BF28F6"/>
    <w:rsid w:val="6823708F"/>
    <w:rsid w:val="690177C4"/>
    <w:rsid w:val="69B4393F"/>
    <w:rsid w:val="6A223D69"/>
    <w:rsid w:val="6A2A361C"/>
    <w:rsid w:val="6A354D46"/>
    <w:rsid w:val="6A761D62"/>
    <w:rsid w:val="6AB4471D"/>
    <w:rsid w:val="6BC47910"/>
    <w:rsid w:val="6C08348F"/>
    <w:rsid w:val="6C6D2CBF"/>
    <w:rsid w:val="6CA22EF8"/>
    <w:rsid w:val="6CF94FF3"/>
    <w:rsid w:val="6CFB66E1"/>
    <w:rsid w:val="6D176D30"/>
    <w:rsid w:val="6EED49C0"/>
    <w:rsid w:val="6F1F3C7A"/>
    <w:rsid w:val="701B0D3F"/>
    <w:rsid w:val="707E40EE"/>
    <w:rsid w:val="70C2021B"/>
    <w:rsid w:val="71461D70"/>
    <w:rsid w:val="722A46F4"/>
    <w:rsid w:val="72470A13"/>
    <w:rsid w:val="72494D61"/>
    <w:rsid w:val="72A92280"/>
    <w:rsid w:val="7365502F"/>
    <w:rsid w:val="74716D26"/>
    <w:rsid w:val="74C56B4A"/>
    <w:rsid w:val="74D518DA"/>
    <w:rsid w:val="752E3A40"/>
    <w:rsid w:val="75D471F0"/>
    <w:rsid w:val="75E93AC3"/>
    <w:rsid w:val="762531FE"/>
    <w:rsid w:val="76393874"/>
    <w:rsid w:val="76970600"/>
    <w:rsid w:val="77006CD5"/>
    <w:rsid w:val="77351F07"/>
    <w:rsid w:val="776F3FF8"/>
    <w:rsid w:val="78314C4E"/>
    <w:rsid w:val="786A17DA"/>
    <w:rsid w:val="78BE5413"/>
    <w:rsid w:val="79A55865"/>
    <w:rsid w:val="79DB49EE"/>
    <w:rsid w:val="7AC2515E"/>
    <w:rsid w:val="7B5E46A1"/>
    <w:rsid w:val="7C6441AC"/>
    <w:rsid w:val="7CC0123F"/>
    <w:rsid w:val="7DFD1A86"/>
    <w:rsid w:val="7E700404"/>
    <w:rsid w:val="7E703748"/>
    <w:rsid w:val="7E954A46"/>
    <w:rsid w:val="7EA906C4"/>
    <w:rsid w:val="7F115B11"/>
    <w:rsid w:val="7FD111D0"/>
    <w:rsid w:val="7FF23EAA"/>
    <w:rsid w:val="7FF64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4"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8"/>
    <w:unhideWhenUsed/>
    <w:qFormat/>
    <w:uiPriority w:val="9"/>
    <w:pPr>
      <w:keepNext/>
      <w:keepLines/>
      <w:spacing w:before="280" w:after="290" w:line="376" w:lineRule="auto"/>
      <w:outlineLvl w:val="3"/>
    </w:pPr>
    <w:rPr>
      <w:rFonts w:asciiTheme="majorHAnsi" w:hAnsiTheme="majorHAnsi" w:cstheme="majorBidi"/>
      <w:bCs/>
      <w:sz w:val="24"/>
    </w:rPr>
  </w:style>
  <w:style w:type="paragraph" w:styleId="6">
    <w:name w:val="heading 5"/>
    <w:basedOn w:val="1"/>
    <w:next w:val="1"/>
    <w:link w:val="57"/>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8"/>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61"/>
    <w:unhideWhenUsed/>
    <w:qFormat/>
    <w:uiPriority w:val="9"/>
    <w:pPr>
      <w:keepNext/>
      <w:keepLines/>
      <w:spacing w:before="240" w:after="64" w:line="320" w:lineRule="auto"/>
      <w:outlineLvl w:val="6"/>
    </w:pPr>
    <w:rPr>
      <w:b/>
      <w:bCs/>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71"/>
    <w:qFormat/>
    <w:uiPriority w:val="4"/>
    <w:pPr>
      <w:ind w:firstLine="420"/>
    </w:pPr>
  </w:style>
  <w:style w:type="paragraph" w:styleId="10">
    <w:name w:val="annotation text"/>
    <w:basedOn w:val="1"/>
    <w:link w:val="63"/>
    <w:qFormat/>
    <w:uiPriority w:val="0"/>
    <w:pPr>
      <w:jc w:val="left"/>
    </w:pPr>
    <w:rPr>
      <w:kern w:val="0"/>
      <w:sz w:val="20"/>
    </w:rPr>
  </w:style>
  <w:style w:type="paragraph" w:styleId="11">
    <w:name w:val="Body Text 3"/>
    <w:link w:val="64"/>
    <w:unhideWhenUsed/>
    <w:qFormat/>
    <w:uiPriority w:val="0"/>
    <w:pPr>
      <w:widowControl w:val="0"/>
      <w:spacing w:after="120" w:line="278" w:lineRule="auto"/>
      <w:jc w:val="both"/>
    </w:pPr>
    <w:rPr>
      <w:rFonts w:ascii="Calibri" w:hAnsi="Calibri" w:eastAsia="宋体" w:cs="Times New Roman"/>
      <w:kern w:val="2"/>
      <w:sz w:val="16"/>
      <w:szCs w:val="16"/>
      <w:lang w:val="en-US" w:eastAsia="zh-CN" w:bidi="ar-SA"/>
    </w:rPr>
  </w:style>
  <w:style w:type="paragraph" w:styleId="12">
    <w:name w:val="Body Text"/>
    <w:basedOn w:val="1"/>
    <w:link w:val="62"/>
    <w:semiHidden/>
    <w:unhideWhenUsed/>
    <w:qFormat/>
    <w:uiPriority w:val="99"/>
    <w:pPr>
      <w:spacing w:after="120"/>
    </w:pPr>
  </w:style>
  <w:style w:type="paragraph" w:styleId="13">
    <w:name w:val="Body Text Indent"/>
    <w:basedOn w:val="1"/>
    <w:qFormat/>
    <w:uiPriority w:val="0"/>
    <w:pPr>
      <w:spacing w:after="120"/>
      <w:ind w:left="420" w:leftChars="200"/>
    </w:pPr>
    <w:rPr>
      <w:lang w:val="zh-CN"/>
    </w:rPr>
  </w:style>
  <w:style w:type="paragraph" w:styleId="14">
    <w:name w:val="toc 3"/>
    <w:basedOn w:val="1"/>
    <w:next w:val="1"/>
    <w:unhideWhenUsed/>
    <w:qFormat/>
    <w:uiPriority w:val="39"/>
    <w:pPr>
      <w:ind w:left="840" w:leftChars="400"/>
    </w:pPr>
  </w:style>
  <w:style w:type="paragraph" w:styleId="15">
    <w:name w:val="Plain Text"/>
    <w:basedOn w:val="1"/>
    <w:link w:val="45"/>
    <w:unhideWhenUsed/>
    <w:qFormat/>
    <w:uiPriority w:val="99"/>
    <w:pPr>
      <w:spacing w:line="400" w:lineRule="atLeast"/>
    </w:pPr>
    <w:rPr>
      <w:rFonts w:ascii="宋体" w:hAnsi="Courier New" w:eastAsiaTheme="minorEastAsia" w:cstheme="minorBidi"/>
      <w:szCs w:val="28"/>
    </w:rPr>
  </w:style>
  <w:style w:type="paragraph" w:styleId="16">
    <w:name w:val="Date"/>
    <w:basedOn w:val="1"/>
    <w:next w:val="1"/>
    <w:link w:val="42"/>
    <w:unhideWhenUsed/>
    <w:qFormat/>
    <w:uiPriority w:val="0"/>
    <w:pPr>
      <w:spacing w:line="400" w:lineRule="atLeast"/>
    </w:pPr>
    <w:rPr>
      <w:rFonts w:asciiTheme="minorEastAsia" w:hAnsiTheme="minorHAnsi" w:eastAsiaTheme="minorEastAsia" w:cstheme="minorBidi"/>
      <w:sz w:val="24"/>
      <w:szCs w:val="28"/>
    </w:rPr>
  </w:style>
  <w:style w:type="paragraph" w:styleId="17">
    <w:name w:val="Body Text Indent 2"/>
    <w:basedOn w:val="1"/>
    <w:next w:val="1"/>
    <w:link w:val="49"/>
    <w:qFormat/>
    <w:uiPriority w:val="0"/>
    <w:pPr>
      <w:ind w:firstLine="480" w:firstLineChars="200"/>
    </w:pPr>
    <w:rPr>
      <w:rFonts w:ascii="仿宋_GB2312" w:hAnsi="华文中宋" w:eastAsia="仿宋_GB2312"/>
      <w:b/>
      <w:bCs/>
      <w:sz w:val="24"/>
    </w:rPr>
  </w:style>
  <w:style w:type="paragraph" w:styleId="18">
    <w:name w:val="Balloon Text"/>
    <w:basedOn w:val="1"/>
    <w:link w:val="50"/>
    <w:semiHidden/>
    <w:unhideWhenUsed/>
    <w:qFormat/>
    <w:uiPriority w:val="99"/>
    <w:rPr>
      <w:sz w:val="18"/>
      <w:szCs w:val="18"/>
    </w:rPr>
  </w:style>
  <w:style w:type="paragraph" w:styleId="19">
    <w:name w:val="footer"/>
    <w:basedOn w:val="1"/>
    <w:link w:val="41"/>
    <w:unhideWhenUsed/>
    <w:qFormat/>
    <w:uiPriority w:val="99"/>
    <w:pPr>
      <w:tabs>
        <w:tab w:val="center" w:pos="4153"/>
        <w:tab w:val="right" w:pos="8306"/>
      </w:tabs>
      <w:snapToGrid w:val="0"/>
      <w:jc w:val="left"/>
    </w:pPr>
    <w:rPr>
      <w:sz w:val="18"/>
      <w:szCs w:val="18"/>
    </w:rPr>
  </w:style>
  <w:style w:type="paragraph" w:styleId="20">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Subtitle"/>
    <w:basedOn w:val="1"/>
    <w:next w:val="1"/>
    <w:link w:val="59"/>
    <w:qFormat/>
    <w:uiPriority w:val="11"/>
    <w:pPr>
      <w:spacing w:before="240" w:after="60" w:line="312" w:lineRule="auto"/>
      <w:jc w:val="left"/>
      <w:outlineLvl w:val="1"/>
    </w:pPr>
    <w:rPr>
      <w:rFonts w:asciiTheme="minorHAnsi" w:hAnsiTheme="minorHAnsi" w:cstheme="minorBidi"/>
      <w:b/>
      <w:bCs/>
      <w:kern w:val="28"/>
      <w:sz w:val="28"/>
      <w:szCs w:val="32"/>
    </w:rPr>
  </w:style>
  <w:style w:type="paragraph" w:styleId="23">
    <w:name w:val="toc 2"/>
    <w:basedOn w:val="1"/>
    <w:next w:val="1"/>
    <w:unhideWhenUsed/>
    <w:qFormat/>
    <w:uiPriority w:val="39"/>
    <w:pPr>
      <w:ind w:left="420" w:leftChars="200"/>
    </w:p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56"/>
    <w:qFormat/>
    <w:uiPriority w:val="10"/>
    <w:pPr>
      <w:spacing w:before="240" w:after="60"/>
      <w:jc w:val="center"/>
      <w:outlineLvl w:val="0"/>
    </w:pPr>
    <w:rPr>
      <w:rFonts w:asciiTheme="majorHAnsi" w:hAnsiTheme="majorHAnsi" w:cstheme="majorBidi"/>
      <w:b/>
      <w:bCs/>
      <w:sz w:val="36"/>
      <w:szCs w:val="32"/>
    </w:rPr>
  </w:style>
  <w:style w:type="paragraph" w:styleId="26">
    <w:name w:val="Body Text First Indent"/>
    <w:basedOn w:val="12"/>
    <w:link w:val="68"/>
    <w:semiHidden/>
    <w:unhideWhenUsed/>
    <w:qFormat/>
    <w:uiPriority w:val="99"/>
    <w:pPr>
      <w:ind w:firstLine="420" w:firstLineChars="100"/>
    </w:pPr>
  </w:style>
  <w:style w:type="paragraph" w:styleId="27">
    <w:name w:val="Body Text First Indent 2"/>
    <w:basedOn w:val="13"/>
    <w:next w:val="17"/>
    <w:unhideWhenUsed/>
    <w:qFormat/>
    <w:uiPriority w:val="99"/>
    <w:pPr>
      <w:ind w:firstLine="420" w:firstLineChars="200"/>
    </w:pPr>
    <w:rPr>
      <w:rFonts w:ascii="Calibri" w:hAnsi="Calibri"/>
    </w:rPr>
  </w:style>
  <w:style w:type="table" w:styleId="29">
    <w:name w:val="Table Grid"/>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Hyperlink"/>
    <w:basedOn w:val="30"/>
    <w:unhideWhenUsed/>
    <w:qFormat/>
    <w:uiPriority w:val="99"/>
    <w:rPr>
      <w:color w:val="0563C1" w:themeColor="hyperlink"/>
      <w:u w:val="single"/>
      <w14:textFill>
        <w14:solidFill>
          <w14:schemeClr w14:val="hlink"/>
        </w14:solidFill>
      </w14:textFill>
    </w:rPr>
  </w:style>
  <w:style w:type="character" w:styleId="34">
    <w:name w:val="annotation reference"/>
    <w:qFormat/>
    <w:uiPriority w:val="0"/>
    <w:rPr>
      <w:sz w:val="21"/>
      <w:szCs w:val="21"/>
    </w:rPr>
  </w:style>
  <w:style w:type="character" w:customStyle="1" w:styleId="35">
    <w:name w:val="标题 1 字符"/>
    <w:basedOn w:val="30"/>
    <w:link w:val="2"/>
    <w:qFormat/>
    <w:uiPriority w:val="0"/>
    <w:rPr>
      <w:b/>
      <w:bCs/>
      <w:kern w:val="44"/>
      <w:sz w:val="44"/>
      <w:szCs w:val="44"/>
    </w:rPr>
  </w:style>
  <w:style w:type="character" w:customStyle="1" w:styleId="36">
    <w:name w:val="标题 2 字符"/>
    <w:basedOn w:val="30"/>
    <w:link w:val="3"/>
    <w:qFormat/>
    <w:uiPriority w:val="9"/>
    <w:rPr>
      <w:rFonts w:asciiTheme="majorHAnsi" w:hAnsiTheme="majorHAnsi" w:eastAsiaTheme="majorEastAsia" w:cstheme="majorBidi"/>
      <w:b/>
      <w:bCs/>
      <w:sz w:val="32"/>
      <w:szCs w:val="32"/>
    </w:rPr>
  </w:style>
  <w:style w:type="character" w:customStyle="1" w:styleId="37">
    <w:name w:val="标题 3 字符"/>
    <w:basedOn w:val="30"/>
    <w:link w:val="4"/>
    <w:qFormat/>
    <w:uiPriority w:val="9"/>
    <w:rPr>
      <w:b/>
      <w:bCs/>
      <w:sz w:val="32"/>
      <w:szCs w:val="32"/>
    </w:rPr>
  </w:style>
  <w:style w:type="character" w:customStyle="1" w:styleId="38">
    <w:name w:val="标题 4 字符"/>
    <w:basedOn w:val="30"/>
    <w:link w:val="5"/>
    <w:qFormat/>
    <w:uiPriority w:val="9"/>
    <w:rPr>
      <w:rFonts w:eastAsia="宋体" w:asciiTheme="majorHAnsi" w:hAnsiTheme="majorHAnsi" w:cstheme="majorBidi"/>
      <w:bCs/>
      <w:kern w:val="2"/>
      <w:sz w:val="24"/>
    </w:rPr>
  </w:style>
  <w:style w:type="paragraph" w:styleId="39">
    <w:name w:val="No Spacing"/>
    <w:qFormat/>
    <w:uiPriority w:val="1"/>
    <w:pPr>
      <w:widowControl w:val="0"/>
      <w:spacing w:after="160" w:line="278" w:lineRule="auto"/>
      <w:jc w:val="both"/>
    </w:pPr>
    <w:rPr>
      <w:rFonts w:asciiTheme="minorEastAsia" w:hAnsiTheme="minorHAnsi" w:eastAsiaTheme="minorEastAsia" w:cstheme="minorBidi"/>
      <w:sz w:val="28"/>
      <w:szCs w:val="28"/>
      <w:lang w:val="en-US" w:eastAsia="zh-CN" w:bidi="ar-SA"/>
    </w:rPr>
  </w:style>
  <w:style w:type="character" w:customStyle="1" w:styleId="40">
    <w:name w:val="页眉 字符"/>
    <w:basedOn w:val="30"/>
    <w:link w:val="20"/>
    <w:qFormat/>
    <w:uiPriority w:val="99"/>
    <w:rPr>
      <w:sz w:val="18"/>
      <w:szCs w:val="18"/>
    </w:rPr>
  </w:style>
  <w:style w:type="character" w:customStyle="1" w:styleId="41">
    <w:name w:val="页脚 字符"/>
    <w:basedOn w:val="30"/>
    <w:link w:val="19"/>
    <w:qFormat/>
    <w:uiPriority w:val="99"/>
    <w:rPr>
      <w:sz w:val="18"/>
      <w:szCs w:val="18"/>
    </w:rPr>
  </w:style>
  <w:style w:type="character" w:customStyle="1" w:styleId="42">
    <w:name w:val="日期 字符"/>
    <w:link w:val="16"/>
    <w:qFormat/>
    <w:uiPriority w:val="0"/>
    <w:rPr>
      <w:kern w:val="2"/>
      <w:sz w:val="24"/>
    </w:rPr>
  </w:style>
  <w:style w:type="character" w:customStyle="1" w:styleId="43">
    <w:name w:val="Style0 Char"/>
    <w:link w:val="44"/>
    <w:qFormat/>
    <w:uiPriority w:val="0"/>
    <w:rPr>
      <w:rFonts w:ascii="五" w:eastAsia="五"/>
      <w:sz w:val="24"/>
    </w:rPr>
  </w:style>
  <w:style w:type="paragraph" w:customStyle="1" w:styleId="44">
    <w:name w:val="Style0"/>
    <w:link w:val="43"/>
    <w:qFormat/>
    <w:uiPriority w:val="0"/>
    <w:pPr>
      <w:widowControl w:val="0"/>
      <w:autoSpaceDE w:val="0"/>
      <w:autoSpaceDN w:val="0"/>
      <w:adjustRightInd w:val="0"/>
      <w:spacing w:after="160" w:line="400" w:lineRule="atLeast"/>
      <w:jc w:val="center"/>
    </w:pPr>
    <w:rPr>
      <w:rFonts w:ascii="五" w:eastAsia="五" w:hAnsiTheme="minorHAnsi" w:cstheme="minorBidi"/>
      <w:sz w:val="24"/>
      <w:szCs w:val="28"/>
      <w:lang w:val="en-US" w:eastAsia="zh-CN" w:bidi="ar-SA"/>
    </w:rPr>
  </w:style>
  <w:style w:type="character" w:customStyle="1" w:styleId="45">
    <w:name w:val="纯文本 字符"/>
    <w:link w:val="15"/>
    <w:qFormat/>
    <w:locked/>
    <w:uiPriority w:val="0"/>
    <w:rPr>
      <w:rFonts w:ascii="宋体" w:hAnsi="Courier New"/>
      <w:kern w:val="2"/>
      <w:sz w:val="21"/>
    </w:rPr>
  </w:style>
  <w:style w:type="character" w:customStyle="1" w:styleId="46">
    <w:name w:val="日期 Char1"/>
    <w:basedOn w:val="30"/>
    <w:semiHidden/>
    <w:qFormat/>
    <w:uiPriority w:val="99"/>
    <w:rPr>
      <w:rFonts w:ascii="Times New Roman" w:hAnsi="Times New Roman" w:eastAsia="宋体" w:cs="Times New Roman"/>
      <w:kern w:val="2"/>
      <w:sz w:val="21"/>
      <w:szCs w:val="20"/>
    </w:rPr>
  </w:style>
  <w:style w:type="character" w:customStyle="1" w:styleId="47">
    <w:name w:val="纯文本 Char1"/>
    <w:basedOn w:val="30"/>
    <w:semiHidden/>
    <w:qFormat/>
    <w:uiPriority w:val="99"/>
    <w:rPr>
      <w:rFonts w:ascii="宋体" w:hAnsi="Courier New" w:eastAsia="宋体" w:cs="Courier New"/>
      <w:kern w:val="2"/>
      <w:sz w:val="21"/>
      <w:szCs w:val="21"/>
    </w:rPr>
  </w:style>
  <w:style w:type="character" w:customStyle="1" w:styleId="48">
    <w:name w:val="font11"/>
    <w:basedOn w:val="30"/>
    <w:qFormat/>
    <w:uiPriority w:val="0"/>
    <w:rPr>
      <w:rFonts w:hint="eastAsia" w:ascii="宋体" w:hAnsi="宋体" w:eastAsia="宋体" w:cs="宋体"/>
      <w:color w:val="000000"/>
      <w:sz w:val="20"/>
      <w:szCs w:val="20"/>
      <w:u w:val="none"/>
    </w:rPr>
  </w:style>
  <w:style w:type="character" w:customStyle="1" w:styleId="49">
    <w:name w:val="正文文本缩进 2 字符"/>
    <w:basedOn w:val="30"/>
    <w:link w:val="17"/>
    <w:qFormat/>
    <w:uiPriority w:val="0"/>
    <w:rPr>
      <w:rFonts w:ascii="仿宋_GB2312" w:hAnsi="华文中宋" w:eastAsia="仿宋_GB2312" w:cs="Times New Roman"/>
      <w:b/>
      <w:bCs/>
      <w:kern w:val="2"/>
      <w:sz w:val="24"/>
      <w:szCs w:val="20"/>
    </w:rPr>
  </w:style>
  <w:style w:type="character" w:customStyle="1" w:styleId="50">
    <w:name w:val="批注框文本 字符"/>
    <w:basedOn w:val="30"/>
    <w:link w:val="18"/>
    <w:semiHidden/>
    <w:qFormat/>
    <w:uiPriority w:val="99"/>
    <w:rPr>
      <w:rFonts w:ascii="Times New Roman" w:hAnsi="Times New Roman" w:eastAsia="宋体" w:cs="Times New Roman"/>
      <w:kern w:val="2"/>
      <w:sz w:val="18"/>
      <w:szCs w:val="18"/>
    </w:rPr>
  </w:style>
  <w:style w:type="paragraph" w:styleId="51">
    <w:name w:val="List Paragraph"/>
    <w:basedOn w:val="1"/>
    <w:link w:val="70"/>
    <w:unhideWhenUsed/>
    <w:qFormat/>
    <w:uiPriority w:val="34"/>
    <w:pPr>
      <w:ind w:firstLine="420" w:firstLineChars="200"/>
    </w:pPr>
    <w:rPr>
      <w:rFonts w:asciiTheme="minorHAnsi" w:hAnsiTheme="minorHAnsi" w:eastAsiaTheme="minorEastAsia" w:cstheme="minorBidi"/>
      <w:szCs w:val="24"/>
    </w:rPr>
  </w:style>
  <w:style w:type="paragraph" w:customStyle="1" w:styleId="52">
    <w:name w:val="1"/>
    <w:basedOn w:val="1"/>
    <w:qFormat/>
    <w:uiPriority w:val="0"/>
    <w:pPr>
      <w:spacing w:afterLines="50" w:line="360" w:lineRule="auto"/>
      <w:jc w:val="center"/>
    </w:pPr>
    <w:rPr>
      <w:rFonts w:ascii="宋体" w:hAnsi="宋体"/>
      <w:b/>
      <w:sz w:val="32"/>
      <w:szCs w:val="32"/>
    </w:rPr>
  </w:style>
  <w:style w:type="paragraph" w:customStyle="1" w:styleId="53">
    <w:name w:val="Table Paragraph"/>
    <w:basedOn w:val="1"/>
    <w:qFormat/>
    <w:uiPriority w:val="1"/>
    <w:pPr>
      <w:autoSpaceDE w:val="0"/>
      <w:autoSpaceDN w:val="0"/>
      <w:spacing w:before="81"/>
      <w:jc w:val="left"/>
    </w:pPr>
    <w:rPr>
      <w:rFonts w:ascii="宋体" w:hAnsi="宋体" w:cs="宋体"/>
      <w:kern w:val="0"/>
      <w:sz w:val="22"/>
      <w:szCs w:val="22"/>
    </w:rPr>
  </w:style>
  <w:style w:type="paragraph" w:customStyle="1" w:styleId="54">
    <w:name w:val="列出段落1"/>
    <w:basedOn w:val="1"/>
    <w:qFormat/>
    <w:uiPriority w:val="34"/>
    <w:pPr>
      <w:ind w:firstLine="420" w:firstLineChars="200"/>
    </w:pPr>
    <w:rPr>
      <w:rFonts w:ascii="Calibri" w:hAnsi="Calibri"/>
    </w:rPr>
  </w:style>
  <w:style w:type="paragraph" w:customStyle="1" w:styleId="5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6">
    <w:name w:val="标题 字符"/>
    <w:basedOn w:val="30"/>
    <w:link w:val="25"/>
    <w:qFormat/>
    <w:uiPriority w:val="10"/>
    <w:rPr>
      <w:rFonts w:eastAsia="宋体" w:asciiTheme="majorHAnsi" w:hAnsiTheme="majorHAnsi" w:cstheme="majorBidi"/>
      <w:b/>
      <w:bCs/>
      <w:kern w:val="2"/>
      <w:sz w:val="36"/>
      <w:szCs w:val="32"/>
    </w:rPr>
  </w:style>
  <w:style w:type="character" w:customStyle="1" w:styleId="57">
    <w:name w:val="标题 5 字符"/>
    <w:basedOn w:val="30"/>
    <w:link w:val="6"/>
    <w:qFormat/>
    <w:uiPriority w:val="9"/>
    <w:rPr>
      <w:rFonts w:ascii="Times New Roman" w:hAnsi="Times New Roman" w:eastAsia="宋体" w:cs="Times New Roman"/>
      <w:b/>
      <w:bCs/>
      <w:kern w:val="2"/>
      <w:sz w:val="28"/>
      <w:szCs w:val="28"/>
    </w:rPr>
  </w:style>
  <w:style w:type="character" w:customStyle="1" w:styleId="58">
    <w:name w:val="标题 6 字符"/>
    <w:basedOn w:val="30"/>
    <w:link w:val="7"/>
    <w:qFormat/>
    <w:uiPriority w:val="9"/>
    <w:rPr>
      <w:rFonts w:asciiTheme="majorHAnsi" w:hAnsiTheme="majorHAnsi" w:eastAsiaTheme="majorEastAsia" w:cstheme="majorBidi"/>
      <w:b/>
      <w:bCs/>
      <w:kern w:val="2"/>
      <w:sz w:val="24"/>
      <w:szCs w:val="24"/>
    </w:rPr>
  </w:style>
  <w:style w:type="character" w:customStyle="1" w:styleId="59">
    <w:name w:val="副标题 字符"/>
    <w:basedOn w:val="30"/>
    <w:link w:val="22"/>
    <w:qFormat/>
    <w:uiPriority w:val="11"/>
    <w:rPr>
      <w:rFonts w:eastAsia="宋体" w:asciiTheme="minorHAnsi"/>
      <w:b/>
      <w:bCs/>
      <w:kern w:val="28"/>
      <w:sz w:val="28"/>
      <w:szCs w:val="32"/>
    </w:rPr>
  </w:style>
  <w:style w:type="character" w:customStyle="1" w:styleId="60">
    <w:name w:val="书籍标题1"/>
    <w:basedOn w:val="30"/>
    <w:qFormat/>
    <w:uiPriority w:val="33"/>
    <w:rPr>
      <w:b/>
      <w:bCs/>
      <w:i/>
      <w:iCs/>
      <w:spacing w:val="5"/>
    </w:rPr>
  </w:style>
  <w:style w:type="character" w:customStyle="1" w:styleId="61">
    <w:name w:val="标题 7 字符"/>
    <w:basedOn w:val="30"/>
    <w:link w:val="8"/>
    <w:qFormat/>
    <w:uiPriority w:val="9"/>
    <w:rPr>
      <w:rFonts w:ascii="Times New Roman" w:hAnsi="Times New Roman" w:eastAsia="宋体" w:cs="Times New Roman"/>
      <w:b/>
      <w:bCs/>
      <w:kern w:val="2"/>
      <w:sz w:val="24"/>
      <w:szCs w:val="24"/>
    </w:rPr>
  </w:style>
  <w:style w:type="character" w:customStyle="1" w:styleId="62">
    <w:name w:val="正文文本 字符"/>
    <w:basedOn w:val="30"/>
    <w:link w:val="12"/>
    <w:semiHidden/>
    <w:qFormat/>
    <w:uiPriority w:val="99"/>
    <w:rPr>
      <w:rFonts w:ascii="Times New Roman" w:hAnsi="Times New Roman" w:eastAsia="宋体" w:cs="Times New Roman"/>
      <w:kern w:val="2"/>
      <w:sz w:val="21"/>
    </w:rPr>
  </w:style>
  <w:style w:type="character" w:customStyle="1" w:styleId="63">
    <w:name w:val="批注文字 字符"/>
    <w:basedOn w:val="30"/>
    <w:link w:val="10"/>
    <w:qFormat/>
    <w:uiPriority w:val="0"/>
    <w:rPr>
      <w:rFonts w:ascii="Times New Roman" w:hAnsi="Times New Roman" w:eastAsia="宋体" w:cs="Times New Roman"/>
    </w:rPr>
  </w:style>
  <w:style w:type="character" w:customStyle="1" w:styleId="64">
    <w:name w:val="正文文本 3 字符"/>
    <w:basedOn w:val="30"/>
    <w:link w:val="11"/>
    <w:qFormat/>
    <w:uiPriority w:val="0"/>
    <w:rPr>
      <w:rFonts w:ascii="Calibri" w:hAnsi="Calibri" w:eastAsia="宋体" w:cs="Times New Roman"/>
      <w:kern w:val="2"/>
      <w:sz w:val="16"/>
      <w:szCs w:val="16"/>
    </w:rPr>
  </w:style>
  <w:style w:type="paragraph" w:customStyle="1" w:styleId="65">
    <w:name w:val="Fließtext"/>
    <w:basedOn w:val="1"/>
    <w:qFormat/>
    <w:uiPriority w:val="0"/>
    <w:pPr>
      <w:overflowPunct w:val="0"/>
      <w:autoSpaceDE w:val="0"/>
      <w:autoSpaceDN w:val="0"/>
      <w:adjustRightInd w:val="0"/>
      <w:textAlignment w:val="baseline"/>
    </w:pPr>
    <w:rPr>
      <w:rFonts w:ascii="宋体" w:hAnsi="宋体"/>
      <w:kern w:val="28"/>
    </w:rPr>
  </w:style>
  <w:style w:type="paragraph" w:customStyle="1" w:styleId="66">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7">
    <w:name w:val="表格文字"/>
    <w:basedOn w:val="26"/>
    <w:next w:val="12"/>
    <w:qFormat/>
    <w:uiPriority w:val="0"/>
    <w:pPr>
      <w:widowControl/>
      <w:spacing w:before="25" w:after="25"/>
      <w:jc w:val="left"/>
    </w:pPr>
    <w:rPr>
      <w:rFonts w:ascii="Times" w:hAnsi="Times" w:eastAsia="幼圆" w:cs="宋体"/>
      <w:b/>
      <w:bCs/>
      <w:spacing w:val="10"/>
      <w:kern w:val="0"/>
      <w:sz w:val="24"/>
      <w:szCs w:val="24"/>
    </w:rPr>
  </w:style>
  <w:style w:type="character" w:customStyle="1" w:styleId="68">
    <w:name w:val="正文文本首行缩进 字符"/>
    <w:basedOn w:val="62"/>
    <w:link w:val="26"/>
    <w:semiHidden/>
    <w:qFormat/>
    <w:uiPriority w:val="99"/>
    <w:rPr>
      <w:rFonts w:ascii="Times New Roman" w:hAnsi="Times New Roman" w:eastAsia="宋体" w:cs="Times New Roman"/>
      <w:kern w:val="2"/>
      <w:sz w:val="21"/>
    </w:rPr>
  </w:style>
  <w:style w:type="paragraph" w:customStyle="1" w:styleId="69">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70">
    <w:name w:val="列表段落 字符"/>
    <w:link w:val="51"/>
    <w:qFormat/>
    <w:uiPriority w:val="34"/>
    <w:rPr>
      <w:kern w:val="2"/>
      <w:sz w:val="21"/>
      <w:szCs w:val="24"/>
    </w:rPr>
  </w:style>
  <w:style w:type="character" w:customStyle="1" w:styleId="71">
    <w:name w:val="正文缩进 字符"/>
    <w:basedOn w:val="30"/>
    <w:link w:val="9"/>
    <w:qFormat/>
    <w:uiPriority w:val="4"/>
    <w:rPr>
      <w:rFonts w:ascii="Times New Roman" w:hAnsi="Times New Roman" w:eastAsia="宋体" w:cs="Times New Roman"/>
      <w:kern w:val="2"/>
      <w:sz w:val="21"/>
    </w:rPr>
  </w:style>
  <w:style w:type="character" w:customStyle="1" w:styleId="72">
    <w:name w:val="列表段落 字符2"/>
    <w:qFormat/>
    <w:locked/>
    <w:uiPriority w:val="34"/>
    <w:rPr>
      <w:rFonts w:ascii="Times New Roman" w:hAnsi="Times New Roman" w:eastAsia="宋体" w:cs="Times New Roman"/>
      <w:sz w:val="24"/>
      <w:szCs w:val="24"/>
    </w:rPr>
  </w:style>
  <w:style w:type="paragraph" w:customStyle="1" w:styleId="73">
    <w:name w:val="Normal_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0A2993-7E8F-45A9-BA06-1E046B79363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95</Pages>
  <Words>17407</Words>
  <Characters>18178</Characters>
  <Lines>260</Lines>
  <Paragraphs>73</Paragraphs>
  <TotalTime>0</TotalTime>
  <ScaleCrop>false</ScaleCrop>
  <LinksUpToDate>false</LinksUpToDate>
  <CharactersWithSpaces>18697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2026-03-09T11:30:00Z</dcterms:created>
  <dc:creator>AutoBVT</dc:creator>
  <cp:lastModifiedBy>陈</cp:lastModifiedBy>
  <dcterms:modified xsi:type="dcterms:W3CDTF">2026-07-08T07:49:26Z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0A192491C3114CADB0B03D3E7D87C080_13</vt:lpwstr>
  </property>
  <property fmtid="{D5CDD505-2E9C-101B-9397-08002B2CF9AE}" pid="4" name="KSOTemplateDocerSaveRecord">
    <vt:lpwstr>eyJoZGlkIjoiY2YwZDdiNDdkMDEwYzJhNGE1OGVhNTA2Y2M2NDVlMTYiLCJ1c2VySWQiOiI3MDE5OTcwMjkifQ==</vt:lpwstr>
  </property>
</Properties>
</file>